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A0D0F" w14:textId="77777777" w:rsidR="00BA1ACF" w:rsidRPr="00207197" w:rsidRDefault="00BA1ACF" w:rsidP="00140440">
      <w:pPr>
        <w:tabs>
          <w:tab w:val="clear" w:pos="4419"/>
          <w:tab w:val="clear" w:pos="8838"/>
        </w:tabs>
        <w:ind w:left="-142" w:right="-138"/>
        <w:jc w:val="both"/>
        <w:rPr>
          <w:rFonts w:eastAsia="MS Mincho" w:cs="Times New Roman"/>
          <w:b/>
          <w:szCs w:val="20"/>
          <w:lang w:val="es-ES_tradnl"/>
        </w:rPr>
      </w:pPr>
    </w:p>
    <w:p w14:paraId="3843A82E" w14:textId="77777777" w:rsidR="00BA1ACF" w:rsidRPr="00207197" w:rsidRDefault="00BA1ACF" w:rsidP="00140440">
      <w:pPr>
        <w:tabs>
          <w:tab w:val="clear" w:pos="4419"/>
          <w:tab w:val="clear" w:pos="8838"/>
        </w:tabs>
        <w:ind w:left="-142" w:right="-138"/>
        <w:jc w:val="both"/>
        <w:rPr>
          <w:rFonts w:eastAsia="MS Mincho" w:cs="Times New Roman"/>
          <w:b/>
          <w:szCs w:val="20"/>
          <w:lang w:val="es-ES_tradnl"/>
        </w:rPr>
      </w:pPr>
    </w:p>
    <w:p w14:paraId="1697BB3D" w14:textId="77777777" w:rsidR="00BA1ACF" w:rsidRPr="00470C7C" w:rsidRDefault="00BA1ACF" w:rsidP="00140440">
      <w:pPr>
        <w:tabs>
          <w:tab w:val="clear" w:pos="4419"/>
          <w:tab w:val="clear" w:pos="8838"/>
        </w:tabs>
        <w:ind w:left="-142" w:right="-138"/>
        <w:jc w:val="center"/>
        <w:rPr>
          <w:rFonts w:eastAsia="MS Mincho" w:cs="Times New Roman"/>
          <w:b/>
          <w:szCs w:val="20"/>
          <w:lang w:val="es-ES"/>
        </w:rPr>
      </w:pPr>
      <w:r w:rsidRPr="00470C7C">
        <w:rPr>
          <w:rFonts w:eastAsia="MS Mincho" w:cs="Times New Roman"/>
          <w:b/>
          <w:szCs w:val="20"/>
          <w:lang w:val="es-ES"/>
        </w:rPr>
        <w:t>CORTE INTERAMERICANA DE DERECHOS HUMANOS</w:t>
      </w:r>
    </w:p>
    <w:p w14:paraId="55F6D46C" w14:textId="77777777" w:rsidR="00BA1ACF" w:rsidRPr="00470C7C" w:rsidRDefault="00BA1ACF" w:rsidP="00140440">
      <w:pPr>
        <w:tabs>
          <w:tab w:val="clear" w:pos="4419"/>
          <w:tab w:val="clear" w:pos="8838"/>
        </w:tabs>
        <w:ind w:left="-142" w:right="-138"/>
        <w:jc w:val="center"/>
        <w:rPr>
          <w:rFonts w:eastAsia="MS Mincho" w:cs="Times New Roman"/>
          <w:b/>
          <w:sz w:val="16"/>
          <w:szCs w:val="20"/>
          <w:lang w:val="es-ES"/>
        </w:rPr>
      </w:pPr>
    </w:p>
    <w:p w14:paraId="79401516" w14:textId="77777777" w:rsidR="00BA1ACF" w:rsidRPr="00470C7C" w:rsidRDefault="00BA1ACF" w:rsidP="00140440">
      <w:pPr>
        <w:tabs>
          <w:tab w:val="clear" w:pos="4419"/>
          <w:tab w:val="clear" w:pos="8838"/>
        </w:tabs>
        <w:ind w:left="-142" w:right="-138"/>
        <w:jc w:val="center"/>
        <w:rPr>
          <w:rFonts w:eastAsia="MS Mincho" w:cs="Times New Roman"/>
          <w:b/>
          <w:sz w:val="16"/>
          <w:szCs w:val="20"/>
          <w:lang w:val="es-ES_tradnl"/>
        </w:rPr>
      </w:pPr>
      <w:r w:rsidRPr="00470C7C">
        <w:rPr>
          <w:rFonts w:eastAsia="MS Mincho" w:cs="Times New Roman"/>
          <w:b/>
          <w:szCs w:val="20"/>
          <w:lang w:val="es-ES"/>
        </w:rPr>
        <w:t xml:space="preserve">CASO </w:t>
      </w:r>
      <w:r w:rsidR="00B64BE7" w:rsidRPr="00470C7C">
        <w:rPr>
          <w:rFonts w:eastAsia="MS Mincho" w:cs="Times New Roman"/>
          <w:b/>
          <w:szCs w:val="20"/>
          <w:lang w:val="es-ES"/>
        </w:rPr>
        <w:t>TRABAJADORES DE LA HACIENDA</w:t>
      </w:r>
      <w:r w:rsidRPr="00470C7C">
        <w:rPr>
          <w:rFonts w:eastAsia="MS Mincho" w:cs="Times New Roman"/>
          <w:b/>
          <w:szCs w:val="20"/>
          <w:lang w:val="es-ES"/>
        </w:rPr>
        <w:t xml:space="preserve"> BRASIL VERDE </w:t>
      </w:r>
      <w:r w:rsidRPr="00470C7C">
        <w:rPr>
          <w:rFonts w:eastAsia="MS Mincho" w:cs="Times New Roman"/>
          <w:b/>
          <w:i/>
          <w:szCs w:val="20"/>
          <w:lang w:val="es-ES"/>
        </w:rPr>
        <w:t>VS</w:t>
      </w:r>
      <w:r w:rsidRPr="00470C7C">
        <w:rPr>
          <w:rFonts w:eastAsia="MS Mincho" w:cs="Times New Roman"/>
          <w:b/>
          <w:szCs w:val="20"/>
          <w:lang w:val="es-ES"/>
        </w:rPr>
        <w:t xml:space="preserve">. </w:t>
      </w:r>
      <w:r w:rsidRPr="00470C7C">
        <w:rPr>
          <w:rFonts w:eastAsia="MS Mincho" w:cs="Times New Roman"/>
          <w:b/>
          <w:szCs w:val="20"/>
          <w:lang w:val="es-ES_tradnl"/>
        </w:rPr>
        <w:t>BRASIL</w:t>
      </w:r>
    </w:p>
    <w:p w14:paraId="2A75F5BD" w14:textId="77777777" w:rsidR="00BA1ACF" w:rsidRPr="00470C7C" w:rsidRDefault="00BA1ACF" w:rsidP="00140440">
      <w:pPr>
        <w:tabs>
          <w:tab w:val="clear" w:pos="4419"/>
          <w:tab w:val="clear" w:pos="8838"/>
        </w:tabs>
        <w:ind w:left="-142" w:right="-138"/>
        <w:jc w:val="center"/>
        <w:rPr>
          <w:rFonts w:eastAsia="MS Mincho" w:cs="Times New Roman"/>
          <w:b/>
          <w:szCs w:val="20"/>
          <w:lang w:val="es-ES_tradnl"/>
        </w:rPr>
      </w:pPr>
    </w:p>
    <w:p w14:paraId="0A611A2C" w14:textId="77777777" w:rsidR="00BA1ACF" w:rsidRPr="00470C7C" w:rsidRDefault="00BA1ACF" w:rsidP="00140440">
      <w:pPr>
        <w:tabs>
          <w:tab w:val="clear" w:pos="4419"/>
          <w:tab w:val="clear" w:pos="8838"/>
        </w:tabs>
        <w:ind w:left="-142" w:right="-138"/>
        <w:jc w:val="center"/>
        <w:rPr>
          <w:rFonts w:eastAsia="MS Mincho" w:cs="Times New Roman"/>
          <w:b/>
          <w:szCs w:val="20"/>
          <w:lang w:val="es-ES_tradnl"/>
        </w:rPr>
      </w:pPr>
      <w:r w:rsidRPr="00470C7C">
        <w:rPr>
          <w:rFonts w:eastAsia="MS Mincho" w:cs="Times New Roman"/>
          <w:b/>
          <w:szCs w:val="20"/>
          <w:lang w:val="es-ES_tradnl"/>
        </w:rPr>
        <w:t xml:space="preserve">SENTENCIA DE </w:t>
      </w:r>
      <w:r w:rsidR="00702C18" w:rsidRPr="00470C7C">
        <w:rPr>
          <w:rFonts w:eastAsia="MS Mincho" w:cs="Times New Roman"/>
          <w:b/>
          <w:szCs w:val="20"/>
          <w:lang w:val="es-ES_tradnl"/>
        </w:rPr>
        <w:t>20</w:t>
      </w:r>
      <w:r w:rsidRPr="00470C7C">
        <w:rPr>
          <w:rFonts w:eastAsia="MS Mincho" w:cs="Times New Roman"/>
          <w:b/>
          <w:szCs w:val="20"/>
          <w:lang w:val="es-ES_tradnl"/>
        </w:rPr>
        <w:t xml:space="preserve"> </w:t>
      </w:r>
      <w:r w:rsidR="0007001D" w:rsidRPr="00470C7C">
        <w:rPr>
          <w:rFonts w:eastAsia="MS Mincho" w:cs="Times New Roman"/>
          <w:b/>
          <w:szCs w:val="20"/>
          <w:lang w:val="es-ES_tradnl"/>
        </w:rPr>
        <w:t xml:space="preserve">OCTUBRE </w:t>
      </w:r>
      <w:r w:rsidRPr="00470C7C">
        <w:rPr>
          <w:rFonts w:eastAsia="MS Mincho" w:cs="Times New Roman"/>
          <w:b/>
          <w:szCs w:val="20"/>
          <w:lang w:val="es-ES_tradnl"/>
        </w:rPr>
        <w:t>DE 2016</w:t>
      </w:r>
    </w:p>
    <w:p w14:paraId="4A35BA8A" w14:textId="77777777" w:rsidR="00BA1ACF" w:rsidRPr="00470C7C" w:rsidRDefault="00BA1ACF" w:rsidP="00140440">
      <w:pPr>
        <w:tabs>
          <w:tab w:val="clear" w:pos="4419"/>
          <w:tab w:val="clear" w:pos="8838"/>
        </w:tabs>
        <w:ind w:left="-142" w:right="-138"/>
        <w:jc w:val="center"/>
        <w:rPr>
          <w:rFonts w:eastAsia="MS Mincho" w:cs="Times New Roman"/>
          <w:b/>
          <w:szCs w:val="20"/>
          <w:lang w:val="es-ES_tradnl"/>
        </w:rPr>
      </w:pPr>
    </w:p>
    <w:p w14:paraId="0A420E96" w14:textId="77777777" w:rsidR="00BA1ACF" w:rsidRPr="00470C7C" w:rsidRDefault="00BA1ACF" w:rsidP="00140440">
      <w:pPr>
        <w:numPr>
          <w:ilvl w:val="1"/>
          <w:numId w:val="0"/>
        </w:numPr>
        <w:tabs>
          <w:tab w:val="clear" w:pos="4419"/>
          <w:tab w:val="clear" w:pos="8838"/>
        </w:tabs>
        <w:ind w:left="-142" w:right="-138"/>
        <w:jc w:val="center"/>
        <w:rPr>
          <w:rFonts w:eastAsia="Times New Roman" w:cs="Times New Roman"/>
          <w:b/>
          <w:i/>
          <w:iCs/>
          <w:spacing w:val="15"/>
          <w:szCs w:val="24"/>
          <w:lang w:val="es-ES_tradnl"/>
        </w:rPr>
      </w:pPr>
      <w:r w:rsidRPr="00470C7C">
        <w:rPr>
          <w:rFonts w:eastAsia="Times New Roman" w:cs="Times New Roman"/>
          <w:b/>
          <w:i/>
          <w:iCs/>
          <w:spacing w:val="15"/>
          <w:szCs w:val="24"/>
          <w:lang w:val="es-ES_tradnl"/>
        </w:rPr>
        <w:t>(Excepciones Preliminares, Fondo, Reparaciones y Costas)</w:t>
      </w:r>
    </w:p>
    <w:p w14:paraId="23364ACA" w14:textId="77777777" w:rsidR="00BA1ACF" w:rsidRPr="00470C7C" w:rsidRDefault="00BA1ACF" w:rsidP="00140440">
      <w:pPr>
        <w:tabs>
          <w:tab w:val="clear" w:pos="4419"/>
          <w:tab w:val="clear" w:pos="8838"/>
        </w:tabs>
        <w:ind w:left="-142" w:right="-138"/>
        <w:jc w:val="both"/>
        <w:rPr>
          <w:rFonts w:eastAsia="Batang" w:cs="Times"/>
          <w:szCs w:val="20"/>
          <w:lang w:val="es-ES_tradnl"/>
        </w:rPr>
      </w:pPr>
    </w:p>
    <w:p w14:paraId="74DFE6FE" w14:textId="77777777" w:rsidR="00BA1ACF" w:rsidRPr="00470C7C" w:rsidRDefault="00BA1ACF" w:rsidP="00140440">
      <w:pPr>
        <w:tabs>
          <w:tab w:val="clear" w:pos="4419"/>
          <w:tab w:val="clear" w:pos="8838"/>
        </w:tabs>
        <w:ind w:left="-142" w:right="-138"/>
        <w:jc w:val="both"/>
        <w:rPr>
          <w:rFonts w:eastAsia="Batang" w:cs="Times"/>
          <w:szCs w:val="20"/>
          <w:lang w:val="es-ES_tradnl"/>
        </w:rPr>
      </w:pPr>
    </w:p>
    <w:p w14:paraId="4CADA6A4" w14:textId="77777777" w:rsidR="00BA1ACF" w:rsidRPr="00470C7C" w:rsidRDefault="00BA1ACF" w:rsidP="00140440">
      <w:pPr>
        <w:tabs>
          <w:tab w:val="clear" w:pos="4419"/>
          <w:tab w:val="clear" w:pos="8838"/>
        </w:tabs>
        <w:ind w:left="-142" w:right="-138"/>
        <w:jc w:val="both"/>
        <w:rPr>
          <w:rFonts w:eastAsia="Batang" w:cs="Times"/>
          <w:szCs w:val="20"/>
          <w:lang w:val="es-ES_tradnl"/>
        </w:rPr>
      </w:pPr>
    </w:p>
    <w:p w14:paraId="3CDED1E5" w14:textId="77777777" w:rsidR="00BA1ACF" w:rsidRPr="00470C7C" w:rsidRDefault="00BA1ACF" w:rsidP="00140440">
      <w:pPr>
        <w:tabs>
          <w:tab w:val="clear" w:pos="4419"/>
          <w:tab w:val="clear" w:pos="8838"/>
        </w:tabs>
        <w:jc w:val="both"/>
        <w:rPr>
          <w:rFonts w:eastAsia="Batang" w:cs="Times"/>
          <w:szCs w:val="20"/>
          <w:lang w:val="es-ES_tradnl"/>
        </w:rPr>
      </w:pPr>
      <w:r w:rsidRPr="00470C7C">
        <w:rPr>
          <w:rFonts w:eastAsia="Batang" w:cs="Times"/>
          <w:szCs w:val="20"/>
          <w:lang w:val="es-ES_tradnl"/>
        </w:rPr>
        <w:t xml:space="preserve">En el caso </w:t>
      </w:r>
      <w:r w:rsidR="00B64BE7" w:rsidRPr="00470C7C">
        <w:rPr>
          <w:rFonts w:eastAsia="Batang" w:cs="Times"/>
          <w:i/>
          <w:szCs w:val="20"/>
          <w:lang w:val="es-ES_tradnl"/>
        </w:rPr>
        <w:t xml:space="preserve">Trabajadores de la Hacienda </w:t>
      </w:r>
      <w:r w:rsidRPr="00470C7C">
        <w:rPr>
          <w:rFonts w:eastAsia="Batang" w:cs="Times"/>
          <w:i/>
          <w:szCs w:val="20"/>
          <w:lang w:val="es-ES_tradnl"/>
        </w:rPr>
        <w:t>Brasil Verde,</w:t>
      </w:r>
    </w:p>
    <w:p w14:paraId="4B2722BF" w14:textId="77777777" w:rsidR="00BA1ACF" w:rsidRPr="00470C7C" w:rsidRDefault="00BA1ACF" w:rsidP="00140440">
      <w:pPr>
        <w:tabs>
          <w:tab w:val="clear" w:pos="4419"/>
          <w:tab w:val="clear" w:pos="8838"/>
        </w:tabs>
        <w:ind w:left="-142" w:right="-138"/>
        <w:jc w:val="both"/>
        <w:rPr>
          <w:rFonts w:eastAsia="Batang" w:cs="Times"/>
          <w:szCs w:val="20"/>
          <w:lang w:val="es-ES_tradnl"/>
        </w:rPr>
      </w:pPr>
    </w:p>
    <w:p w14:paraId="376CCA16" w14:textId="77777777" w:rsidR="00BA1ACF" w:rsidRPr="00470C7C" w:rsidRDefault="00BA1ACF" w:rsidP="00140440">
      <w:pPr>
        <w:tabs>
          <w:tab w:val="clear" w:pos="4419"/>
          <w:tab w:val="clear" w:pos="8838"/>
        </w:tabs>
        <w:ind w:right="-138"/>
        <w:jc w:val="both"/>
        <w:rPr>
          <w:rFonts w:eastAsia="Batang" w:cs="Times"/>
          <w:szCs w:val="24"/>
          <w:lang w:val="es-ES_tradnl"/>
        </w:rPr>
      </w:pPr>
      <w:r w:rsidRPr="00470C7C">
        <w:rPr>
          <w:rFonts w:eastAsia="Batang" w:cs="Times"/>
          <w:szCs w:val="24"/>
          <w:lang w:val="es-ES_tradnl"/>
        </w:rPr>
        <w:t>la Corte Interamericana de Derechos Humanos (en adelante “la Corte Interamericana”, “la Corte” o “este Tribunal”), integrada por los siguientes Jueces</w:t>
      </w:r>
      <w:r w:rsidRPr="00470C7C">
        <w:rPr>
          <w:rStyle w:val="Refdenotaalpie"/>
          <w:rFonts w:eastAsia="Batang"/>
          <w:lang w:val="es-ES_tradnl"/>
        </w:rPr>
        <w:footnoteReference w:id="1"/>
      </w:r>
      <w:r w:rsidRPr="00470C7C">
        <w:rPr>
          <w:rFonts w:eastAsia="Batang" w:cs="Times"/>
          <w:szCs w:val="24"/>
          <w:lang w:val="es-ES_tradnl"/>
        </w:rPr>
        <w:t>:</w:t>
      </w:r>
    </w:p>
    <w:p w14:paraId="63917985" w14:textId="77777777" w:rsidR="00BA1ACF" w:rsidRPr="00470C7C" w:rsidRDefault="00BA1ACF" w:rsidP="00140440">
      <w:pPr>
        <w:tabs>
          <w:tab w:val="clear" w:pos="4419"/>
          <w:tab w:val="clear" w:pos="8838"/>
        </w:tabs>
        <w:ind w:right="-138"/>
        <w:jc w:val="both"/>
        <w:rPr>
          <w:rFonts w:eastAsia="Batang" w:cs="Times"/>
          <w:sz w:val="16"/>
          <w:szCs w:val="24"/>
          <w:lang w:val="es-ES_tradnl"/>
        </w:rPr>
      </w:pPr>
    </w:p>
    <w:p w14:paraId="5EEFC0C0" w14:textId="77777777" w:rsidR="00BA1ACF" w:rsidRPr="00470C7C" w:rsidRDefault="00BA1ACF" w:rsidP="00140440">
      <w:pPr>
        <w:tabs>
          <w:tab w:val="clear" w:pos="4419"/>
          <w:tab w:val="clear" w:pos="8838"/>
        </w:tabs>
        <w:ind w:right="-138"/>
        <w:jc w:val="both"/>
        <w:rPr>
          <w:rFonts w:eastAsia="Times New Roman" w:cs="Times New Roman"/>
          <w:szCs w:val="20"/>
        </w:rPr>
      </w:pPr>
      <w:r w:rsidRPr="00470C7C">
        <w:rPr>
          <w:rFonts w:eastAsia="Times New Roman" w:cs="Times New Roman"/>
          <w:szCs w:val="20"/>
        </w:rPr>
        <w:t>Eduardo Ferrer Mac-</w:t>
      </w:r>
      <w:proofErr w:type="spellStart"/>
      <w:r w:rsidRPr="00470C7C">
        <w:rPr>
          <w:rFonts w:eastAsia="Times New Roman" w:cs="Times New Roman"/>
          <w:szCs w:val="20"/>
        </w:rPr>
        <w:t>Gregor</w:t>
      </w:r>
      <w:proofErr w:type="spellEnd"/>
      <w:r w:rsidRPr="00470C7C">
        <w:rPr>
          <w:rFonts w:eastAsia="Times New Roman" w:cs="Times New Roman"/>
          <w:szCs w:val="20"/>
        </w:rPr>
        <w:t xml:space="preserve"> </w:t>
      </w:r>
      <w:proofErr w:type="spellStart"/>
      <w:r w:rsidRPr="00470C7C">
        <w:rPr>
          <w:rFonts w:eastAsia="Times New Roman" w:cs="Times New Roman"/>
          <w:szCs w:val="20"/>
        </w:rPr>
        <w:t>Poisot</w:t>
      </w:r>
      <w:proofErr w:type="spellEnd"/>
      <w:r w:rsidRPr="00470C7C">
        <w:rPr>
          <w:rFonts w:eastAsia="Times New Roman" w:cs="Times New Roman"/>
          <w:szCs w:val="20"/>
        </w:rPr>
        <w:t xml:space="preserve">, Presidente en ejercicio; </w:t>
      </w:r>
    </w:p>
    <w:p w14:paraId="2EC272FF" w14:textId="77777777" w:rsidR="00BA1ACF" w:rsidRPr="00470C7C" w:rsidRDefault="00BA1ACF" w:rsidP="00140440">
      <w:pPr>
        <w:tabs>
          <w:tab w:val="clear" w:pos="4419"/>
          <w:tab w:val="clear" w:pos="8838"/>
        </w:tabs>
        <w:ind w:right="-138"/>
        <w:jc w:val="both"/>
        <w:rPr>
          <w:rFonts w:eastAsia="Times New Roman" w:cs="Times New Roman"/>
          <w:szCs w:val="20"/>
          <w:lang w:val="es-ES_tradnl"/>
        </w:rPr>
      </w:pPr>
      <w:r w:rsidRPr="00470C7C">
        <w:rPr>
          <w:rFonts w:eastAsia="Times New Roman" w:cs="Times New Roman"/>
          <w:szCs w:val="20"/>
          <w:lang w:val="es-ES_tradnl"/>
        </w:rPr>
        <w:t xml:space="preserve">Eduardo Vio Grossi, </w:t>
      </w:r>
      <w:proofErr w:type="gramStart"/>
      <w:r w:rsidRPr="00470C7C">
        <w:rPr>
          <w:rFonts w:eastAsia="Times New Roman" w:cs="Times New Roman"/>
          <w:szCs w:val="20"/>
          <w:lang w:val="es-ES_tradnl"/>
        </w:rPr>
        <w:t>Vicepresidente</w:t>
      </w:r>
      <w:proofErr w:type="gramEnd"/>
      <w:r w:rsidRPr="00470C7C">
        <w:rPr>
          <w:rFonts w:eastAsia="Times New Roman" w:cs="Times New Roman"/>
          <w:szCs w:val="20"/>
          <w:lang w:val="es-ES_tradnl"/>
        </w:rPr>
        <w:t xml:space="preserve"> en ejercicio;</w:t>
      </w:r>
    </w:p>
    <w:p w14:paraId="74C27407" w14:textId="77777777" w:rsidR="00BA1ACF" w:rsidRPr="00470C7C" w:rsidRDefault="00BA1ACF" w:rsidP="00140440">
      <w:pPr>
        <w:tabs>
          <w:tab w:val="clear" w:pos="4419"/>
          <w:tab w:val="clear" w:pos="8838"/>
        </w:tabs>
        <w:ind w:right="-138"/>
        <w:jc w:val="both"/>
        <w:rPr>
          <w:rFonts w:eastAsia="Times New Roman" w:cs="Times New Roman"/>
          <w:szCs w:val="20"/>
          <w:lang w:val="es-ES_tradnl"/>
        </w:rPr>
      </w:pPr>
      <w:r w:rsidRPr="00470C7C">
        <w:rPr>
          <w:rFonts w:eastAsia="Times New Roman" w:cs="Times New Roman"/>
          <w:szCs w:val="20"/>
          <w:lang w:val="es-ES_tradnl"/>
        </w:rPr>
        <w:t xml:space="preserve">Humberto </w:t>
      </w:r>
      <w:proofErr w:type="spellStart"/>
      <w:r w:rsidR="00D60654" w:rsidRPr="00470C7C">
        <w:rPr>
          <w:rFonts w:eastAsia="Times New Roman" w:cs="Times New Roman"/>
          <w:szCs w:val="20"/>
          <w:lang w:val="es-ES_tradnl"/>
        </w:rPr>
        <w:t>Antônio</w:t>
      </w:r>
      <w:proofErr w:type="spellEnd"/>
      <w:r w:rsidR="00D60654" w:rsidRPr="00470C7C">
        <w:rPr>
          <w:rFonts w:eastAsia="Times New Roman" w:cs="Times New Roman"/>
          <w:szCs w:val="20"/>
          <w:lang w:val="es-ES_tradnl"/>
        </w:rPr>
        <w:t xml:space="preserve"> </w:t>
      </w:r>
      <w:r w:rsidRPr="00470C7C">
        <w:rPr>
          <w:rFonts w:eastAsia="Times New Roman" w:cs="Times New Roman"/>
          <w:szCs w:val="20"/>
          <w:lang w:val="es-ES_tradnl"/>
        </w:rPr>
        <w:t>Sierra Porto, Juez;</w:t>
      </w:r>
    </w:p>
    <w:p w14:paraId="62EA371D" w14:textId="77777777" w:rsidR="00BA1ACF" w:rsidRPr="00470C7C" w:rsidRDefault="00BA1ACF" w:rsidP="00140440">
      <w:pPr>
        <w:tabs>
          <w:tab w:val="clear" w:pos="4419"/>
          <w:tab w:val="clear" w:pos="8838"/>
        </w:tabs>
        <w:ind w:right="-138"/>
        <w:jc w:val="both"/>
        <w:rPr>
          <w:rFonts w:eastAsia="Times New Roman" w:cs="Times New Roman"/>
          <w:szCs w:val="20"/>
          <w:lang w:val="es-ES_tradnl"/>
        </w:rPr>
      </w:pPr>
      <w:r w:rsidRPr="00470C7C">
        <w:rPr>
          <w:rFonts w:eastAsia="Times New Roman" w:cs="Times New Roman"/>
          <w:szCs w:val="20"/>
          <w:lang w:val="es-ES_tradnl"/>
        </w:rPr>
        <w:t>Elizabeth Odio Benito, Juez</w:t>
      </w:r>
      <w:r w:rsidR="00000C65" w:rsidRPr="00470C7C">
        <w:rPr>
          <w:rFonts w:eastAsia="Times New Roman" w:cs="Times New Roman"/>
          <w:szCs w:val="20"/>
          <w:lang w:val="es-ES_tradnl"/>
        </w:rPr>
        <w:t>a</w:t>
      </w:r>
      <w:r w:rsidRPr="00470C7C">
        <w:rPr>
          <w:rFonts w:eastAsia="Times New Roman" w:cs="Times New Roman"/>
          <w:szCs w:val="20"/>
          <w:lang w:val="es-ES_tradnl"/>
        </w:rPr>
        <w:t xml:space="preserve">; </w:t>
      </w:r>
    </w:p>
    <w:p w14:paraId="4E513611" w14:textId="77777777" w:rsidR="00BA1ACF" w:rsidRPr="00470C7C" w:rsidRDefault="00BA1ACF" w:rsidP="00140440">
      <w:pPr>
        <w:tabs>
          <w:tab w:val="clear" w:pos="4419"/>
          <w:tab w:val="clear" w:pos="8838"/>
        </w:tabs>
        <w:ind w:right="-138"/>
        <w:jc w:val="both"/>
        <w:rPr>
          <w:rFonts w:eastAsia="Times New Roman" w:cs="Times New Roman"/>
          <w:szCs w:val="20"/>
          <w:lang w:val="es-ES_tradnl"/>
        </w:rPr>
      </w:pPr>
      <w:r w:rsidRPr="00470C7C">
        <w:rPr>
          <w:rFonts w:eastAsia="Times New Roman" w:cs="Times New Roman"/>
          <w:szCs w:val="20"/>
          <w:lang w:val="es-ES_tradnl"/>
        </w:rPr>
        <w:t xml:space="preserve">Eugenio Raúl Zaffaroni, Juez, y </w:t>
      </w:r>
    </w:p>
    <w:p w14:paraId="1C93FE8C" w14:textId="77777777" w:rsidR="00BA1ACF" w:rsidRPr="00470C7C" w:rsidRDefault="00BA1ACF" w:rsidP="00140440">
      <w:pPr>
        <w:tabs>
          <w:tab w:val="clear" w:pos="4419"/>
          <w:tab w:val="clear" w:pos="8838"/>
        </w:tabs>
        <w:ind w:right="-138"/>
        <w:jc w:val="both"/>
        <w:rPr>
          <w:rFonts w:eastAsia="Batang" w:cs="Times"/>
          <w:szCs w:val="24"/>
          <w:lang w:val="es-ES_tradnl"/>
        </w:rPr>
      </w:pPr>
      <w:r w:rsidRPr="00470C7C">
        <w:rPr>
          <w:rFonts w:eastAsia="Batang" w:cs="Times"/>
          <w:szCs w:val="24"/>
          <w:lang w:val="es-ES_tradnl"/>
        </w:rPr>
        <w:t xml:space="preserve">L. Patricio Pazmiño Freire, Juez; </w:t>
      </w:r>
    </w:p>
    <w:p w14:paraId="74990890" w14:textId="77777777" w:rsidR="00BA1ACF" w:rsidRPr="00470C7C" w:rsidRDefault="00BA1ACF" w:rsidP="00140440">
      <w:pPr>
        <w:tabs>
          <w:tab w:val="clear" w:pos="4419"/>
          <w:tab w:val="clear" w:pos="8838"/>
        </w:tabs>
        <w:ind w:right="-138"/>
        <w:jc w:val="both"/>
        <w:rPr>
          <w:rFonts w:eastAsia="Batang" w:cs="Times"/>
          <w:szCs w:val="24"/>
          <w:lang w:val="es-ES_tradnl"/>
        </w:rPr>
      </w:pPr>
    </w:p>
    <w:p w14:paraId="2DEA75FF" w14:textId="77777777" w:rsidR="00BA1ACF" w:rsidRPr="00470C7C" w:rsidRDefault="00BA1ACF" w:rsidP="00140440">
      <w:pPr>
        <w:tabs>
          <w:tab w:val="clear" w:pos="4419"/>
          <w:tab w:val="clear" w:pos="8838"/>
        </w:tabs>
        <w:ind w:right="-138"/>
        <w:jc w:val="both"/>
        <w:rPr>
          <w:rFonts w:eastAsia="Batang" w:cs="Times"/>
          <w:szCs w:val="24"/>
          <w:lang w:val="es-ES_tradnl"/>
        </w:rPr>
      </w:pPr>
      <w:r w:rsidRPr="00470C7C">
        <w:rPr>
          <w:rFonts w:eastAsia="Batang" w:cs="Times"/>
          <w:szCs w:val="24"/>
          <w:lang w:val="es-ES_tradnl"/>
        </w:rPr>
        <w:t>presentes, además,</w:t>
      </w:r>
    </w:p>
    <w:p w14:paraId="16BD90E1" w14:textId="77777777" w:rsidR="00BA1ACF" w:rsidRPr="00470C7C" w:rsidRDefault="00BA1ACF" w:rsidP="00140440">
      <w:pPr>
        <w:tabs>
          <w:tab w:val="clear" w:pos="4419"/>
          <w:tab w:val="clear" w:pos="8838"/>
        </w:tabs>
        <w:ind w:right="-138"/>
        <w:jc w:val="both"/>
        <w:rPr>
          <w:rFonts w:eastAsia="Batang" w:cs="Times"/>
          <w:szCs w:val="24"/>
          <w:lang w:val="es-ES_tradnl"/>
        </w:rPr>
      </w:pPr>
    </w:p>
    <w:p w14:paraId="016BC808" w14:textId="77777777" w:rsidR="00BA1ACF" w:rsidRPr="00470C7C" w:rsidRDefault="00BA1ACF" w:rsidP="00140440">
      <w:pPr>
        <w:tabs>
          <w:tab w:val="clear" w:pos="4419"/>
          <w:tab w:val="clear" w:pos="8838"/>
        </w:tabs>
        <w:jc w:val="both"/>
        <w:rPr>
          <w:rFonts w:eastAsia="Batang" w:cs="Times"/>
          <w:szCs w:val="24"/>
          <w:lang w:val="es-ES_tradnl"/>
        </w:rPr>
      </w:pPr>
      <w:r w:rsidRPr="00470C7C">
        <w:rPr>
          <w:rFonts w:eastAsia="Batang" w:cs="Times"/>
          <w:szCs w:val="24"/>
          <w:lang w:val="es-ES_tradnl"/>
        </w:rPr>
        <w:t xml:space="preserve">Pablo Saavedra Alessandri, </w:t>
      </w:r>
      <w:proofErr w:type="gramStart"/>
      <w:r w:rsidRPr="00470C7C">
        <w:rPr>
          <w:rFonts w:eastAsia="Batang" w:cs="Times"/>
          <w:szCs w:val="24"/>
          <w:lang w:val="es-ES_tradnl"/>
        </w:rPr>
        <w:t>Secretario</w:t>
      </w:r>
      <w:proofErr w:type="gramEnd"/>
      <w:r w:rsidRPr="00470C7C">
        <w:rPr>
          <w:rFonts w:eastAsia="Batang" w:cs="Times"/>
          <w:szCs w:val="24"/>
          <w:lang w:val="es-ES_tradnl"/>
        </w:rPr>
        <w:t>, y</w:t>
      </w:r>
    </w:p>
    <w:p w14:paraId="1EE5888A" w14:textId="77777777" w:rsidR="00BA1ACF" w:rsidRPr="00470C7C" w:rsidRDefault="00BA1ACF" w:rsidP="00140440">
      <w:pPr>
        <w:tabs>
          <w:tab w:val="clear" w:pos="4419"/>
          <w:tab w:val="clear" w:pos="8838"/>
        </w:tabs>
        <w:ind w:right="-138"/>
        <w:jc w:val="both"/>
        <w:rPr>
          <w:rFonts w:eastAsia="Batang" w:cs="Times"/>
          <w:szCs w:val="24"/>
          <w:lang w:val="es-ES_tradnl"/>
        </w:rPr>
      </w:pPr>
      <w:r w:rsidRPr="00470C7C">
        <w:rPr>
          <w:rFonts w:eastAsia="Batang" w:cs="Times"/>
          <w:szCs w:val="24"/>
          <w:lang w:val="es-ES_tradnl"/>
        </w:rPr>
        <w:t>Emilia Segares Rodríguez, Secretaria Adjunta,</w:t>
      </w:r>
    </w:p>
    <w:p w14:paraId="66B3E15C" w14:textId="77777777" w:rsidR="00BA1ACF" w:rsidRPr="00470C7C" w:rsidRDefault="00BA1ACF" w:rsidP="00140440">
      <w:pPr>
        <w:tabs>
          <w:tab w:val="clear" w:pos="4419"/>
          <w:tab w:val="clear" w:pos="8838"/>
        </w:tabs>
        <w:ind w:right="-138"/>
        <w:jc w:val="both"/>
        <w:rPr>
          <w:rFonts w:eastAsia="Batang" w:cs="Times"/>
          <w:szCs w:val="24"/>
          <w:lang w:val="es-ES_tradnl"/>
        </w:rPr>
      </w:pPr>
    </w:p>
    <w:p w14:paraId="1DD979DA" w14:textId="77777777" w:rsidR="00BA1ACF" w:rsidRPr="00470C7C" w:rsidRDefault="00BA1ACF" w:rsidP="00140440">
      <w:pPr>
        <w:tabs>
          <w:tab w:val="clear" w:pos="4419"/>
          <w:tab w:val="clear" w:pos="8838"/>
        </w:tabs>
        <w:ind w:right="-138"/>
        <w:jc w:val="both"/>
        <w:rPr>
          <w:rFonts w:eastAsia="Batang" w:cs="Times"/>
          <w:szCs w:val="24"/>
          <w:lang w:val="es-ES_tradnl"/>
        </w:rPr>
      </w:pPr>
      <w:r w:rsidRPr="00470C7C">
        <w:rPr>
          <w:rFonts w:eastAsia="Batang" w:cs="Times"/>
          <w:szCs w:val="24"/>
          <w:lang w:val="es-ES_tradnl"/>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w:t>
      </w:r>
      <w:r w:rsidR="005F5A3A" w:rsidRPr="00470C7C">
        <w:rPr>
          <w:rFonts w:eastAsia="Batang" w:cs="Times"/>
          <w:szCs w:val="24"/>
          <w:lang w:val="es-ES_tradnl"/>
        </w:rPr>
        <w:t>tructura en el siguiente orden:</w:t>
      </w:r>
    </w:p>
    <w:p w14:paraId="3B245FE3" w14:textId="77777777" w:rsidR="00BA1ACF" w:rsidRPr="00470C7C" w:rsidRDefault="00BA1ACF" w:rsidP="00CC20FF">
      <w:pPr>
        <w:tabs>
          <w:tab w:val="clear" w:pos="4419"/>
          <w:tab w:val="clear" w:pos="8838"/>
        </w:tabs>
        <w:spacing w:after="40"/>
        <w:ind w:right="-138"/>
        <w:jc w:val="center"/>
        <w:rPr>
          <w:rFonts w:eastAsia="Batang" w:cs="Times"/>
          <w:b/>
          <w:noProof/>
          <w:szCs w:val="20"/>
          <w:lang w:val="es-ES_tradnl"/>
        </w:rPr>
      </w:pPr>
      <w:r w:rsidRPr="00470C7C">
        <w:rPr>
          <w:rFonts w:eastAsia="Batang" w:cs="Times"/>
          <w:szCs w:val="24"/>
          <w:lang w:val="es-ES_tradnl"/>
        </w:rPr>
        <w:br w:type="page"/>
      </w:r>
      <w:r w:rsidR="001F559F" w:rsidRPr="00470C7C">
        <w:rPr>
          <w:rFonts w:eastAsia="Batang" w:cs="Times"/>
          <w:b/>
          <w:noProof/>
          <w:szCs w:val="20"/>
          <w:lang w:val="es-ES_tradnl"/>
        </w:rPr>
        <w:lastRenderedPageBreak/>
        <w:t>ÍNDICE</w:t>
      </w:r>
    </w:p>
    <w:p w14:paraId="7D7F4A13" w14:textId="77777777" w:rsidR="00BA1ACF" w:rsidRPr="00470C7C" w:rsidRDefault="00BA1ACF" w:rsidP="00CC20FF">
      <w:pPr>
        <w:tabs>
          <w:tab w:val="clear" w:pos="4419"/>
          <w:tab w:val="clear" w:pos="8838"/>
        </w:tabs>
        <w:spacing w:after="40"/>
        <w:jc w:val="both"/>
        <w:rPr>
          <w:rFonts w:eastAsia="Batang" w:cs="Times"/>
          <w:noProof/>
          <w:szCs w:val="20"/>
          <w:lang w:val="es-ES_tradnl"/>
        </w:rPr>
      </w:pPr>
    </w:p>
    <w:p w14:paraId="1749A71A" w14:textId="523ADFB4" w:rsidR="00B2396C" w:rsidRPr="00470C7C" w:rsidRDefault="00FF5DA8" w:rsidP="00E853FC">
      <w:pPr>
        <w:pStyle w:val="TDC1"/>
        <w:tabs>
          <w:tab w:val="clear" w:pos="9356"/>
        </w:tabs>
        <w:spacing w:after="40"/>
        <w:rPr>
          <w:rFonts w:eastAsiaTheme="minorEastAsia"/>
          <w:noProof/>
          <w:sz w:val="20"/>
          <w:szCs w:val="20"/>
          <w:lang w:val="es-ES" w:eastAsia="es-ES"/>
        </w:rPr>
      </w:pPr>
      <w:r w:rsidRPr="00470C7C">
        <w:rPr>
          <w:rFonts w:eastAsia="Batang" w:cs="Times"/>
          <w:noProof/>
          <w:sz w:val="20"/>
          <w:szCs w:val="20"/>
          <w:lang w:val="es-ES_tradnl"/>
        </w:rPr>
        <w:fldChar w:fldCharType="begin"/>
      </w:r>
      <w:r w:rsidR="00BA1ACF" w:rsidRPr="00470C7C">
        <w:rPr>
          <w:rFonts w:eastAsia="Batang" w:cs="Times"/>
          <w:noProof/>
          <w:sz w:val="20"/>
          <w:szCs w:val="20"/>
          <w:lang w:val="es-ES_tradnl"/>
        </w:rPr>
        <w:instrText xml:space="preserve"> TOC \o "1-5" \h \z \u </w:instrText>
      </w:r>
      <w:r w:rsidRPr="00470C7C">
        <w:rPr>
          <w:rFonts w:eastAsia="Batang" w:cs="Times"/>
          <w:noProof/>
          <w:sz w:val="20"/>
          <w:szCs w:val="20"/>
          <w:lang w:val="es-ES_tradnl"/>
        </w:rPr>
        <w:fldChar w:fldCharType="separate"/>
      </w:r>
      <w:hyperlink w:anchor="_Toc464813884" w:history="1">
        <w:r w:rsidR="00B2396C" w:rsidRPr="00470C7C">
          <w:rPr>
            <w:rStyle w:val="Hipervnculo"/>
            <w:noProof/>
            <w:sz w:val="20"/>
            <w:szCs w:val="20"/>
            <w:u w:val="none"/>
          </w:rPr>
          <w:t>I INTRODUCCIÓN DE LA CAUSA Y OBJETO DE LA CONTROVERSIA</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_Toc464813884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4</w:t>
        </w:r>
        <w:r w:rsidR="00B2396C" w:rsidRPr="00470C7C">
          <w:rPr>
            <w:noProof/>
            <w:webHidden/>
            <w:sz w:val="20"/>
            <w:szCs w:val="20"/>
          </w:rPr>
          <w:fldChar w:fldCharType="end"/>
        </w:r>
      </w:hyperlink>
    </w:p>
    <w:p w14:paraId="7F9C4F02" w14:textId="17D4468D" w:rsidR="00B2396C" w:rsidRPr="00470C7C" w:rsidRDefault="00AE4298" w:rsidP="00E853FC">
      <w:pPr>
        <w:pStyle w:val="TDC1"/>
        <w:spacing w:after="40"/>
        <w:rPr>
          <w:rFonts w:eastAsiaTheme="minorEastAsia"/>
          <w:noProof/>
          <w:sz w:val="20"/>
          <w:szCs w:val="20"/>
          <w:lang w:val="es-ES" w:eastAsia="es-ES"/>
        </w:rPr>
      </w:pPr>
      <w:hyperlink w:anchor="_Toc464813885" w:history="1">
        <w:r w:rsidR="00B2396C" w:rsidRPr="00470C7C">
          <w:rPr>
            <w:rStyle w:val="Hipervnculo"/>
            <w:noProof/>
            <w:sz w:val="20"/>
            <w:szCs w:val="20"/>
            <w:u w:val="none"/>
            <w:lang w:val="es-ES_tradnl"/>
          </w:rPr>
          <w:t>II PROCEDIMIENTO ANTE LA CORTE</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_Toc464813885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6</w:t>
        </w:r>
        <w:r w:rsidR="00B2396C" w:rsidRPr="00470C7C">
          <w:rPr>
            <w:noProof/>
            <w:webHidden/>
            <w:sz w:val="20"/>
            <w:szCs w:val="20"/>
          </w:rPr>
          <w:fldChar w:fldCharType="end"/>
        </w:r>
      </w:hyperlink>
    </w:p>
    <w:p w14:paraId="2A8FF345" w14:textId="2689F8F0" w:rsidR="00B2396C" w:rsidRPr="00470C7C" w:rsidRDefault="00AE4298" w:rsidP="00E853FC">
      <w:pPr>
        <w:pStyle w:val="TDC1"/>
        <w:spacing w:after="40"/>
        <w:rPr>
          <w:rFonts w:eastAsiaTheme="minorEastAsia"/>
          <w:noProof/>
          <w:sz w:val="20"/>
          <w:szCs w:val="20"/>
          <w:lang w:val="es-ES" w:eastAsia="es-ES"/>
        </w:rPr>
      </w:pPr>
      <w:hyperlink w:anchor="_Toc464813886" w:history="1">
        <w:r w:rsidR="00B2396C" w:rsidRPr="00470C7C">
          <w:rPr>
            <w:rStyle w:val="Hipervnculo"/>
            <w:rFonts w:eastAsia="Times New Roman" w:cs="Verdana"/>
            <w:bCs/>
            <w:noProof/>
            <w:snapToGrid w:val="0"/>
            <w:sz w:val="20"/>
            <w:szCs w:val="20"/>
            <w:u w:val="none"/>
            <w:lang w:eastAsia="es-ES"/>
          </w:rPr>
          <w:t>III COMPETENCIA</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_Toc464813886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8</w:t>
        </w:r>
        <w:r w:rsidR="00B2396C" w:rsidRPr="00470C7C">
          <w:rPr>
            <w:noProof/>
            <w:webHidden/>
            <w:sz w:val="20"/>
            <w:szCs w:val="20"/>
          </w:rPr>
          <w:fldChar w:fldCharType="end"/>
        </w:r>
      </w:hyperlink>
    </w:p>
    <w:p w14:paraId="6F745523" w14:textId="5F0DDC4D" w:rsidR="00B2396C" w:rsidRPr="00470C7C" w:rsidRDefault="00AE4298" w:rsidP="00E853FC">
      <w:pPr>
        <w:pStyle w:val="TDC1"/>
        <w:spacing w:after="40"/>
        <w:rPr>
          <w:rFonts w:eastAsiaTheme="minorEastAsia"/>
          <w:noProof/>
          <w:sz w:val="20"/>
          <w:szCs w:val="20"/>
          <w:lang w:val="es-ES" w:eastAsia="es-ES"/>
        </w:rPr>
      </w:pPr>
      <w:hyperlink w:anchor="_Toc464813887" w:history="1">
        <w:r w:rsidR="00B2396C" w:rsidRPr="00470C7C">
          <w:rPr>
            <w:rStyle w:val="Hipervnculo"/>
            <w:rFonts w:eastAsia="Times New Roman" w:cs="Verdana"/>
            <w:bCs/>
            <w:caps/>
            <w:noProof/>
            <w:snapToGrid w:val="0"/>
            <w:sz w:val="20"/>
            <w:szCs w:val="20"/>
            <w:u w:val="none"/>
            <w:lang w:eastAsia="es-ES"/>
          </w:rPr>
          <w:t>IV EXCEPCIONES PRELIMINARES</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_Toc464813887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8</w:t>
        </w:r>
        <w:r w:rsidR="00B2396C" w:rsidRPr="00470C7C">
          <w:rPr>
            <w:noProof/>
            <w:webHidden/>
            <w:sz w:val="20"/>
            <w:szCs w:val="20"/>
          </w:rPr>
          <w:fldChar w:fldCharType="end"/>
        </w:r>
      </w:hyperlink>
    </w:p>
    <w:p w14:paraId="5CF30CF5" w14:textId="17CA7967" w:rsidR="00B2396C" w:rsidRPr="00470C7C" w:rsidRDefault="00AE4298" w:rsidP="007078C6">
      <w:pPr>
        <w:pStyle w:val="TDC2"/>
        <w:rPr>
          <w:rFonts w:eastAsiaTheme="minorEastAsia"/>
          <w:noProof/>
          <w:lang w:val="es-ES" w:eastAsia="es-ES"/>
        </w:rPr>
      </w:pPr>
      <w:hyperlink w:anchor="_Toc464813888" w:history="1">
        <w:r w:rsidR="00B2396C" w:rsidRPr="00470C7C">
          <w:rPr>
            <w:rStyle w:val="Hipervnculo"/>
            <w:rFonts w:eastAsia="Batang"/>
            <w:noProof/>
            <w:szCs w:val="20"/>
            <w:u w:val="none"/>
            <w:lang w:eastAsia="es-ES"/>
          </w:rPr>
          <w:t>A.</w:t>
        </w:r>
        <w:r w:rsidR="00B2396C" w:rsidRPr="00470C7C">
          <w:rPr>
            <w:rFonts w:eastAsiaTheme="minorEastAsia"/>
            <w:noProof/>
            <w:lang w:val="es-ES" w:eastAsia="es-ES"/>
          </w:rPr>
          <w:tab/>
        </w:r>
        <w:r w:rsidR="006B1A95" w:rsidRPr="00470C7C">
          <w:rPr>
            <w:rFonts w:eastAsiaTheme="minorEastAsia"/>
            <w:noProof/>
            <w:lang w:val="es-ES" w:eastAsia="es-ES"/>
          </w:rPr>
          <w:t xml:space="preserve"> </w:t>
        </w:r>
        <w:r w:rsidR="00B2396C" w:rsidRPr="00470C7C">
          <w:rPr>
            <w:rStyle w:val="Hipervnculo"/>
            <w:rFonts w:eastAsia="Batang"/>
            <w:noProof/>
            <w:szCs w:val="20"/>
            <w:u w:val="none"/>
            <w:lang w:eastAsia="es-ES"/>
          </w:rPr>
          <w:t>Alegada inadmisibilidad del sometimiento del caso a la Corte en virtud de la publicación del Informe de Fondo por parte de la Comisión</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_Toc464813888 \h </w:instrText>
        </w:r>
        <w:r w:rsidR="00B2396C" w:rsidRPr="00470C7C">
          <w:rPr>
            <w:noProof/>
            <w:webHidden/>
          </w:rPr>
        </w:r>
        <w:r w:rsidR="00B2396C" w:rsidRPr="00470C7C">
          <w:rPr>
            <w:noProof/>
            <w:webHidden/>
          </w:rPr>
          <w:fldChar w:fldCharType="separate"/>
        </w:r>
        <w:r w:rsidR="00BD5C22">
          <w:rPr>
            <w:noProof/>
            <w:webHidden/>
          </w:rPr>
          <w:t>9</w:t>
        </w:r>
        <w:r w:rsidR="00B2396C" w:rsidRPr="00470C7C">
          <w:rPr>
            <w:noProof/>
            <w:webHidden/>
          </w:rPr>
          <w:fldChar w:fldCharType="end"/>
        </w:r>
      </w:hyperlink>
    </w:p>
    <w:p w14:paraId="73450CE9" w14:textId="144B20A3" w:rsidR="00B2396C" w:rsidRPr="00470C7C" w:rsidRDefault="00AE4298" w:rsidP="007078C6">
      <w:pPr>
        <w:pStyle w:val="TDC2"/>
        <w:rPr>
          <w:rFonts w:eastAsiaTheme="minorEastAsia"/>
          <w:noProof/>
          <w:lang w:val="es-ES" w:eastAsia="es-ES"/>
        </w:rPr>
      </w:pPr>
      <w:hyperlink w:anchor="_Toc464813891" w:history="1">
        <w:r w:rsidR="00B2396C" w:rsidRPr="00470C7C">
          <w:rPr>
            <w:rStyle w:val="Hipervnculo"/>
            <w:rFonts w:eastAsia="Batang"/>
            <w:noProof/>
            <w:szCs w:val="20"/>
            <w:u w:val="none"/>
            <w:lang w:eastAsia="es-ES"/>
          </w:rPr>
          <w:t>B.</w:t>
        </w:r>
        <w:r w:rsidR="009F4724" w:rsidRPr="00470C7C">
          <w:rPr>
            <w:rStyle w:val="Hipervnculo"/>
            <w:rFonts w:eastAsia="Batang"/>
            <w:noProof/>
            <w:szCs w:val="20"/>
            <w:u w:val="none"/>
            <w:lang w:eastAsia="es-ES"/>
          </w:rPr>
          <w:t xml:space="preserve"> </w:t>
        </w:r>
        <w:r w:rsidR="00B2396C" w:rsidRPr="00470C7C">
          <w:rPr>
            <w:rStyle w:val="Hipervnculo"/>
            <w:rFonts w:eastAsia="Batang"/>
            <w:noProof/>
            <w:szCs w:val="20"/>
            <w:u w:val="none"/>
            <w:lang w:eastAsia="es-ES"/>
          </w:rPr>
          <w:t>Alegada incompetencia ratione personae respecto de las presuntas víctimas</w:t>
        </w:r>
        <w:r w:rsidR="009F4724" w:rsidRPr="00470C7C">
          <w:rPr>
            <w:rStyle w:val="Hipervnculo"/>
            <w:rFonts w:eastAsia="Batang"/>
            <w:noProof/>
            <w:szCs w:val="20"/>
            <w:u w:val="none"/>
            <w:lang w:eastAsia="es-ES"/>
          </w:rPr>
          <w:t xml:space="preserve"> </w:t>
        </w:r>
        <w:r w:rsidR="009F4724" w:rsidRPr="00470C7C">
          <w:rPr>
            <w:rStyle w:val="Hipervnculo"/>
            <w:rFonts w:eastAsia="Batang"/>
            <w:noProof/>
            <w:szCs w:val="20"/>
            <w:u w:val="none"/>
            <w:lang w:eastAsia="es-ES"/>
          </w:rPr>
          <w:tab/>
        </w:r>
        <w:r w:rsidR="00B2396C" w:rsidRPr="00470C7C">
          <w:rPr>
            <w:noProof/>
            <w:webHidden/>
          </w:rPr>
          <w:fldChar w:fldCharType="begin"/>
        </w:r>
        <w:r w:rsidR="00B2396C" w:rsidRPr="00470C7C">
          <w:rPr>
            <w:noProof/>
            <w:webHidden/>
          </w:rPr>
          <w:instrText xml:space="preserve"> PAGEREF _Toc464813891 \h </w:instrText>
        </w:r>
        <w:r w:rsidR="00B2396C" w:rsidRPr="00470C7C">
          <w:rPr>
            <w:noProof/>
            <w:webHidden/>
          </w:rPr>
        </w:r>
        <w:r w:rsidR="00B2396C" w:rsidRPr="00470C7C">
          <w:rPr>
            <w:noProof/>
            <w:webHidden/>
          </w:rPr>
          <w:fldChar w:fldCharType="separate"/>
        </w:r>
        <w:r w:rsidR="00BD5C22">
          <w:rPr>
            <w:noProof/>
            <w:webHidden/>
          </w:rPr>
          <w:t>11</w:t>
        </w:r>
        <w:r w:rsidR="00B2396C" w:rsidRPr="00470C7C">
          <w:rPr>
            <w:noProof/>
            <w:webHidden/>
          </w:rPr>
          <w:fldChar w:fldCharType="end"/>
        </w:r>
      </w:hyperlink>
    </w:p>
    <w:p w14:paraId="3B0D34CA" w14:textId="441668E6" w:rsidR="00B2396C" w:rsidRPr="00470C7C" w:rsidRDefault="00AE4298" w:rsidP="007078C6">
      <w:pPr>
        <w:pStyle w:val="TDC2"/>
        <w:rPr>
          <w:rFonts w:eastAsiaTheme="minorEastAsia"/>
          <w:noProof/>
          <w:lang w:val="es-ES" w:eastAsia="es-ES"/>
        </w:rPr>
      </w:pPr>
      <w:hyperlink w:anchor="_Toc464813896" w:history="1">
        <w:r w:rsidR="00B2396C" w:rsidRPr="00470C7C">
          <w:rPr>
            <w:rStyle w:val="Hipervnculo"/>
            <w:rFonts w:eastAsia="Batang"/>
            <w:noProof/>
            <w:szCs w:val="20"/>
            <w:u w:val="none"/>
            <w:lang w:eastAsia="es-ES"/>
          </w:rPr>
          <w:t>C.</w:t>
        </w:r>
        <w:r w:rsidR="009F4724" w:rsidRPr="00470C7C">
          <w:rPr>
            <w:rStyle w:val="Hipervnculo"/>
            <w:rFonts w:eastAsia="Batang"/>
            <w:noProof/>
            <w:szCs w:val="20"/>
            <w:u w:val="none"/>
            <w:lang w:eastAsia="es-ES"/>
          </w:rPr>
          <w:t xml:space="preserve"> </w:t>
        </w:r>
        <w:r w:rsidR="00B2396C" w:rsidRPr="00470C7C">
          <w:rPr>
            <w:rStyle w:val="Hipervnculo"/>
            <w:rFonts w:eastAsia="Batang"/>
            <w:noProof/>
            <w:szCs w:val="20"/>
            <w:u w:val="none"/>
            <w:lang w:eastAsia="es-ES"/>
          </w:rPr>
          <w:t>Alegada incompetencia ratione personae de violaciones en abstracto</w:t>
        </w:r>
        <w:r w:rsidR="009F4724" w:rsidRPr="00470C7C">
          <w:rPr>
            <w:rStyle w:val="Hipervnculo"/>
            <w:rFonts w:eastAsia="Batang"/>
            <w:noProof/>
            <w:szCs w:val="20"/>
            <w:u w:val="none"/>
            <w:lang w:eastAsia="es-ES"/>
          </w:rPr>
          <w:t xml:space="preserve"> </w:t>
        </w:r>
        <w:r w:rsidR="009F4724" w:rsidRPr="00470C7C">
          <w:rPr>
            <w:rStyle w:val="Hipervnculo"/>
            <w:rFonts w:eastAsia="Batang"/>
            <w:noProof/>
            <w:szCs w:val="20"/>
            <w:u w:val="none"/>
            <w:lang w:eastAsia="es-ES"/>
          </w:rPr>
          <w:tab/>
        </w:r>
        <w:r w:rsidR="00B2396C" w:rsidRPr="00470C7C">
          <w:rPr>
            <w:noProof/>
            <w:webHidden/>
          </w:rPr>
          <w:fldChar w:fldCharType="begin"/>
        </w:r>
        <w:r w:rsidR="00B2396C" w:rsidRPr="00470C7C">
          <w:rPr>
            <w:noProof/>
            <w:webHidden/>
          </w:rPr>
          <w:instrText xml:space="preserve"> PAGEREF _Toc464813896 \h </w:instrText>
        </w:r>
        <w:r w:rsidR="00B2396C" w:rsidRPr="00470C7C">
          <w:rPr>
            <w:noProof/>
            <w:webHidden/>
          </w:rPr>
        </w:r>
        <w:r w:rsidR="00B2396C" w:rsidRPr="00470C7C">
          <w:rPr>
            <w:noProof/>
            <w:webHidden/>
          </w:rPr>
          <w:fldChar w:fldCharType="separate"/>
        </w:r>
        <w:r w:rsidR="00BD5C22">
          <w:rPr>
            <w:noProof/>
            <w:webHidden/>
          </w:rPr>
          <w:t>15</w:t>
        </w:r>
        <w:r w:rsidR="00B2396C" w:rsidRPr="00470C7C">
          <w:rPr>
            <w:noProof/>
            <w:webHidden/>
          </w:rPr>
          <w:fldChar w:fldCharType="end"/>
        </w:r>
      </w:hyperlink>
    </w:p>
    <w:p w14:paraId="04AF03D3" w14:textId="190B50DE" w:rsidR="00B2396C" w:rsidRPr="00470C7C" w:rsidRDefault="00AE4298" w:rsidP="007078C6">
      <w:pPr>
        <w:pStyle w:val="TDC2"/>
        <w:rPr>
          <w:rFonts w:eastAsiaTheme="minorEastAsia"/>
          <w:noProof/>
          <w:lang w:val="es-ES" w:eastAsia="es-ES"/>
        </w:rPr>
      </w:pPr>
      <w:hyperlink w:anchor="_Toc464813899" w:history="1">
        <w:r w:rsidR="00B2396C" w:rsidRPr="00470C7C">
          <w:rPr>
            <w:rStyle w:val="Hipervnculo"/>
            <w:rFonts w:eastAsia="Batang"/>
            <w:noProof/>
            <w:szCs w:val="20"/>
            <w:u w:val="none"/>
            <w:lang w:eastAsia="es-ES"/>
          </w:rPr>
          <w:t>D.</w:t>
        </w:r>
        <w:r w:rsidR="006B1A95" w:rsidRPr="00470C7C">
          <w:rPr>
            <w:rStyle w:val="Hipervnculo"/>
            <w:rFonts w:eastAsia="Batang"/>
            <w:noProof/>
            <w:szCs w:val="20"/>
            <w:u w:val="none"/>
            <w:lang w:eastAsia="es-ES"/>
          </w:rPr>
          <w:t xml:space="preserve"> </w:t>
        </w:r>
        <w:r w:rsidR="00B2396C" w:rsidRPr="00470C7C">
          <w:rPr>
            <w:rFonts w:eastAsiaTheme="minorEastAsia"/>
            <w:noProof/>
            <w:lang w:val="es-ES" w:eastAsia="es-ES"/>
          </w:rPr>
          <w:tab/>
        </w:r>
        <w:r w:rsidR="00B2396C" w:rsidRPr="00470C7C">
          <w:rPr>
            <w:rStyle w:val="Hipervnculo"/>
            <w:rFonts w:eastAsia="Batang"/>
            <w:noProof/>
            <w:szCs w:val="20"/>
            <w:u w:val="none"/>
            <w:lang w:eastAsia="es-ES"/>
          </w:rPr>
          <w:t xml:space="preserve">Alegada incompetencia ratione temporis respecto de hechos anteriores a la fecha de reconocimiento de la jurisdicción de la Corte, y </w:t>
        </w:r>
        <w:r w:rsidR="000F4A9C" w:rsidRPr="00470C7C">
          <w:rPr>
            <w:rStyle w:val="Hipervnculo"/>
            <w:rFonts w:eastAsia="Batang"/>
            <w:noProof/>
            <w:szCs w:val="20"/>
            <w:u w:val="none"/>
            <w:lang w:eastAsia="es-ES"/>
          </w:rPr>
          <w:t>a</w:t>
        </w:r>
        <w:r w:rsidR="00B2396C" w:rsidRPr="00470C7C">
          <w:rPr>
            <w:rStyle w:val="Hipervnculo"/>
            <w:rFonts w:eastAsia="Batang"/>
            <w:noProof/>
            <w:szCs w:val="20"/>
            <w:u w:val="none"/>
            <w:lang w:eastAsia="es-ES"/>
          </w:rPr>
          <w:t>legada incompetencia ratione temporis en cuanto a hechos anteriores a la adhesión a la Convención por el Estado</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_Toc464813899 \h </w:instrText>
        </w:r>
        <w:r w:rsidR="00B2396C" w:rsidRPr="00470C7C">
          <w:rPr>
            <w:noProof/>
            <w:webHidden/>
          </w:rPr>
        </w:r>
        <w:r w:rsidR="00B2396C" w:rsidRPr="00470C7C">
          <w:rPr>
            <w:noProof/>
            <w:webHidden/>
          </w:rPr>
          <w:fldChar w:fldCharType="separate"/>
        </w:r>
        <w:r w:rsidR="00BD5C22">
          <w:rPr>
            <w:noProof/>
            <w:webHidden/>
          </w:rPr>
          <w:t>16</w:t>
        </w:r>
        <w:r w:rsidR="00B2396C" w:rsidRPr="00470C7C">
          <w:rPr>
            <w:noProof/>
            <w:webHidden/>
          </w:rPr>
          <w:fldChar w:fldCharType="end"/>
        </w:r>
      </w:hyperlink>
    </w:p>
    <w:p w14:paraId="49327258" w14:textId="02C876D1" w:rsidR="00B2396C" w:rsidRPr="00470C7C" w:rsidRDefault="00AE4298" w:rsidP="007078C6">
      <w:pPr>
        <w:pStyle w:val="TDC2"/>
        <w:rPr>
          <w:rFonts w:eastAsiaTheme="minorEastAsia"/>
          <w:noProof/>
          <w:lang w:val="es-ES" w:eastAsia="es-ES"/>
        </w:rPr>
      </w:pPr>
      <w:hyperlink w:anchor="_Toc464813902" w:history="1">
        <w:r w:rsidR="00B2396C" w:rsidRPr="00470C7C">
          <w:rPr>
            <w:rStyle w:val="Hipervnculo"/>
            <w:rFonts w:eastAsia="Batang"/>
            <w:noProof/>
            <w:szCs w:val="20"/>
            <w:u w:val="none"/>
            <w:lang w:eastAsia="es-ES"/>
          </w:rPr>
          <w:t>E.</w:t>
        </w:r>
        <w:r w:rsidR="00B2396C" w:rsidRPr="00470C7C">
          <w:rPr>
            <w:rFonts w:eastAsiaTheme="minorEastAsia"/>
            <w:noProof/>
            <w:lang w:val="es-ES" w:eastAsia="es-ES"/>
          </w:rPr>
          <w:tab/>
        </w:r>
        <w:r w:rsidR="006B1A95" w:rsidRPr="00470C7C">
          <w:rPr>
            <w:rFonts w:eastAsiaTheme="minorEastAsia"/>
            <w:noProof/>
            <w:lang w:val="es-ES" w:eastAsia="es-ES"/>
          </w:rPr>
          <w:t xml:space="preserve"> </w:t>
        </w:r>
        <w:r w:rsidR="00B2396C" w:rsidRPr="00470C7C">
          <w:rPr>
            <w:rStyle w:val="Hipervnculo"/>
            <w:rFonts w:eastAsia="Batang"/>
            <w:noProof/>
            <w:szCs w:val="20"/>
            <w:u w:val="none"/>
            <w:lang w:eastAsia="es-ES"/>
          </w:rPr>
          <w:t>Alegada incompetencia ratione materiae por violación al principio de subsidiaridad del sistema interamericano</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_Toc464813902 \h </w:instrText>
        </w:r>
        <w:r w:rsidR="00B2396C" w:rsidRPr="00470C7C">
          <w:rPr>
            <w:noProof/>
            <w:webHidden/>
          </w:rPr>
        </w:r>
        <w:r w:rsidR="00B2396C" w:rsidRPr="00470C7C">
          <w:rPr>
            <w:noProof/>
            <w:webHidden/>
          </w:rPr>
          <w:fldChar w:fldCharType="separate"/>
        </w:r>
        <w:r w:rsidR="00BD5C22">
          <w:rPr>
            <w:noProof/>
            <w:webHidden/>
          </w:rPr>
          <w:t>18</w:t>
        </w:r>
        <w:r w:rsidR="00B2396C" w:rsidRPr="00470C7C">
          <w:rPr>
            <w:noProof/>
            <w:webHidden/>
          </w:rPr>
          <w:fldChar w:fldCharType="end"/>
        </w:r>
      </w:hyperlink>
    </w:p>
    <w:p w14:paraId="2F5978C1" w14:textId="3B1B7AF0" w:rsidR="00B2396C" w:rsidRPr="00470C7C" w:rsidRDefault="00AE4298" w:rsidP="007078C6">
      <w:pPr>
        <w:pStyle w:val="TDC2"/>
        <w:rPr>
          <w:rFonts w:eastAsiaTheme="minorEastAsia"/>
          <w:noProof/>
          <w:lang w:val="es-ES" w:eastAsia="es-ES"/>
        </w:rPr>
      </w:pPr>
      <w:hyperlink w:anchor="_Toc464813905" w:history="1">
        <w:r w:rsidR="00B2396C" w:rsidRPr="00470C7C">
          <w:rPr>
            <w:rStyle w:val="Hipervnculo"/>
            <w:rFonts w:eastAsia="Batang"/>
            <w:noProof/>
            <w:szCs w:val="20"/>
            <w:u w:val="none"/>
            <w:lang w:eastAsia="es-ES"/>
          </w:rPr>
          <w:t>F.</w:t>
        </w:r>
        <w:r w:rsidR="006B1A95" w:rsidRPr="00470C7C">
          <w:rPr>
            <w:rStyle w:val="Hipervnculo"/>
            <w:rFonts w:eastAsia="Batang"/>
            <w:noProof/>
            <w:szCs w:val="20"/>
            <w:u w:val="none"/>
            <w:lang w:eastAsia="es-ES"/>
          </w:rPr>
          <w:t xml:space="preserve"> </w:t>
        </w:r>
        <w:r w:rsidR="00B2396C" w:rsidRPr="00470C7C">
          <w:rPr>
            <w:rFonts w:eastAsiaTheme="minorEastAsia"/>
            <w:noProof/>
            <w:lang w:val="es-ES" w:eastAsia="es-ES"/>
          </w:rPr>
          <w:tab/>
        </w:r>
        <w:r w:rsidR="00B2396C" w:rsidRPr="00470C7C">
          <w:rPr>
            <w:rStyle w:val="Hipervnculo"/>
            <w:rFonts w:eastAsia="Batang"/>
            <w:noProof/>
            <w:szCs w:val="20"/>
            <w:u w:val="none"/>
            <w:lang w:eastAsia="es-ES"/>
          </w:rPr>
          <w:t>Alegada incompetencia ratione materiae relativa a presuntas violaciones de la prohibición del tráfico de personas</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_Toc464813905 \h </w:instrText>
        </w:r>
        <w:r w:rsidR="00B2396C" w:rsidRPr="00470C7C">
          <w:rPr>
            <w:noProof/>
            <w:webHidden/>
          </w:rPr>
        </w:r>
        <w:r w:rsidR="00B2396C" w:rsidRPr="00470C7C">
          <w:rPr>
            <w:noProof/>
            <w:webHidden/>
          </w:rPr>
          <w:fldChar w:fldCharType="separate"/>
        </w:r>
        <w:r w:rsidR="00BD5C22">
          <w:rPr>
            <w:noProof/>
            <w:webHidden/>
          </w:rPr>
          <w:t>20</w:t>
        </w:r>
        <w:r w:rsidR="00B2396C" w:rsidRPr="00470C7C">
          <w:rPr>
            <w:noProof/>
            <w:webHidden/>
          </w:rPr>
          <w:fldChar w:fldCharType="end"/>
        </w:r>
      </w:hyperlink>
    </w:p>
    <w:p w14:paraId="167A5557" w14:textId="722CB872" w:rsidR="00B2396C" w:rsidRPr="00470C7C" w:rsidRDefault="00AE4298" w:rsidP="007078C6">
      <w:pPr>
        <w:pStyle w:val="TDC2"/>
        <w:rPr>
          <w:rFonts w:eastAsiaTheme="minorEastAsia"/>
          <w:noProof/>
          <w:lang w:val="es-ES" w:eastAsia="es-ES"/>
        </w:rPr>
      </w:pPr>
      <w:hyperlink w:anchor="_Toc464813908" w:history="1">
        <w:r w:rsidR="00B2396C" w:rsidRPr="00470C7C">
          <w:rPr>
            <w:rStyle w:val="Hipervnculo"/>
            <w:rFonts w:eastAsia="Batang"/>
            <w:noProof/>
            <w:szCs w:val="20"/>
            <w:u w:val="none"/>
            <w:lang w:eastAsia="es-ES"/>
          </w:rPr>
          <w:t>G.</w:t>
        </w:r>
        <w:r w:rsidR="00B2396C" w:rsidRPr="00470C7C">
          <w:rPr>
            <w:rFonts w:eastAsiaTheme="minorEastAsia"/>
            <w:noProof/>
            <w:lang w:val="es-ES" w:eastAsia="es-ES"/>
          </w:rPr>
          <w:tab/>
        </w:r>
        <w:r w:rsidR="006B1A95" w:rsidRPr="00470C7C">
          <w:rPr>
            <w:rFonts w:eastAsiaTheme="minorEastAsia"/>
            <w:noProof/>
            <w:lang w:val="es-ES" w:eastAsia="es-ES"/>
          </w:rPr>
          <w:t xml:space="preserve"> </w:t>
        </w:r>
        <w:r w:rsidR="00B2396C" w:rsidRPr="00470C7C">
          <w:rPr>
            <w:rStyle w:val="Hipervnculo"/>
            <w:rFonts w:eastAsia="Batang"/>
            <w:noProof/>
            <w:szCs w:val="20"/>
            <w:u w:val="none"/>
            <w:lang w:eastAsia="es-ES"/>
          </w:rPr>
          <w:t>Alegada incompetencia ratione materiae sobre supuestas violaciones de derechos laborales</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_Toc464813908 \h </w:instrText>
        </w:r>
        <w:r w:rsidR="00B2396C" w:rsidRPr="00470C7C">
          <w:rPr>
            <w:noProof/>
            <w:webHidden/>
          </w:rPr>
        </w:r>
        <w:r w:rsidR="00B2396C" w:rsidRPr="00470C7C">
          <w:rPr>
            <w:noProof/>
            <w:webHidden/>
          </w:rPr>
          <w:fldChar w:fldCharType="separate"/>
        </w:r>
        <w:r w:rsidR="00BD5C22">
          <w:rPr>
            <w:noProof/>
            <w:webHidden/>
          </w:rPr>
          <w:t>21</w:t>
        </w:r>
        <w:r w:rsidR="00B2396C" w:rsidRPr="00470C7C">
          <w:rPr>
            <w:noProof/>
            <w:webHidden/>
          </w:rPr>
          <w:fldChar w:fldCharType="end"/>
        </w:r>
      </w:hyperlink>
    </w:p>
    <w:p w14:paraId="6E289A2F" w14:textId="5B448DAB" w:rsidR="00B2396C" w:rsidRPr="00470C7C" w:rsidRDefault="00AE4298" w:rsidP="007078C6">
      <w:pPr>
        <w:pStyle w:val="TDC2"/>
        <w:rPr>
          <w:rFonts w:eastAsiaTheme="minorEastAsia"/>
          <w:noProof/>
          <w:lang w:val="es-ES" w:eastAsia="es-ES"/>
        </w:rPr>
      </w:pPr>
      <w:hyperlink w:anchor="_Toc464813911" w:history="1">
        <w:r w:rsidR="00B2396C" w:rsidRPr="00470C7C">
          <w:rPr>
            <w:rStyle w:val="Hipervnculo"/>
            <w:rFonts w:eastAsia="Batang"/>
            <w:noProof/>
            <w:szCs w:val="20"/>
            <w:u w:val="none"/>
            <w:lang w:eastAsia="es-ES"/>
          </w:rPr>
          <w:t>H.</w:t>
        </w:r>
        <w:r w:rsidR="009F4724" w:rsidRPr="00470C7C">
          <w:rPr>
            <w:rStyle w:val="Hipervnculo"/>
            <w:rFonts w:eastAsia="Batang"/>
            <w:noProof/>
            <w:szCs w:val="20"/>
            <w:u w:val="none"/>
            <w:lang w:eastAsia="es-ES"/>
          </w:rPr>
          <w:t xml:space="preserve"> </w:t>
        </w:r>
        <w:r w:rsidR="00B2396C" w:rsidRPr="00470C7C">
          <w:rPr>
            <w:rStyle w:val="Hipervnculo"/>
            <w:rFonts w:eastAsia="Batang"/>
            <w:noProof/>
            <w:szCs w:val="20"/>
            <w:u w:val="none"/>
            <w:lang w:eastAsia="es-ES"/>
          </w:rPr>
          <w:t>Alegada falta de agotamiento previo de los recursos internos</w:t>
        </w:r>
        <w:r w:rsidR="009F4724" w:rsidRPr="00470C7C">
          <w:rPr>
            <w:noProof/>
            <w:webHidden/>
          </w:rPr>
          <w:t xml:space="preserve"> </w:t>
        </w:r>
        <w:r w:rsidR="009F4724" w:rsidRPr="00470C7C">
          <w:rPr>
            <w:noProof/>
            <w:webHidden/>
          </w:rPr>
          <w:tab/>
        </w:r>
        <w:r w:rsidR="00B2396C" w:rsidRPr="00470C7C">
          <w:rPr>
            <w:noProof/>
            <w:webHidden/>
          </w:rPr>
          <w:fldChar w:fldCharType="begin"/>
        </w:r>
        <w:r w:rsidR="00B2396C" w:rsidRPr="00470C7C">
          <w:rPr>
            <w:noProof/>
            <w:webHidden/>
          </w:rPr>
          <w:instrText xml:space="preserve"> PAGEREF _Toc464813911 \h </w:instrText>
        </w:r>
        <w:r w:rsidR="00B2396C" w:rsidRPr="00470C7C">
          <w:rPr>
            <w:noProof/>
            <w:webHidden/>
          </w:rPr>
        </w:r>
        <w:r w:rsidR="00B2396C" w:rsidRPr="00470C7C">
          <w:rPr>
            <w:noProof/>
            <w:webHidden/>
          </w:rPr>
          <w:fldChar w:fldCharType="separate"/>
        </w:r>
        <w:r w:rsidR="00BD5C22">
          <w:rPr>
            <w:noProof/>
            <w:webHidden/>
          </w:rPr>
          <w:t>22</w:t>
        </w:r>
        <w:r w:rsidR="00B2396C" w:rsidRPr="00470C7C">
          <w:rPr>
            <w:noProof/>
            <w:webHidden/>
          </w:rPr>
          <w:fldChar w:fldCharType="end"/>
        </w:r>
      </w:hyperlink>
    </w:p>
    <w:p w14:paraId="26AFE407" w14:textId="25A2FDD3" w:rsidR="00B2396C" w:rsidRPr="00470C7C" w:rsidRDefault="00AE4298" w:rsidP="007078C6">
      <w:pPr>
        <w:pStyle w:val="TDC2"/>
        <w:rPr>
          <w:rStyle w:val="Hipervnculo"/>
          <w:szCs w:val="20"/>
        </w:rPr>
      </w:pPr>
      <w:hyperlink w:anchor="_Toc464813914" w:history="1">
        <w:r w:rsidR="00B2396C" w:rsidRPr="00470C7C">
          <w:rPr>
            <w:rStyle w:val="Hipervnculo"/>
            <w:noProof/>
            <w:szCs w:val="20"/>
          </w:rPr>
          <w:t>I.</w:t>
        </w:r>
        <w:r w:rsidR="00B2396C" w:rsidRPr="00470C7C">
          <w:rPr>
            <w:rStyle w:val="Hipervnculo"/>
            <w:szCs w:val="20"/>
          </w:rPr>
          <w:tab/>
        </w:r>
        <w:r w:rsidR="006B1A95" w:rsidRPr="00470C7C">
          <w:rPr>
            <w:rStyle w:val="Hipervnculo"/>
            <w:szCs w:val="20"/>
          </w:rPr>
          <w:t xml:space="preserve"> </w:t>
        </w:r>
        <w:r w:rsidR="00B2396C" w:rsidRPr="00470C7C">
          <w:rPr>
            <w:rStyle w:val="Hipervnculo"/>
            <w:noProof/>
            <w:szCs w:val="20"/>
          </w:rPr>
          <w:t>Alegada prescripción de la petición ante la Comisión para la reparación de daños morales y materiales</w:t>
        </w:r>
        <w:r w:rsidR="00B2396C" w:rsidRPr="00470C7C">
          <w:rPr>
            <w:rStyle w:val="Hipervnculo"/>
            <w:webHidden/>
            <w:szCs w:val="20"/>
          </w:rPr>
          <w:tab/>
        </w:r>
        <w:r w:rsidR="00B2396C" w:rsidRPr="00470C7C">
          <w:rPr>
            <w:rStyle w:val="Hipervnculo"/>
            <w:webHidden/>
            <w:szCs w:val="20"/>
          </w:rPr>
          <w:fldChar w:fldCharType="begin"/>
        </w:r>
        <w:r w:rsidR="00B2396C" w:rsidRPr="00470C7C">
          <w:rPr>
            <w:rStyle w:val="Hipervnculo"/>
            <w:webHidden/>
            <w:szCs w:val="20"/>
          </w:rPr>
          <w:instrText xml:space="preserve"> PAGEREF _Toc464813914 \h </w:instrText>
        </w:r>
        <w:r w:rsidR="00B2396C" w:rsidRPr="00470C7C">
          <w:rPr>
            <w:rStyle w:val="Hipervnculo"/>
            <w:webHidden/>
            <w:szCs w:val="20"/>
          </w:rPr>
        </w:r>
        <w:r w:rsidR="00B2396C" w:rsidRPr="00470C7C">
          <w:rPr>
            <w:rStyle w:val="Hipervnculo"/>
            <w:webHidden/>
            <w:szCs w:val="20"/>
          </w:rPr>
          <w:fldChar w:fldCharType="separate"/>
        </w:r>
        <w:r w:rsidR="00BD5C22">
          <w:rPr>
            <w:rStyle w:val="Hipervnculo"/>
            <w:noProof/>
            <w:webHidden/>
            <w:szCs w:val="20"/>
          </w:rPr>
          <w:t>24</w:t>
        </w:r>
        <w:r w:rsidR="00B2396C" w:rsidRPr="00470C7C">
          <w:rPr>
            <w:rStyle w:val="Hipervnculo"/>
            <w:webHidden/>
            <w:szCs w:val="20"/>
          </w:rPr>
          <w:fldChar w:fldCharType="end"/>
        </w:r>
      </w:hyperlink>
    </w:p>
    <w:p w14:paraId="44CBAA33" w14:textId="38A532C6" w:rsidR="00B2396C" w:rsidRPr="00470C7C" w:rsidRDefault="00AE4298" w:rsidP="00E853FC">
      <w:pPr>
        <w:pStyle w:val="TDC1"/>
        <w:spacing w:after="40"/>
        <w:rPr>
          <w:rFonts w:eastAsiaTheme="minorEastAsia"/>
          <w:noProof/>
          <w:sz w:val="20"/>
          <w:szCs w:val="20"/>
          <w:lang w:val="es-ES" w:eastAsia="es-ES"/>
        </w:rPr>
      </w:pPr>
      <w:hyperlink w:anchor="_Toc464813917" w:history="1">
        <w:r w:rsidR="00B2396C" w:rsidRPr="00470C7C">
          <w:rPr>
            <w:rStyle w:val="Hipervnculo"/>
            <w:rFonts w:eastAsia="Times New Roman" w:cs="Verdana"/>
            <w:bCs/>
            <w:caps/>
            <w:noProof/>
            <w:snapToGrid w:val="0"/>
            <w:sz w:val="20"/>
            <w:szCs w:val="20"/>
            <w:u w:val="none"/>
            <w:lang w:eastAsia="es-ES"/>
          </w:rPr>
          <w:t>V PRUEBA</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_Toc464813917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25</w:t>
        </w:r>
        <w:r w:rsidR="00B2396C" w:rsidRPr="00470C7C">
          <w:rPr>
            <w:noProof/>
            <w:webHidden/>
            <w:sz w:val="20"/>
            <w:szCs w:val="20"/>
          </w:rPr>
          <w:fldChar w:fldCharType="end"/>
        </w:r>
      </w:hyperlink>
    </w:p>
    <w:p w14:paraId="544D2F35" w14:textId="0685EF6A" w:rsidR="00FD3A54" w:rsidRPr="00470C7C" w:rsidRDefault="00FD3A54" w:rsidP="007078C6">
      <w:pPr>
        <w:pStyle w:val="TDC2"/>
        <w:rPr>
          <w:rFonts w:eastAsiaTheme="minorEastAsia"/>
          <w:noProof/>
          <w:lang w:val="es-ES" w:eastAsia="es-ES"/>
        </w:rPr>
      </w:pPr>
      <w:r w:rsidRPr="00470C7C">
        <w:rPr>
          <w:noProof/>
        </w:rPr>
        <w:t xml:space="preserve">A. </w:t>
      </w:r>
      <w:hyperlink w:anchor="_Toc464813918" w:history="1">
        <w:r w:rsidR="00B2396C" w:rsidRPr="00470C7C">
          <w:rPr>
            <w:rStyle w:val="Hipervnculo"/>
            <w:rFonts w:eastAsia="Batang"/>
            <w:noProof/>
            <w:szCs w:val="20"/>
            <w:u w:val="none"/>
            <w:lang w:eastAsia="es-ES"/>
          </w:rPr>
          <w:t>Prueba documental, testimonial y pericial</w:t>
        </w:r>
        <w:r w:rsidR="009F4724" w:rsidRPr="00470C7C">
          <w:rPr>
            <w:noProof/>
            <w:webHidden/>
          </w:rPr>
          <w:t xml:space="preserve"> </w:t>
        </w:r>
        <w:r w:rsidR="009F4724" w:rsidRPr="00470C7C">
          <w:rPr>
            <w:noProof/>
            <w:webHidden/>
          </w:rPr>
          <w:tab/>
        </w:r>
        <w:r w:rsidR="00B2396C" w:rsidRPr="00470C7C">
          <w:rPr>
            <w:noProof/>
            <w:webHidden/>
          </w:rPr>
          <w:fldChar w:fldCharType="begin"/>
        </w:r>
        <w:r w:rsidR="00B2396C" w:rsidRPr="00470C7C">
          <w:rPr>
            <w:noProof/>
            <w:webHidden/>
          </w:rPr>
          <w:instrText xml:space="preserve"> PAGEREF _Toc464813918 \h </w:instrText>
        </w:r>
        <w:r w:rsidR="00B2396C" w:rsidRPr="00470C7C">
          <w:rPr>
            <w:noProof/>
            <w:webHidden/>
          </w:rPr>
        </w:r>
        <w:r w:rsidR="00B2396C" w:rsidRPr="00470C7C">
          <w:rPr>
            <w:noProof/>
            <w:webHidden/>
          </w:rPr>
          <w:fldChar w:fldCharType="separate"/>
        </w:r>
        <w:r w:rsidR="00BD5C22">
          <w:rPr>
            <w:noProof/>
            <w:webHidden/>
          </w:rPr>
          <w:t>25</w:t>
        </w:r>
        <w:r w:rsidR="00B2396C" w:rsidRPr="00470C7C">
          <w:rPr>
            <w:noProof/>
            <w:webHidden/>
          </w:rPr>
          <w:fldChar w:fldCharType="end"/>
        </w:r>
      </w:hyperlink>
    </w:p>
    <w:p w14:paraId="3018E570" w14:textId="05F20A57" w:rsidR="00B2396C" w:rsidRPr="00470C7C" w:rsidRDefault="00FD3A54" w:rsidP="007078C6">
      <w:pPr>
        <w:pStyle w:val="TDC2"/>
        <w:rPr>
          <w:rFonts w:eastAsiaTheme="minorEastAsia"/>
          <w:noProof/>
          <w:lang w:val="es-ES" w:eastAsia="es-ES"/>
        </w:rPr>
      </w:pPr>
      <w:r w:rsidRPr="00470C7C">
        <w:rPr>
          <w:rStyle w:val="Hipervnculo"/>
          <w:noProof/>
          <w:color w:val="auto"/>
          <w:szCs w:val="20"/>
          <w:u w:val="none"/>
        </w:rPr>
        <w:t xml:space="preserve">B. </w:t>
      </w:r>
      <w:r w:rsidR="009F4724" w:rsidRPr="00470C7C">
        <w:rPr>
          <w:rStyle w:val="Hipervnculo"/>
          <w:noProof/>
          <w:color w:val="auto"/>
          <w:szCs w:val="20"/>
          <w:u w:val="none"/>
        </w:rPr>
        <w:t>A</w:t>
      </w:r>
      <w:hyperlink w:anchor="_Toc464813919" w:history="1">
        <w:r w:rsidR="00B2396C" w:rsidRPr="00470C7C">
          <w:rPr>
            <w:rStyle w:val="Hipervnculo"/>
            <w:rFonts w:eastAsia="Batang"/>
            <w:noProof/>
            <w:szCs w:val="20"/>
            <w:u w:val="none"/>
            <w:lang w:eastAsia="es-ES"/>
          </w:rPr>
          <w:t>dmisión de la prueba</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_Toc464813919 \h </w:instrText>
        </w:r>
        <w:r w:rsidR="00B2396C" w:rsidRPr="00470C7C">
          <w:rPr>
            <w:noProof/>
            <w:webHidden/>
          </w:rPr>
        </w:r>
        <w:r w:rsidR="00B2396C" w:rsidRPr="00470C7C">
          <w:rPr>
            <w:noProof/>
            <w:webHidden/>
          </w:rPr>
          <w:fldChar w:fldCharType="separate"/>
        </w:r>
        <w:r w:rsidR="00BD5C22">
          <w:rPr>
            <w:noProof/>
            <w:webHidden/>
          </w:rPr>
          <w:t>25</w:t>
        </w:r>
        <w:r w:rsidR="00B2396C" w:rsidRPr="00470C7C">
          <w:rPr>
            <w:noProof/>
            <w:webHidden/>
          </w:rPr>
          <w:fldChar w:fldCharType="end"/>
        </w:r>
      </w:hyperlink>
    </w:p>
    <w:p w14:paraId="4626C3B7" w14:textId="19A3E621" w:rsidR="00B2396C" w:rsidRPr="00470C7C" w:rsidRDefault="00FD3A54" w:rsidP="007078C6">
      <w:pPr>
        <w:pStyle w:val="TDC2"/>
        <w:rPr>
          <w:rFonts w:eastAsiaTheme="minorEastAsia"/>
          <w:noProof/>
          <w:lang w:val="es-ES" w:eastAsia="es-ES"/>
        </w:rPr>
      </w:pPr>
      <w:r w:rsidRPr="00470C7C">
        <w:rPr>
          <w:rStyle w:val="Hipervnculo"/>
          <w:noProof/>
          <w:color w:val="auto"/>
          <w:szCs w:val="20"/>
          <w:u w:val="none"/>
        </w:rPr>
        <w:t xml:space="preserve">C. </w:t>
      </w:r>
      <w:r w:rsidR="009F4724" w:rsidRPr="00470C7C">
        <w:rPr>
          <w:rStyle w:val="Hipervnculo"/>
          <w:noProof/>
          <w:color w:val="auto"/>
          <w:szCs w:val="20"/>
          <w:u w:val="none"/>
        </w:rPr>
        <w:t>V</w:t>
      </w:r>
      <w:hyperlink w:anchor="_Toc464813920" w:history="1">
        <w:r w:rsidR="00B2396C" w:rsidRPr="00470C7C">
          <w:rPr>
            <w:rStyle w:val="Hipervnculo"/>
            <w:rFonts w:eastAsia="Batang"/>
            <w:noProof/>
            <w:szCs w:val="20"/>
            <w:u w:val="none"/>
            <w:lang w:eastAsia="es-ES"/>
          </w:rPr>
          <w:t>aloración de la prueba</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_Toc464813920 \h </w:instrText>
        </w:r>
        <w:r w:rsidR="00B2396C" w:rsidRPr="00470C7C">
          <w:rPr>
            <w:noProof/>
            <w:webHidden/>
          </w:rPr>
        </w:r>
        <w:r w:rsidR="00B2396C" w:rsidRPr="00470C7C">
          <w:rPr>
            <w:noProof/>
            <w:webHidden/>
          </w:rPr>
          <w:fldChar w:fldCharType="separate"/>
        </w:r>
        <w:r w:rsidR="00BD5C22">
          <w:rPr>
            <w:noProof/>
            <w:webHidden/>
          </w:rPr>
          <w:t>26</w:t>
        </w:r>
        <w:r w:rsidR="00B2396C" w:rsidRPr="00470C7C">
          <w:rPr>
            <w:noProof/>
            <w:webHidden/>
          </w:rPr>
          <w:fldChar w:fldCharType="end"/>
        </w:r>
      </w:hyperlink>
    </w:p>
    <w:p w14:paraId="582F2F00" w14:textId="4CD65EA4" w:rsidR="00B2396C" w:rsidRPr="00470C7C" w:rsidRDefault="00AE4298" w:rsidP="00E853FC">
      <w:pPr>
        <w:pStyle w:val="TDC1"/>
        <w:spacing w:after="40"/>
        <w:rPr>
          <w:rFonts w:eastAsiaTheme="minorEastAsia"/>
          <w:noProof/>
          <w:sz w:val="20"/>
          <w:szCs w:val="20"/>
          <w:lang w:val="es-ES" w:eastAsia="es-ES"/>
        </w:rPr>
      </w:pPr>
      <w:hyperlink w:anchor="_Toc464813921" w:history="1">
        <w:r w:rsidR="00B2396C" w:rsidRPr="00470C7C">
          <w:rPr>
            <w:rStyle w:val="Hipervnculo"/>
            <w:rFonts w:eastAsia="Times New Roman" w:cs="Verdana"/>
            <w:bCs/>
            <w:caps/>
            <w:noProof/>
            <w:snapToGrid w:val="0"/>
            <w:sz w:val="20"/>
            <w:szCs w:val="20"/>
            <w:u w:val="none"/>
            <w:lang w:eastAsia="es-ES"/>
          </w:rPr>
          <w:t>VI</w:t>
        </w:r>
        <w:r w:rsidR="009F4724" w:rsidRPr="00470C7C">
          <w:rPr>
            <w:rStyle w:val="Hipervnculo"/>
            <w:rFonts w:eastAsia="Times New Roman" w:cs="Verdana"/>
            <w:bCs/>
            <w:caps/>
            <w:noProof/>
            <w:snapToGrid w:val="0"/>
            <w:sz w:val="20"/>
            <w:szCs w:val="20"/>
            <w:u w:val="none"/>
            <w:lang w:eastAsia="es-ES"/>
          </w:rPr>
          <w:t xml:space="preserve"> </w:t>
        </w:r>
      </w:hyperlink>
      <w:hyperlink w:anchor="_Toc464813922" w:history="1">
        <w:r w:rsidR="00B2396C" w:rsidRPr="00470C7C">
          <w:rPr>
            <w:rStyle w:val="Hipervnculo"/>
            <w:rFonts w:eastAsia="Times New Roman" w:cs="Verdana"/>
            <w:bCs/>
            <w:caps/>
            <w:noProof/>
            <w:snapToGrid w:val="0"/>
            <w:sz w:val="20"/>
            <w:szCs w:val="20"/>
            <w:u w:val="none"/>
            <w:lang w:eastAsia="es-ES"/>
          </w:rPr>
          <w:t>HECHOS</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_Toc464813922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26</w:t>
        </w:r>
        <w:r w:rsidR="00B2396C" w:rsidRPr="00470C7C">
          <w:rPr>
            <w:noProof/>
            <w:webHidden/>
            <w:sz w:val="20"/>
            <w:szCs w:val="20"/>
          </w:rPr>
          <w:fldChar w:fldCharType="end"/>
        </w:r>
      </w:hyperlink>
    </w:p>
    <w:p w14:paraId="252B05F1" w14:textId="41652CDA" w:rsidR="00B2396C" w:rsidRPr="00470C7C" w:rsidRDefault="00AE4298" w:rsidP="007078C6">
      <w:pPr>
        <w:pStyle w:val="TDC2"/>
        <w:rPr>
          <w:rFonts w:eastAsiaTheme="minorEastAsia"/>
          <w:noProof/>
          <w:lang w:val="es-ES" w:eastAsia="es-ES"/>
        </w:rPr>
      </w:pPr>
      <w:hyperlink w:anchor="_Toc464813923" w:history="1">
        <w:r w:rsidR="00B2396C" w:rsidRPr="00470C7C">
          <w:rPr>
            <w:rStyle w:val="Hipervnculo"/>
            <w:rFonts w:cs="Arial"/>
            <w:noProof/>
            <w:szCs w:val="20"/>
            <w:u w:val="none"/>
            <w:lang w:val="es-ES"/>
          </w:rPr>
          <w:t>A.</w:t>
        </w:r>
        <w:r w:rsidR="009F4724" w:rsidRPr="00470C7C">
          <w:rPr>
            <w:rStyle w:val="Hipervnculo"/>
            <w:rFonts w:cs="Arial"/>
            <w:noProof/>
            <w:szCs w:val="20"/>
            <w:u w:val="none"/>
            <w:lang w:val="es-ES"/>
          </w:rPr>
          <w:t xml:space="preserve"> </w:t>
        </w:r>
        <w:r w:rsidR="00B2396C" w:rsidRPr="00470C7C">
          <w:rPr>
            <w:rStyle w:val="Hipervnculo"/>
            <w:rFonts w:eastAsia="Batang"/>
            <w:noProof/>
            <w:szCs w:val="20"/>
            <w:u w:val="none"/>
            <w:lang w:eastAsia="es-ES"/>
          </w:rPr>
          <w:t>Contexto</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_Toc464813923 \h </w:instrText>
        </w:r>
        <w:r w:rsidR="00B2396C" w:rsidRPr="00470C7C">
          <w:rPr>
            <w:noProof/>
            <w:webHidden/>
          </w:rPr>
        </w:r>
        <w:r w:rsidR="00B2396C" w:rsidRPr="00470C7C">
          <w:rPr>
            <w:noProof/>
            <w:webHidden/>
          </w:rPr>
          <w:fldChar w:fldCharType="separate"/>
        </w:r>
        <w:r w:rsidR="00BD5C22">
          <w:rPr>
            <w:noProof/>
            <w:webHidden/>
          </w:rPr>
          <w:t>26</w:t>
        </w:r>
        <w:r w:rsidR="00B2396C" w:rsidRPr="00470C7C">
          <w:rPr>
            <w:noProof/>
            <w:webHidden/>
          </w:rPr>
          <w:fldChar w:fldCharType="end"/>
        </w:r>
      </w:hyperlink>
    </w:p>
    <w:p w14:paraId="7E8FBA73" w14:textId="191BD523" w:rsidR="00B2396C" w:rsidRPr="00470C7C" w:rsidRDefault="00AE4298" w:rsidP="007078C6">
      <w:pPr>
        <w:pStyle w:val="TDC2"/>
        <w:rPr>
          <w:rFonts w:eastAsiaTheme="minorEastAsia"/>
          <w:noProof/>
          <w:lang w:val="es-ES" w:eastAsia="es-ES"/>
        </w:rPr>
      </w:pPr>
      <w:hyperlink w:anchor="_Toc464813938" w:history="1">
        <w:r w:rsidR="00B2396C" w:rsidRPr="00470C7C">
          <w:rPr>
            <w:rStyle w:val="Hipervnculo"/>
            <w:rFonts w:eastAsia="Batang"/>
            <w:noProof/>
            <w:szCs w:val="20"/>
            <w:lang w:eastAsia="es-ES"/>
          </w:rPr>
          <w:t>B.</w:t>
        </w:r>
        <w:r w:rsidR="009F4724" w:rsidRPr="00470C7C">
          <w:rPr>
            <w:rStyle w:val="Hipervnculo"/>
            <w:rFonts w:eastAsia="Batang"/>
            <w:noProof/>
            <w:szCs w:val="20"/>
            <w:lang w:eastAsia="es-ES"/>
          </w:rPr>
          <w:t xml:space="preserve"> </w:t>
        </w:r>
        <w:r w:rsidR="00B2396C" w:rsidRPr="00470C7C">
          <w:rPr>
            <w:rStyle w:val="Hipervnculo"/>
            <w:rFonts w:eastAsia="Batang"/>
            <w:noProof/>
            <w:szCs w:val="20"/>
            <w:lang w:eastAsia="es-ES"/>
          </w:rPr>
          <w:t xml:space="preserve">Hechos dentro de la </w:t>
        </w:r>
        <w:r w:rsidR="009F4724" w:rsidRPr="00470C7C">
          <w:rPr>
            <w:rStyle w:val="Hipervnculo"/>
            <w:rFonts w:eastAsia="Batang"/>
            <w:noProof/>
            <w:szCs w:val="20"/>
            <w:lang w:eastAsia="es-ES"/>
          </w:rPr>
          <w:t xml:space="preserve">competencia temporal de la Corte  </w:t>
        </w:r>
        <w:r w:rsidR="00A056D4" w:rsidRPr="00470C7C">
          <w:rPr>
            <w:rStyle w:val="Hipervnculo"/>
            <w:rFonts w:eastAsia="Batang"/>
            <w:noProof/>
            <w:szCs w:val="20"/>
            <w:lang w:eastAsia="es-ES"/>
          </w:rPr>
          <w:tab/>
        </w:r>
        <w:r w:rsidR="00B2396C" w:rsidRPr="00470C7C">
          <w:rPr>
            <w:noProof/>
            <w:webHidden/>
          </w:rPr>
          <w:fldChar w:fldCharType="begin"/>
        </w:r>
        <w:r w:rsidR="00B2396C" w:rsidRPr="00470C7C">
          <w:rPr>
            <w:noProof/>
            <w:webHidden/>
          </w:rPr>
          <w:instrText xml:space="preserve"> PAGEREF _Toc464813938 \h </w:instrText>
        </w:r>
        <w:r w:rsidR="00B2396C" w:rsidRPr="00470C7C">
          <w:rPr>
            <w:noProof/>
            <w:webHidden/>
          </w:rPr>
        </w:r>
        <w:r w:rsidR="00B2396C" w:rsidRPr="00470C7C">
          <w:rPr>
            <w:noProof/>
            <w:webHidden/>
          </w:rPr>
          <w:fldChar w:fldCharType="separate"/>
        </w:r>
        <w:r w:rsidR="00BD5C22">
          <w:rPr>
            <w:noProof/>
            <w:webHidden/>
          </w:rPr>
          <w:t>37</w:t>
        </w:r>
        <w:r w:rsidR="00B2396C" w:rsidRPr="00470C7C">
          <w:rPr>
            <w:noProof/>
            <w:webHidden/>
          </w:rPr>
          <w:fldChar w:fldCharType="end"/>
        </w:r>
      </w:hyperlink>
    </w:p>
    <w:p w14:paraId="6AF0CE0D" w14:textId="484FD418" w:rsidR="00B2396C" w:rsidRPr="00470C7C" w:rsidRDefault="00AE4298" w:rsidP="00E853FC">
      <w:pPr>
        <w:pStyle w:val="TDC1"/>
        <w:spacing w:after="40"/>
        <w:rPr>
          <w:rFonts w:eastAsiaTheme="minorEastAsia"/>
          <w:noProof/>
          <w:sz w:val="20"/>
          <w:szCs w:val="20"/>
          <w:lang w:val="es-ES" w:eastAsia="es-ES"/>
        </w:rPr>
      </w:pPr>
      <w:hyperlink w:anchor="_Toc464813945" w:history="1">
        <w:r w:rsidR="00B2396C" w:rsidRPr="00470C7C">
          <w:rPr>
            <w:rStyle w:val="Hipervnculo"/>
            <w:rFonts w:eastAsia="Times New Roman" w:cs="Verdana"/>
            <w:bCs/>
            <w:caps/>
            <w:noProof/>
            <w:snapToGrid w:val="0"/>
            <w:sz w:val="20"/>
            <w:szCs w:val="20"/>
            <w:lang w:eastAsia="es-ES"/>
          </w:rPr>
          <w:t>VII</w:t>
        </w:r>
      </w:hyperlink>
      <w:r w:rsidR="00ED3F15" w:rsidRPr="00470C7C">
        <w:rPr>
          <w:rStyle w:val="Hipervnculo"/>
          <w:noProof/>
          <w:sz w:val="20"/>
          <w:szCs w:val="20"/>
          <w:u w:val="none"/>
        </w:rPr>
        <w:t xml:space="preserve"> </w:t>
      </w:r>
      <w:hyperlink w:anchor="_Toc464813946" w:history="1">
        <w:r w:rsidR="00B2396C" w:rsidRPr="00470C7C">
          <w:rPr>
            <w:rStyle w:val="Hipervnculo"/>
            <w:rFonts w:eastAsia="Times New Roman" w:cs="Verdana"/>
            <w:bCs/>
            <w:caps/>
            <w:noProof/>
            <w:snapToGrid w:val="0"/>
            <w:sz w:val="20"/>
            <w:szCs w:val="20"/>
            <w:lang w:eastAsia="es-ES"/>
          </w:rPr>
          <w:t>DETERMINACIÓN SOBRE LAS PRESUNTAS VÍCTIMAS</w:t>
        </w:r>
        <w:r w:rsidR="009F4724" w:rsidRPr="00470C7C">
          <w:rPr>
            <w:rStyle w:val="Hipervnculo"/>
            <w:rFonts w:eastAsia="Times New Roman" w:cs="Verdana"/>
            <w:bCs/>
            <w:caps/>
            <w:noProof/>
            <w:snapToGrid w:val="0"/>
            <w:sz w:val="20"/>
            <w:szCs w:val="20"/>
            <w:lang w:eastAsia="es-ES"/>
          </w:rPr>
          <w:t xml:space="preserve"> </w:t>
        </w:r>
        <w:r w:rsidR="009F4724" w:rsidRPr="00470C7C">
          <w:rPr>
            <w:rStyle w:val="Hipervnculo"/>
            <w:rFonts w:eastAsia="Times New Roman" w:cs="Verdana"/>
            <w:bCs/>
            <w:caps/>
            <w:noProof/>
            <w:snapToGrid w:val="0"/>
            <w:sz w:val="20"/>
            <w:szCs w:val="20"/>
            <w:lang w:eastAsia="es-ES"/>
          </w:rPr>
          <w:tab/>
        </w:r>
        <w:r w:rsidR="00B2396C" w:rsidRPr="00470C7C">
          <w:rPr>
            <w:noProof/>
            <w:webHidden/>
            <w:sz w:val="20"/>
            <w:szCs w:val="20"/>
          </w:rPr>
          <w:fldChar w:fldCharType="begin"/>
        </w:r>
        <w:r w:rsidR="00B2396C" w:rsidRPr="00470C7C">
          <w:rPr>
            <w:noProof/>
            <w:webHidden/>
            <w:sz w:val="20"/>
            <w:szCs w:val="20"/>
          </w:rPr>
          <w:instrText xml:space="preserve"> PAGEREF _Toc464813946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46</w:t>
        </w:r>
        <w:r w:rsidR="00B2396C" w:rsidRPr="00470C7C">
          <w:rPr>
            <w:noProof/>
            <w:webHidden/>
            <w:sz w:val="20"/>
            <w:szCs w:val="20"/>
          </w:rPr>
          <w:fldChar w:fldCharType="end"/>
        </w:r>
      </w:hyperlink>
    </w:p>
    <w:p w14:paraId="331DC7BA" w14:textId="43335DE1" w:rsidR="00B2396C" w:rsidRPr="00470C7C" w:rsidRDefault="00FD3A54" w:rsidP="007078C6">
      <w:pPr>
        <w:pStyle w:val="TDC2"/>
        <w:rPr>
          <w:rFonts w:eastAsiaTheme="minorEastAsia"/>
          <w:noProof/>
          <w:lang w:val="es-ES" w:eastAsia="es-ES"/>
        </w:rPr>
      </w:pPr>
      <w:r w:rsidRPr="00470C7C">
        <w:rPr>
          <w:noProof/>
        </w:rPr>
        <w:t xml:space="preserve">A. </w:t>
      </w:r>
      <w:hyperlink w:anchor="_Toc464813947" w:history="1">
        <w:r w:rsidR="00B2396C" w:rsidRPr="00470C7C">
          <w:rPr>
            <w:rStyle w:val="Hipervnculo"/>
            <w:noProof/>
            <w:szCs w:val="20"/>
          </w:rPr>
          <w:t>Fiscalización de abril de 1997</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_Toc464813947 \h </w:instrText>
        </w:r>
        <w:r w:rsidR="00B2396C" w:rsidRPr="00470C7C">
          <w:rPr>
            <w:noProof/>
            <w:webHidden/>
          </w:rPr>
        </w:r>
        <w:r w:rsidR="00B2396C" w:rsidRPr="00470C7C">
          <w:rPr>
            <w:noProof/>
            <w:webHidden/>
          </w:rPr>
          <w:fldChar w:fldCharType="separate"/>
        </w:r>
        <w:r w:rsidR="00BD5C22">
          <w:rPr>
            <w:noProof/>
            <w:webHidden/>
          </w:rPr>
          <w:t>47</w:t>
        </w:r>
        <w:r w:rsidR="00B2396C" w:rsidRPr="00470C7C">
          <w:rPr>
            <w:noProof/>
            <w:webHidden/>
          </w:rPr>
          <w:fldChar w:fldCharType="end"/>
        </w:r>
      </w:hyperlink>
    </w:p>
    <w:p w14:paraId="1883FFEB" w14:textId="77BBA3FC" w:rsidR="00B2396C" w:rsidRPr="00470C7C" w:rsidRDefault="00FD3A54" w:rsidP="007078C6">
      <w:pPr>
        <w:pStyle w:val="TDC2"/>
        <w:rPr>
          <w:rFonts w:eastAsiaTheme="minorEastAsia"/>
          <w:noProof/>
          <w:lang w:val="es-ES" w:eastAsia="es-ES"/>
        </w:rPr>
      </w:pPr>
      <w:r w:rsidRPr="00470C7C">
        <w:rPr>
          <w:noProof/>
        </w:rPr>
        <w:t xml:space="preserve">B. </w:t>
      </w:r>
      <w:r w:rsidR="006513B0" w:rsidRPr="00470C7C">
        <w:rPr>
          <w:noProof/>
        </w:rPr>
        <w:t>F</w:t>
      </w:r>
      <w:hyperlink w:anchor="_Toc464813950" w:history="1">
        <w:r w:rsidR="00B2396C" w:rsidRPr="00470C7C">
          <w:rPr>
            <w:rStyle w:val="Hipervnculo"/>
            <w:noProof/>
            <w:szCs w:val="20"/>
          </w:rPr>
          <w:t>iscalización de marzo de 2000</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_Toc464813950 \h </w:instrText>
        </w:r>
        <w:r w:rsidR="00B2396C" w:rsidRPr="00470C7C">
          <w:rPr>
            <w:noProof/>
            <w:webHidden/>
          </w:rPr>
        </w:r>
        <w:r w:rsidR="00B2396C" w:rsidRPr="00470C7C">
          <w:rPr>
            <w:noProof/>
            <w:webHidden/>
          </w:rPr>
          <w:fldChar w:fldCharType="separate"/>
        </w:r>
        <w:r w:rsidR="00BD5C22">
          <w:rPr>
            <w:noProof/>
            <w:webHidden/>
          </w:rPr>
          <w:t>50</w:t>
        </w:r>
        <w:r w:rsidR="00B2396C" w:rsidRPr="00470C7C">
          <w:rPr>
            <w:noProof/>
            <w:webHidden/>
          </w:rPr>
          <w:fldChar w:fldCharType="end"/>
        </w:r>
      </w:hyperlink>
    </w:p>
    <w:p w14:paraId="1AFD8994" w14:textId="2B2835A8" w:rsidR="00B2396C" w:rsidRPr="00470C7C" w:rsidRDefault="00AE4298" w:rsidP="00E853FC">
      <w:pPr>
        <w:pStyle w:val="TDC1"/>
        <w:spacing w:after="40"/>
        <w:rPr>
          <w:rFonts w:eastAsiaTheme="minorEastAsia"/>
          <w:noProof/>
          <w:sz w:val="20"/>
          <w:szCs w:val="20"/>
          <w:lang w:val="es-ES" w:eastAsia="es-ES"/>
        </w:rPr>
      </w:pPr>
      <w:hyperlink w:anchor="_Toc464813953" w:history="1">
        <w:r w:rsidR="00B2396C" w:rsidRPr="00470C7C">
          <w:rPr>
            <w:rStyle w:val="Hipervnculo"/>
            <w:rFonts w:eastAsia="Times New Roman" w:cs="Verdana"/>
            <w:bCs/>
            <w:caps/>
            <w:noProof/>
            <w:snapToGrid w:val="0"/>
            <w:sz w:val="20"/>
            <w:szCs w:val="20"/>
            <w:lang w:eastAsia="es-ES"/>
          </w:rPr>
          <w:t>VIII</w:t>
        </w:r>
      </w:hyperlink>
      <w:r w:rsidR="00ED3F15" w:rsidRPr="00470C7C">
        <w:rPr>
          <w:rStyle w:val="Hipervnculo"/>
          <w:noProof/>
          <w:sz w:val="20"/>
          <w:szCs w:val="20"/>
          <w:u w:val="none"/>
        </w:rPr>
        <w:t xml:space="preserve"> </w:t>
      </w:r>
      <w:hyperlink w:anchor="_Toc464813954" w:history="1">
        <w:r w:rsidR="00B2396C" w:rsidRPr="00470C7C">
          <w:rPr>
            <w:rStyle w:val="Hipervnculo"/>
            <w:rFonts w:eastAsia="Times New Roman" w:cs="Verdana"/>
            <w:bCs/>
            <w:caps/>
            <w:noProof/>
            <w:snapToGrid w:val="0"/>
            <w:sz w:val="20"/>
            <w:szCs w:val="20"/>
            <w:u w:val="none"/>
            <w:lang w:eastAsia="es-ES"/>
          </w:rPr>
          <w:t>FONDO</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_Toc464813954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55</w:t>
        </w:r>
        <w:r w:rsidR="00B2396C" w:rsidRPr="00470C7C">
          <w:rPr>
            <w:noProof/>
            <w:webHidden/>
            <w:sz w:val="20"/>
            <w:szCs w:val="20"/>
          </w:rPr>
          <w:fldChar w:fldCharType="end"/>
        </w:r>
      </w:hyperlink>
    </w:p>
    <w:p w14:paraId="0B93B6E1" w14:textId="3561F80D" w:rsidR="00B2396C" w:rsidRPr="00470C7C" w:rsidRDefault="00AE4298" w:rsidP="00E853FC">
      <w:pPr>
        <w:pStyle w:val="TDC1"/>
        <w:spacing w:after="40"/>
        <w:rPr>
          <w:rFonts w:eastAsiaTheme="minorEastAsia"/>
          <w:noProof/>
          <w:sz w:val="20"/>
          <w:szCs w:val="20"/>
          <w:lang w:val="es-ES" w:eastAsia="es-ES"/>
        </w:rPr>
      </w:pPr>
      <w:hyperlink w:anchor="_Toc464813955" w:history="1">
        <w:r w:rsidR="00B2396C" w:rsidRPr="00470C7C">
          <w:rPr>
            <w:rStyle w:val="Hipervnculo"/>
            <w:noProof/>
            <w:sz w:val="20"/>
            <w:szCs w:val="20"/>
            <w:u w:val="none"/>
          </w:rPr>
          <w:t>VIII-1</w:t>
        </w:r>
      </w:hyperlink>
      <w:r w:rsidR="00ED3F15" w:rsidRPr="00470C7C">
        <w:rPr>
          <w:rStyle w:val="Hipervnculo"/>
          <w:noProof/>
          <w:sz w:val="20"/>
          <w:szCs w:val="20"/>
          <w:u w:val="none"/>
        </w:rPr>
        <w:t xml:space="preserve"> </w:t>
      </w:r>
      <w:hyperlink w:anchor="_Toc464813956" w:history="1">
        <w:r w:rsidR="00B2396C" w:rsidRPr="00470C7C">
          <w:rPr>
            <w:rStyle w:val="Hipervnculo"/>
            <w:rFonts w:eastAsia="Times New Roman" w:cs="Verdana"/>
            <w:bCs/>
            <w:caps/>
            <w:noProof/>
            <w:snapToGrid w:val="0"/>
            <w:sz w:val="20"/>
            <w:szCs w:val="20"/>
            <w:lang w:eastAsia="es-ES"/>
          </w:rPr>
          <w:t>PROHIBICIÓN DE LA ESCLAVITUD</w:t>
        </w:r>
        <w:r w:rsidR="00195514" w:rsidRPr="00470C7C">
          <w:rPr>
            <w:rStyle w:val="Hipervnculo"/>
            <w:rFonts w:eastAsia="Times New Roman" w:cs="Verdana"/>
            <w:bCs/>
            <w:caps/>
            <w:noProof/>
            <w:snapToGrid w:val="0"/>
            <w:sz w:val="20"/>
            <w:szCs w:val="20"/>
            <w:lang w:eastAsia="es-ES"/>
          </w:rPr>
          <w:t>,</w:t>
        </w:r>
        <w:r w:rsidR="00B2396C" w:rsidRPr="00470C7C">
          <w:rPr>
            <w:rStyle w:val="Hipervnculo"/>
            <w:rFonts w:eastAsia="Times New Roman" w:cs="Verdana"/>
            <w:bCs/>
            <w:caps/>
            <w:noProof/>
            <w:snapToGrid w:val="0"/>
            <w:sz w:val="20"/>
            <w:szCs w:val="20"/>
            <w:lang w:eastAsia="es-ES"/>
          </w:rPr>
          <w:t xml:space="preserve"> SERVIDUMBRE</w:t>
        </w:r>
        <w:r w:rsidR="00195514" w:rsidRPr="00470C7C">
          <w:rPr>
            <w:rStyle w:val="Hipervnculo"/>
            <w:rFonts w:eastAsia="Times New Roman" w:cs="Verdana"/>
            <w:bCs/>
            <w:caps/>
            <w:noProof/>
            <w:snapToGrid w:val="0"/>
            <w:sz w:val="20"/>
            <w:szCs w:val="20"/>
            <w:lang w:eastAsia="es-ES"/>
          </w:rPr>
          <w:t>, trabajo forzoso y trata de esclavos y mujeres</w:t>
        </w:r>
        <w:r w:rsidR="00B2396C" w:rsidRPr="00470C7C">
          <w:rPr>
            <w:rStyle w:val="Hipervnculo"/>
            <w:rFonts w:eastAsia="Times New Roman" w:cs="Verdana"/>
            <w:bCs/>
            <w:caps/>
            <w:noProof/>
            <w:snapToGrid w:val="0"/>
            <w:sz w:val="20"/>
            <w:szCs w:val="20"/>
            <w:lang w:eastAsia="es-ES"/>
          </w:rPr>
          <w:t>, DERECHOS A LA INTEGRIDAD PERSONAL, A LA LIBERTAD PERSONAL, AL RECONOCIMIENTO DE LA PERSONALIDAD JURÍDICA</w:t>
        </w:r>
        <w:r w:rsidR="000F4A9C" w:rsidRPr="00470C7C">
          <w:rPr>
            <w:rStyle w:val="Hipervnculo"/>
            <w:rFonts w:eastAsia="Times New Roman" w:cs="Verdana"/>
            <w:bCs/>
            <w:caps/>
            <w:noProof/>
            <w:snapToGrid w:val="0"/>
            <w:sz w:val="20"/>
            <w:szCs w:val="20"/>
            <w:lang w:eastAsia="es-ES"/>
          </w:rPr>
          <w:t>,</w:t>
        </w:r>
        <w:r w:rsidR="00B2396C" w:rsidRPr="00470C7C">
          <w:rPr>
            <w:rStyle w:val="Hipervnculo"/>
            <w:rFonts w:eastAsia="Times New Roman" w:cs="Verdana"/>
            <w:bCs/>
            <w:caps/>
            <w:noProof/>
            <w:snapToGrid w:val="0"/>
            <w:sz w:val="20"/>
            <w:szCs w:val="20"/>
            <w:lang w:eastAsia="es-ES"/>
          </w:rPr>
          <w:t xml:space="preserve"> DERECHO DE CIRCULACIÓN Y DE RESIDENCIA Y DERECHOS DEL NIÑO</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_Toc464813956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55</w:t>
        </w:r>
        <w:r w:rsidR="00B2396C" w:rsidRPr="00470C7C">
          <w:rPr>
            <w:noProof/>
            <w:webHidden/>
            <w:sz w:val="20"/>
            <w:szCs w:val="20"/>
          </w:rPr>
          <w:fldChar w:fldCharType="end"/>
        </w:r>
      </w:hyperlink>
    </w:p>
    <w:p w14:paraId="3CDB8D7C" w14:textId="68BFAF1E" w:rsidR="00B2396C" w:rsidRPr="00470C7C" w:rsidRDefault="00FD3A54" w:rsidP="007078C6">
      <w:pPr>
        <w:pStyle w:val="TDC2"/>
        <w:rPr>
          <w:rFonts w:eastAsiaTheme="minorEastAsia"/>
          <w:noProof/>
          <w:lang w:val="es-ES" w:eastAsia="es-ES"/>
        </w:rPr>
      </w:pPr>
      <w:r w:rsidRPr="00470C7C">
        <w:rPr>
          <w:noProof/>
        </w:rPr>
        <w:t xml:space="preserve">A. </w:t>
      </w:r>
      <w:r w:rsidR="00D76D70" w:rsidRPr="00470C7C">
        <w:rPr>
          <w:noProof/>
        </w:rPr>
        <w:t>A</w:t>
      </w:r>
      <w:hyperlink w:anchor="_Toc464813957" w:history="1">
        <w:r w:rsidR="00B2396C" w:rsidRPr="00470C7C">
          <w:rPr>
            <w:rStyle w:val="Hipervnculo"/>
            <w:noProof/>
            <w:szCs w:val="20"/>
          </w:rPr>
          <w:t>rgumentos de las partes y de la Comisión</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_Toc464813957 \h </w:instrText>
        </w:r>
        <w:r w:rsidR="00B2396C" w:rsidRPr="00470C7C">
          <w:rPr>
            <w:noProof/>
            <w:webHidden/>
          </w:rPr>
        </w:r>
        <w:r w:rsidR="00B2396C" w:rsidRPr="00470C7C">
          <w:rPr>
            <w:noProof/>
            <w:webHidden/>
          </w:rPr>
          <w:fldChar w:fldCharType="separate"/>
        </w:r>
        <w:r w:rsidR="00BD5C22">
          <w:rPr>
            <w:noProof/>
            <w:webHidden/>
          </w:rPr>
          <w:t>56</w:t>
        </w:r>
        <w:r w:rsidR="00B2396C" w:rsidRPr="00470C7C">
          <w:rPr>
            <w:noProof/>
            <w:webHidden/>
          </w:rPr>
          <w:fldChar w:fldCharType="end"/>
        </w:r>
      </w:hyperlink>
    </w:p>
    <w:p w14:paraId="4DCFAD48" w14:textId="5CC58372" w:rsidR="00B2396C" w:rsidRPr="00470C7C" w:rsidRDefault="00FD3A54" w:rsidP="007078C6">
      <w:pPr>
        <w:pStyle w:val="TDC2"/>
        <w:rPr>
          <w:rFonts w:eastAsiaTheme="minorEastAsia"/>
          <w:noProof/>
          <w:lang w:val="es-ES" w:eastAsia="es-ES"/>
        </w:rPr>
      </w:pPr>
      <w:r w:rsidRPr="00470C7C">
        <w:rPr>
          <w:rStyle w:val="Hipervnculo"/>
          <w:noProof/>
          <w:color w:val="auto"/>
          <w:szCs w:val="20"/>
          <w:u w:val="none"/>
        </w:rPr>
        <w:t xml:space="preserve">B. </w:t>
      </w:r>
      <w:r w:rsidR="009F4724" w:rsidRPr="00470C7C">
        <w:rPr>
          <w:rStyle w:val="Hipervnculo"/>
          <w:noProof/>
          <w:color w:val="auto"/>
          <w:szCs w:val="20"/>
          <w:u w:val="none"/>
        </w:rPr>
        <w:t>C</w:t>
      </w:r>
      <w:hyperlink w:anchor="_Toc464813958" w:history="1">
        <w:r w:rsidR="00B2396C" w:rsidRPr="00470C7C">
          <w:rPr>
            <w:rStyle w:val="Hipervnculo"/>
            <w:noProof/>
            <w:szCs w:val="20"/>
            <w:u w:val="none"/>
          </w:rPr>
          <w:t>onsideraciones de la Corte</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_Toc464813958 \h </w:instrText>
        </w:r>
        <w:r w:rsidR="00B2396C" w:rsidRPr="00470C7C">
          <w:rPr>
            <w:noProof/>
            <w:webHidden/>
          </w:rPr>
        </w:r>
        <w:r w:rsidR="00B2396C" w:rsidRPr="00470C7C">
          <w:rPr>
            <w:noProof/>
            <w:webHidden/>
          </w:rPr>
          <w:fldChar w:fldCharType="separate"/>
        </w:r>
        <w:r w:rsidR="00BD5C22">
          <w:rPr>
            <w:noProof/>
            <w:webHidden/>
          </w:rPr>
          <w:t>61</w:t>
        </w:r>
        <w:r w:rsidR="00B2396C" w:rsidRPr="00470C7C">
          <w:rPr>
            <w:noProof/>
            <w:webHidden/>
          </w:rPr>
          <w:fldChar w:fldCharType="end"/>
        </w:r>
      </w:hyperlink>
    </w:p>
    <w:p w14:paraId="333777D4" w14:textId="4BC84275" w:rsidR="00B2396C" w:rsidRPr="00470C7C" w:rsidRDefault="00AE4298" w:rsidP="00E853FC">
      <w:pPr>
        <w:pStyle w:val="TDC3"/>
        <w:rPr>
          <w:rFonts w:eastAsiaTheme="minorEastAsia"/>
          <w:noProof/>
          <w:szCs w:val="20"/>
          <w:lang w:val="es-ES" w:eastAsia="es-ES"/>
        </w:rPr>
      </w:pPr>
      <w:hyperlink w:anchor="_Toc464813959" w:history="1">
        <w:r w:rsidR="00B2396C" w:rsidRPr="00470C7C">
          <w:rPr>
            <w:rStyle w:val="Hipervnculo"/>
            <w:noProof/>
            <w:szCs w:val="20"/>
          </w:rPr>
          <w:t>B.1 La evolución de la prohibición de la esclavitud, la servidumbre, el trabajo forzoso y las prácticas análogas a la esclavitud en el derecho internacional</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_Toc464813959 \h </w:instrText>
        </w:r>
        <w:r w:rsidR="00B2396C" w:rsidRPr="00470C7C">
          <w:rPr>
            <w:noProof/>
            <w:webHidden/>
            <w:szCs w:val="20"/>
          </w:rPr>
        </w:r>
        <w:r w:rsidR="00B2396C" w:rsidRPr="00470C7C">
          <w:rPr>
            <w:noProof/>
            <w:webHidden/>
            <w:szCs w:val="20"/>
          </w:rPr>
          <w:fldChar w:fldCharType="separate"/>
        </w:r>
        <w:r w:rsidR="00BD5C22">
          <w:rPr>
            <w:noProof/>
            <w:webHidden/>
            <w:szCs w:val="20"/>
          </w:rPr>
          <w:t>64</w:t>
        </w:r>
        <w:r w:rsidR="00B2396C" w:rsidRPr="00470C7C">
          <w:rPr>
            <w:noProof/>
            <w:webHidden/>
            <w:szCs w:val="20"/>
          </w:rPr>
          <w:fldChar w:fldCharType="end"/>
        </w:r>
      </w:hyperlink>
    </w:p>
    <w:p w14:paraId="71FCBD3B" w14:textId="10491AC3" w:rsidR="00B2396C" w:rsidRPr="00470C7C" w:rsidRDefault="00AE4298" w:rsidP="00E853FC">
      <w:pPr>
        <w:pStyle w:val="TDC3"/>
        <w:rPr>
          <w:rFonts w:eastAsiaTheme="minorEastAsia"/>
          <w:noProof/>
          <w:szCs w:val="20"/>
          <w:lang w:val="es-ES" w:eastAsia="es-ES"/>
        </w:rPr>
      </w:pPr>
      <w:hyperlink w:anchor="_Toc464813960" w:history="1">
        <w:r w:rsidR="00B2396C" w:rsidRPr="00470C7C">
          <w:rPr>
            <w:rStyle w:val="Hipervnculo"/>
            <w:noProof/>
            <w:szCs w:val="20"/>
          </w:rPr>
          <w:t>B.2 Tribunales Internacionales y Órganos Cuasi-Judiciales</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_Toc464813960 \h </w:instrText>
        </w:r>
        <w:r w:rsidR="00B2396C" w:rsidRPr="00470C7C">
          <w:rPr>
            <w:noProof/>
            <w:webHidden/>
            <w:szCs w:val="20"/>
          </w:rPr>
        </w:r>
        <w:r w:rsidR="00B2396C" w:rsidRPr="00470C7C">
          <w:rPr>
            <w:noProof/>
            <w:webHidden/>
            <w:szCs w:val="20"/>
          </w:rPr>
          <w:fldChar w:fldCharType="separate"/>
        </w:r>
        <w:r w:rsidR="00BD5C22">
          <w:rPr>
            <w:noProof/>
            <w:webHidden/>
            <w:szCs w:val="20"/>
          </w:rPr>
          <w:t>67</w:t>
        </w:r>
        <w:r w:rsidR="00B2396C" w:rsidRPr="00470C7C">
          <w:rPr>
            <w:noProof/>
            <w:webHidden/>
            <w:szCs w:val="20"/>
          </w:rPr>
          <w:fldChar w:fldCharType="end"/>
        </w:r>
      </w:hyperlink>
    </w:p>
    <w:p w14:paraId="07F469A3" w14:textId="5BB386EC" w:rsidR="00B2396C" w:rsidRPr="00470C7C" w:rsidRDefault="00AE4298" w:rsidP="00E853FC">
      <w:pPr>
        <w:pStyle w:val="TDC3"/>
        <w:rPr>
          <w:rFonts w:eastAsiaTheme="minorEastAsia"/>
          <w:noProof/>
          <w:szCs w:val="20"/>
          <w:lang w:val="es-ES" w:eastAsia="es-ES"/>
        </w:rPr>
      </w:pPr>
      <w:hyperlink w:anchor="_Toc464813961" w:history="1">
        <w:r w:rsidR="00B2396C" w:rsidRPr="00470C7C">
          <w:rPr>
            <w:rStyle w:val="Hipervnculo"/>
            <w:noProof/>
            <w:szCs w:val="20"/>
          </w:rPr>
          <w:t>B.3 Elementos del concepto de esclavitud</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_Toc464813961 \h </w:instrText>
        </w:r>
        <w:r w:rsidR="00B2396C" w:rsidRPr="00470C7C">
          <w:rPr>
            <w:noProof/>
            <w:webHidden/>
            <w:szCs w:val="20"/>
          </w:rPr>
        </w:r>
        <w:r w:rsidR="00B2396C" w:rsidRPr="00470C7C">
          <w:rPr>
            <w:noProof/>
            <w:webHidden/>
            <w:szCs w:val="20"/>
          </w:rPr>
          <w:fldChar w:fldCharType="separate"/>
        </w:r>
        <w:r w:rsidR="00BD5C22">
          <w:rPr>
            <w:noProof/>
            <w:webHidden/>
            <w:szCs w:val="20"/>
          </w:rPr>
          <w:t>70</w:t>
        </w:r>
        <w:r w:rsidR="00B2396C" w:rsidRPr="00470C7C">
          <w:rPr>
            <w:noProof/>
            <w:webHidden/>
            <w:szCs w:val="20"/>
          </w:rPr>
          <w:fldChar w:fldCharType="end"/>
        </w:r>
      </w:hyperlink>
    </w:p>
    <w:p w14:paraId="46854697" w14:textId="29063AD1" w:rsidR="00B2396C" w:rsidRPr="00470C7C" w:rsidRDefault="00AE4298" w:rsidP="00E853FC">
      <w:pPr>
        <w:pStyle w:val="TDC3"/>
        <w:rPr>
          <w:rFonts w:eastAsiaTheme="minorEastAsia"/>
          <w:noProof/>
          <w:szCs w:val="20"/>
          <w:lang w:val="es-ES" w:eastAsia="es-ES"/>
        </w:rPr>
      </w:pPr>
      <w:hyperlink w:anchor="_Toc464813962" w:history="1">
        <w:r w:rsidR="00B2396C" w:rsidRPr="00470C7C">
          <w:rPr>
            <w:rStyle w:val="Hipervnculo"/>
            <w:noProof/>
            <w:szCs w:val="20"/>
          </w:rPr>
          <w:t>B.4 Prohibición y definición de servidumbre como forma análoga de esclavitud</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_Toc464813962 \h </w:instrText>
        </w:r>
        <w:r w:rsidR="00B2396C" w:rsidRPr="00470C7C">
          <w:rPr>
            <w:noProof/>
            <w:webHidden/>
            <w:szCs w:val="20"/>
          </w:rPr>
        </w:r>
        <w:r w:rsidR="00B2396C" w:rsidRPr="00470C7C">
          <w:rPr>
            <w:noProof/>
            <w:webHidden/>
            <w:szCs w:val="20"/>
          </w:rPr>
          <w:fldChar w:fldCharType="separate"/>
        </w:r>
        <w:r w:rsidR="00BD5C22">
          <w:rPr>
            <w:noProof/>
            <w:webHidden/>
            <w:szCs w:val="20"/>
          </w:rPr>
          <w:t>71</w:t>
        </w:r>
        <w:r w:rsidR="00B2396C" w:rsidRPr="00470C7C">
          <w:rPr>
            <w:noProof/>
            <w:webHidden/>
            <w:szCs w:val="20"/>
          </w:rPr>
          <w:fldChar w:fldCharType="end"/>
        </w:r>
      </w:hyperlink>
    </w:p>
    <w:p w14:paraId="01F1E76D" w14:textId="19598766" w:rsidR="00B2396C" w:rsidRPr="00470C7C" w:rsidRDefault="00AE4298" w:rsidP="00E853FC">
      <w:pPr>
        <w:pStyle w:val="TDC3"/>
        <w:rPr>
          <w:rFonts w:eastAsiaTheme="minorEastAsia"/>
          <w:noProof/>
          <w:szCs w:val="20"/>
          <w:lang w:val="es-ES" w:eastAsia="es-ES"/>
        </w:rPr>
      </w:pPr>
      <w:hyperlink w:anchor="_Toc464813963" w:history="1">
        <w:r w:rsidR="00B2396C" w:rsidRPr="00470C7C">
          <w:rPr>
            <w:rStyle w:val="Hipervnculo"/>
            <w:noProof/>
            <w:szCs w:val="20"/>
          </w:rPr>
          <w:t>B.5 Prohibición y definición de la trata de esclavos y la trata de mujeres</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_Toc464813963 \h </w:instrText>
        </w:r>
        <w:r w:rsidR="00B2396C" w:rsidRPr="00470C7C">
          <w:rPr>
            <w:noProof/>
            <w:webHidden/>
            <w:szCs w:val="20"/>
          </w:rPr>
        </w:r>
        <w:r w:rsidR="00B2396C" w:rsidRPr="00470C7C">
          <w:rPr>
            <w:noProof/>
            <w:webHidden/>
            <w:szCs w:val="20"/>
          </w:rPr>
          <w:fldChar w:fldCharType="separate"/>
        </w:r>
        <w:r w:rsidR="00BD5C22">
          <w:rPr>
            <w:noProof/>
            <w:webHidden/>
            <w:szCs w:val="20"/>
          </w:rPr>
          <w:t>73</w:t>
        </w:r>
        <w:r w:rsidR="00B2396C" w:rsidRPr="00470C7C">
          <w:rPr>
            <w:noProof/>
            <w:webHidden/>
            <w:szCs w:val="20"/>
          </w:rPr>
          <w:fldChar w:fldCharType="end"/>
        </w:r>
      </w:hyperlink>
    </w:p>
    <w:p w14:paraId="3847E889" w14:textId="594A08CB" w:rsidR="00B2396C" w:rsidRPr="00470C7C" w:rsidRDefault="00AE4298" w:rsidP="00E853FC">
      <w:pPr>
        <w:pStyle w:val="TDC3"/>
        <w:rPr>
          <w:rFonts w:eastAsiaTheme="minorEastAsia"/>
          <w:noProof/>
          <w:szCs w:val="20"/>
          <w:lang w:val="es-ES" w:eastAsia="es-ES"/>
        </w:rPr>
      </w:pPr>
      <w:hyperlink w:anchor="_Toc464813964" w:history="1">
        <w:r w:rsidR="00B2396C" w:rsidRPr="00470C7C">
          <w:rPr>
            <w:rStyle w:val="Hipervnculo"/>
            <w:noProof/>
            <w:szCs w:val="20"/>
          </w:rPr>
          <w:t>B.6 Trabajo Forzoso u Obligatorio</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_Toc464813964 \h </w:instrText>
        </w:r>
        <w:r w:rsidR="00B2396C" w:rsidRPr="00470C7C">
          <w:rPr>
            <w:noProof/>
            <w:webHidden/>
            <w:szCs w:val="20"/>
          </w:rPr>
        </w:r>
        <w:r w:rsidR="00B2396C" w:rsidRPr="00470C7C">
          <w:rPr>
            <w:noProof/>
            <w:webHidden/>
            <w:szCs w:val="20"/>
          </w:rPr>
          <w:fldChar w:fldCharType="separate"/>
        </w:r>
        <w:r w:rsidR="00BD5C22">
          <w:rPr>
            <w:noProof/>
            <w:webHidden/>
            <w:szCs w:val="20"/>
          </w:rPr>
          <w:t>76</w:t>
        </w:r>
        <w:r w:rsidR="00B2396C" w:rsidRPr="00470C7C">
          <w:rPr>
            <w:noProof/>
            <w:webHidden/>
            <w:szCs w:val="20"/>
          </w:rPr>
          <w:fldChar w:fldCharType="end"/>
        </w:r>
      </w:hyperlink>
    </w:p>
    <w:p w14:paraId="39B0A27E" w14:textId="2554B4CC" w:rsidR="00B2396C" w:rsidRPr="00470C7C" w:rsidRDefault="00AE4298" w:rsidP="00E853FC">
      <w:pPr>
        <w:pStyle w:val="TDC3"/>
        <w:rPr>
          <w:rFonts w:eastAsiaTheme="minorEastAsia"/>
          <w:noProof/>
          <w:szCs w:val="20"/>
          <w:lang w:val="es-ES" w:eastAsia="es-ES"/>
        </w:rPr>
      </w:pPr>
      <w:hyperlink w:anchor="_Toc464813965" w:history="1">
        <w:r w:rsidR="00B2396C" w:rsidRPr="00470C7C">
          <w:rPr>
            <w:rStyle w:val="Hipervnculo"/>
            <w:noProof/>
            <w:szCs w:val="20"/>
          </w:rPr>
          <w:t>B.7 Los hechos del presente caso a la luz de los estándares internacionales</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_Toc464813965 \h </w:instrText>
        </w:r>
        <w:r w:rsidR="00B2396C" w:rsidRPr="00470C7C">
          <w:rPr>
            <w:noProof/>
            <w:webHidden/>
            <w:szCs w:val="20"/>
          </w:rPr>
        </w:r>
        <w:r w:rsidR="00B2396C" w:rsidRPr="00470C7C">
          <w:rPr>
            <w:noProof/>
            <w:webHidden/>
            <w:szCs w:val="20"/>
          </w:rPr>
          <w:fldChar w:fldCharType="separate"/>
        </w:r>
        <w:r w:rsidR="00BD5C22">
          <w:rPr>
            <w:noProof/>
            <w:webHidden/>
            <w:szCs w:val="20"/>
          </w:rPr>
          <w:t>77</w:t>
        </w:r>
        <w:r w:rsidR="00B2396C" w:rsidRPr="00470C7C">
          <w:rPr>
            <w:noProof/>
            <w:webHidden/>
            <w:szCs w:val="20"/>
          </w:rPr>
          <w:fldChar w:fldCharType="end"/>
        </w:r>
      </w:hyperlink>
    </w:p>
    <w:p w14:paraId="48569AA2" w14:textId="0F2A7B5E" w:rsidR="00B2396C" w:rsidRPr="00470C7C" w:rsidRDefault="00AE4298" w:rsidP="00E853FC">
      <w:pPr>
        <w:pStyle w:val="TDC3"/>
        <w:rPr>
          <w:rFonts w:eastAsiaTheme="minorEastAsia"/>
          <w:noProof/>
          <w:szCs w:val="20"/>
          <w:lang w:val="es-ES" w:eastAsia="es-ES"/>
        </w:rPr>
      </w:pPr>
      <w:hyperlink w:anchor="_Toc464813966" w:history="1">
        <w:r w:rsidR="00B2396C" w:rsidRPr="00470C7C">
          <w:rPr>
            <w:rStyle w:val="Hipervnculo"/>
            <w:noProof/>
            <w:szCs w:val="20"/>
          </w:rPr>
          <w:t>B.8 Legislación penal brasileña</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_Toc464813966 \h </w:instrText>
        </w:r>
        <w:r w:rsidR="00B2396C" w:rsidRPr="00470C7C">
          <w:rPr>
            <w:noProof/>
            <w:webHidden/>
            <w:szCs w:val="20"/>
          </w:rPr>
        </w:r>
        <w:r w:rsidR="00B2396C" w:rsidRPr="00470C7C">
          <w:rPr>
            <w:noProof/>
            <w:webHidden/>
            <w:szCs w:val="20"/>
          </w:rPr>
          <w:fldChar w:fldCharType="separate"/>
        </w:r>
        <w:r w:rsidR="00BD5C22">
          <w:rPr>
            <w:noProof/>
            <w:webHidden/>
            <w:szCs w:val="20"/>
          </w:rPr>
          <w:t>79</w:t>
        </w:r>
        <w:r w:rsidR="00B2396C" w:rsidRPr="00470C7C">
          <w:rPr>
            <w:noProof/>
            <w:webHidden/>
            <w:szCs w:val="20"/>
          </w:rPr>
          <w:fldChar w:fldCharType="end"/>
        </w:r>
      </w:hyperlink>
    </w:p>
    <w:p w14:paraId="3D77110B" w14:textId="799A0FE1" w:rsidR="00B2396C" w:rsidRPr="00470C7C" w:rsidRDefault="00AE4298" w:rsidP="00E853FC">
      <w:pPr>
        <w:pStyle w:val="TDC3"/>
        <w:rPr>
          <w:rFonts w:eastAsiaTheme="minorEastAsia"/>
          <w:noProof/>
          <w:szCs w:val="20"/>
          <w:lang w:val="es-ES" w:eastAsia="es-ES"/>
        </w:rPr>
      </w:pPr>
      <w:hyperlink w:anchor="_Toc464813967" w:history="1">
        <w:r w:rsidR="00B2396C" w:rsidRPr="00470C7C">
          <w:rPr>
            <w:rStyle w:val="Hipervnculo"/>
            <w:noProof/>
            <w:szCs w:val="20"/>
          </w:rPr>
          <w:t>B.9 La responsabilidad del Estado en el presente caso</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_Toc464813967 \h </w:instrText>
        </w:r>
        <w:r w:rsidR="00B2396C" w:rsidRPr="00470C7C">
          <w:rPr>
            <w:noProof/>
            <w:webHidden/>
            <w:szCs w:val="20"/>
          </w:rPr>
        </w:r>
        <w:r w:rsidR="00B2396C" w:rsidRPr="00470C7C">
          <w:rPr>
            <w:noProof/>
            <w:webHidden/>
            <w:szCs w:val="20"/>
          </w:rPr>
          <w:fldChar w:fldCharType="separate"/>
        </w:r>
        <w:r w:rsidR="00BD5C22">
          <w:rPr>
            <w:noProof/>
            <w:webHidden/>
            <w:szCs w:val="20"/>
          </w:rPr>
          <w:t>81</w:t>
        </w:r>
        <w:r w:rsidR="00B2396C" w:rsidRPr="00470C7C">
          <w:rPr>
            <w:noProof/>
            <w:webHidden/>
            <w:szCs w:val="20"/>
          </w:rPr>
          <w:fldChar w:fldCharType="end"/>
        </w:r>
      </w:hyperlink>
    </w:p>
    <w:p w14:paraId="1BD5A4D2" w14:textId="4F2BD607" w:rsidR="00B2396C" w:rsidRPr="00470C7C" w:rsidRDefault="00AE4298" w:rsidP="00E853FC">
      <w:pPr>
        <w:pStyle w:val="TDC3"/>
        <w:rPr>
          <w:rFonts w:eastAsiaTheme="minorEastAsia"/>
          <w:noProof/>
          <w:szCs w:val="20"/>
          <w:lang w:val="es-ES" w:eastAsia="es-ES"/>
        </w:rPr>
      </w:pPr>
      <w:hyperlink w:anchor="_Toc464813968" w:history="1">
        <w:r w:rsidR="00B2396C" w:rsidRPr="00470C7C">
          <w:rPr>
            <w:rStyle w:val="Hipervnculo"/>
            <w:noProof/>
            <w:szCs w:val="20"/>
          </w:rPr>
          <w:t>B.10 Deber de prevención y no discriminación</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_Toc464813968 \h </w:instrText>
        </w:r>
        <w:r w:rsidR="00B2396C" w:rsidRPr="00470C7C">
          <w:rPr>
            <w:noProof/>
            <w:webHidden/>
            <w:szCs w:val="20"/>
          </w:rPr>
        </w:r>
        <w:r w:rsidR="00B2396C" w:rsidRPr="00470C7C">
          <w:rPr>
            <w:noProof/>
            <w:webHidden/>
            <w:szCs w:val="20"/>
          </w:rPr>
          <w:fldChar w:fldCharType="separate"/>
        </w:r>
        <w:r w:rsidR="00BD5C22">
          <w:rPr>
            <w:noProof/>
            <w:webHidden/>
            <w:szCs w:val="20"/>
          </w:rPr>
          <w:t>83</w:t>
        </w:r>
        <w:r w:rsidR="00B2396C" w:rsidRPr="00470C7C">
          <w:rPr>
            <w:noProof/>
            <w:webHidden/>
            <w:szCs w:val="20"/>
          </w:rPr>
          <w:fldChar w:fldCharType="end"/>
        </w:r>
      </w:hyperlink>
    </w:p>
    <w:p w14:paraId="6E20CD40" w14:textId="2DDACA9D" w:rsidR="00B2396C" w:rsidRPr="00470C7C" w:rsidRDefault="00AE4298" w:rsidP="00E853FC">
      <w:pPr>
        <w:pStyle w:val="TDC3"/>
        <w:rPr>
          <w:rFonts w:eastAsiaTheme="minorEastAsia"/>
          <w:noProof/>
          <w:szCs w:val="20"/>
          <w:lang w:val="es-ES" w:eastAsia="es-ES"/>
        </w:rPr>
      </w:pPr>
      <w:hyperlink w:anchor="_Toc464813969" w:history="1">
        <w:r w:rsidR="00B2396C" w:rsidRPr="00470C7C">
          <w:rPr>
            <w:rStyle w:val="Hipervnculo"/>
            <w:noProof/>
            <w:szCs w:val="20"/>
          </w:rPr>
          <w:t>B.11 Derecho del niño</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_Toc464813969 \h </w:instrText>
        </w:r>
        <w:r w:rsidR="00B2396C" w:rsidRPr="00470C7C">
          <w:rPr>
            <w:noProof/>
            <w:webHidden/>
            <w:szCs w:val="20"/>
          </w:rPr>
        </w:r>
        <w:r w:rsidR="00B2396C" w:rsidRPr="00470C7C">
          <w:rPr>
            <w:noProof/>
            <w:webHidden/>
            <w:szCs w:val="20"/>
          </w:rPr>
          <w:fldChar w:fldCharType="separate"/>
        </w:r>
        <w:r w:rsidR="00BD5C22">
          <w:rPr>
            <w:noProof/>
            <w:webHidden/>
            <w:szCs w:val="20"/>
          </w:rPr>
          <w:t>84</w:t>
        </w:r>
        <w:r w:rsidR="00B2396C" w:rsidRPr="00470C7C">
          <w:rPr>
            <w:noProof/>
            <w:webHidden/>
            <w:szCs w:val="20"/>
          </w:rPr>
          <w:fldChar w:fldCharType="end"/>
        </w:r>
      </w:hyperlink>
    </w:p>
    <w:p w14:paraId="7B6EFC98" w14:textId="19E9500F" w:rsidR="00B2396C" w:rsidRPr="00470C7C" w:rsidRDefault="00AE4298" w:rsidP="00E853FC">
      <w:pPr>
        <w:pStyle w:val="TDC3"/>
        <w:rPr>
          <w:rFonts w:eastAsiaTheme="minorEastAsia"/>
          <w:noProof/>
          <w:szCs w:val="20"/>
          <w:lang w:val="es-ES" w:eastAsia="es-ES"/>
        </w:rPr>
      </w:pPr>
      <w:hyperlink w:anchor="_Toc464813970" w:history="1">
        <w:r w:rsidR="00B2396C" w:rsidRPr="00470C7C">
          <w:rPr>
            <w:rStyle w:val="Hipervnculo"/>
            <w:noProof/>
            <w:szCs w:val="20"/>
          </w:rPr>
          <w:t>B.12 Discriminación estructural</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_Toc464813970 \h </w:instrText>
        </w:r>
        <w:r w:rsidR="00B2396C" w:rsidRPr="00470C7C">
          <w:rPr>
            <w:noProof/>
            <w:webHidden/>
            <w:szCs w:val="20"/>
          </w:rPr>
        </w:r>
        <w:r w:rsidR="00B2396C" w:rsidRPr="00470C7C">
          <w:rPr>
            <w:noProof/>
            <w:webHidden/>
            <w:szCs w:val="20"/>
          </w:rPr>
          <w:fldChar w:fldCharType="separate"/>
        </w:r>
        <w:r w:rsidR="00BD5C22">
          <w:rPr>
            <w:noProof/>
            <w:webHidden/>
            <w:szCs w:val="20"/>
          </w:rPr>
          <w:t>86</w:t>
        </w:r>
        <w:r w:rsidR="00B2396C" w:rsidRPr="00470C7C">
          <w:rPr>
            <w:noProof/>
            <w:webHidden/>
            <w:szCs w:val="20"/>
          </w:rPr>
          <w:fldChar w:fldCharType="end"/>
        </w:r>
      </w:hyperlink>
    </w:p>
    <w:p w14:paraId="6BDD463B" w14:textId="7444FC2A" w:rsidR="00B2396C" w:rsidRPr="00470C7C" w:rsidRDefault="00AE4298" w:rsidP="00E853FC">
      <w:pPr>
        <w:pStyle w:val="TDC3"/>
        <w:rPr>
          <w:rFonts w:eastAsiaTheme="minorEastAsia"/>
          <w:noProof/>
          <w:szCs w:val="20"/>
          <w:lang w:val="es-ES" w:eastAsia="es-ES"/>
        </w:rPr>
      </w:pPr>
      <w:hyperlink w:anchor="_Toc464813971" w:history="1">
        <w:r w:rsidR="00B2396C" w:rsidRPr="00470C7C">
          <w:rPr>
            <w:rStyle w:val="Hipervnculo"/>
            <w:noProof/>
            <w:szCs w:val="20"/>
          </w:rPr>
          <w:t>B.13 Conclusión</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_Toc464813971 \h </w:instrText>
        </w:r>
        <w:r w:rsidR="00B2396C" w:rsidRPr="00470C7C">
          <w:rPr>
            <w:noProof/>
            <w:webHidden/>
            <w:szCs w:val="20"/>
          </w:rPr>
        </w:r>
        <w:r w:rsidR="00B2396C" w:rsidRPr="00470C7C">
          <w:rPr>
            <w:noProof/>
            <w:webHidden/>
            <w:szCs w:val="20"/>
          </w:rPr>
          <w:fldChar w:fldCharType="separate"/>
        </w:r>
        <w:r w:rsidR="00BD5C22">
          <w:rPr>
            <w:noProof/>
            <w:webHidden/>
            <w:szCs w:val="20"/>
          </w:rPr>
          <w:t>88</w:t>
        </w:r>
        <w:r w:rsidR="00B2396C" w:rsidRPr="00470C7C">
          <w:rPr>
            <w:noProof/>
            <w:webHidden/>
            <w:szCs w:val="20"/>
          </w:rPr>
          <w:fldChar w:fldCharType="end"/>
        </w:r>
      </w:hyperlink>
    </w:p>
    <w:p w14:paraId="22DC3EBF" w14:textId="0B337323" w:rsidR="00B2396C" w:rsidRPr="00470C7C" w:rsidRDefault="00AE4298" w:rsidP="00E853FC">
      <w:pPr>
        <w:pStyle w:val="TDC1"/>
        <w:spacing w:after="40"/>
        <w:rPr>
          <w:rFonts w:eastAsiaTheme="minorEastAsia"/>
          <w:noProof/>
          <w:sz w:val="20"/>
          <w:szCs w:val="20"/>
          <w:lang w:val="es-ES" w:eastAsia="es-ES"/>
        </w:rPr>
      </w:pPr>
      <w:hyperlink w:anchor="_Toc464813972" w:history="1">
        <w:r w:rsidR="00B2396C" w:rsidRPr="00470C7C">
          <w:rPr>
            <w:rStyle w:val="Hipervnculo"/>
            <w:noProof/>
            <w:sz w:val="20"/>
            <w:szCs w:val="20"/>
          </w:rPr>
          <w:t>VIII-2</w:t>
        </w:r>
        <w:r w:rsidR="009F4724" w:rsidRPr="00470C7C">
          <w:rPr>
            <w:rStyle w:val="Hipervnculo"/>
            <w:noProof/>
            <w:sz w:val="20"/>
            <w:szCs w:val="20"/>
          </w:rPr>
          <w:t xml:space="preserve"> </w:t>
        </w:r>
      </w:hyperlink>
      <w:hyperlink w:anchor="_Toc464813973" w:history="1">
        <w:r w:rsidR="00B2396C" w:rsidRPr="00470C7C">
          <w:rPr>
            <w:rStyle w:val="Hipervnculo"/>
            <w:noProof/>
            <w:sz w:val="20"/>
            <w:szCs w:val="20"/>
          </w:rPr>
          <w:t>DERECHOS A LAS GARANTÍAS JUDICIALES Y A LA PROTECCIÓN JUDICIAL</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_Toc464813973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89</w:t>
        </w:r>
        <w:r w:rsidR="00B2396C" w:rsidRPr="00470C7C">
          <w:rPr>
            <w:noProof/>
            <w:webHidden/>
            <w:sz w:val="20"/>
            <w:szCs w:val="20"/>
          </w:rPr>
          <w:fldChar w:fldCharType="end"/>
        </w:r>
      </w:hyperlink>
    </w:p>
    <w:p w14:paraId="765FDBDB" w14:textId="2ED9FE16" w:rsidR="00B2396C" w:rsidRPr="00470C7C" w:rsidRDefault="00FD3A54" w:rsidP="007078C6">
      <w:pPr>
        <w:pStyle w:val="TDC2"/>
        <w:rPr>
          <w:rFonts w:eastAsiaTheme="minorEastAsia"/>
          <w:noProof/>
          <w:lang w:val="es-ES" w:eastAsia="es-ES"/>
        </w:rPr>
      </w:pPr>
      <w:r w:rsidRPr="00470C7C">
        <w:rPr>
          <w:noProof/>
        </w:rPr>
        <w:t xml:space="preserve">A. </w:t>
      </w:r>
      <w:r w:rsidR="006513B0" w:rsidRPr="00470C7C">
        <w:rPr>
          <w:noProof/>
        </w:rPr>
        <w:t>A</w:t>
      </w:r>
      <w:hyperlink w:anchor="_Toc464813974" w:history="1">
        <w:r w:rsidR="00B2396C" w:rsidRPr="00470C7C">
          <w:rPr>
            <w:rStyle w:val="Hipervnculo"/>
            <w:noProof/>
            <w:szCs w:val="20"/>
          </w:rPr>
          <w:t>rgumentos de las partes y de la Comisión</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_Toc464813974 \h </w:instrText>
        </w:r>
        <w:r w:rsidR="00B2396C" w:rsidRPr="00470C7C">
          <w:rPr>
            <w:noProof/>
            <w:webHidden/>
          </w:rPr>
        </w:r>
        <w:r w:rsidR="00B2396C" w:rsidRPr="00470C7C">
          <w:rPr>
            <w:noProof/>
            <w:webHidden/>
          </w:rPr>
          <w:fldChar w:fldCharType="separate"/>
        </w:r>
        <w:r w:rsidR="00BD5C22">
          <w:rPr>
            <w:noProof/>
            <w:webHidden/>
          </w:rPr>
          <w:t>89</w:t>
        </w:r>
        <w:r w:rsidR="00B2396C" w:rsidRPr="00470C7C">
          <w:rPr>
            <w:noProof/>
            <w:webHidden/>
          </w:rPr>
          <w:fldChar w:fldCharType="end"/>
        </w:r>
      </w:hyperlink>
    </w:p>
    <w:p w14:paraId="568262C8" w14:textId="0F4B122B" w:rsidR="00B2396C" w:rsidRPr="00470C7C" w:rsidRDefault="00FD3A54" w:rsidP="007078C6">
      <w:pPr>
        <w:pStyle w:val="TDC2"/>
        <w:rPr>
          <w:rFonts w:eastAsiaTheme="minorEastAsia"/>
          <w:noProof/>
          <w:lang w:val="es-ES" w:eastAsia="es-ES"/>
        </w:rPr>
      </w:pPr>
      <w:r w:rsidRPr="00470C7C">
        <w:rPr>
          <w:noProof/>
        </w:rPr>
        <w:t xml:space="preserve">B. </w:t>
      </w:r>
      <w:hyperlink w:anchor="_Toc464813975" w:history="1">
        <w:r w:rsidR="009F4724" w:rsidRPr="00470C7C">
          <w:rPr>
            <w:rStyle w:val="Hipervnculo"/>
            <w:noProof/>
            <w:szCs w:val="20"/>
          </w:rPr>
          <w:t>C</w:t>
        </w:r>
        <w:r w:rsidR="00B2396C" w:rsidRPr="00470C7C">
          <w:rPr>
            <w:rStyle w:val="Hipervnculo"/>
            <w:noProof/>
            <w:szCs w:val="20"/>
          </w:rPr>
          <w:t>onsideraciones de la Corte</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_Toc464813975 \h </w:instrText>
        </w:r>
        <w:r w:rsidR="00B2396C" w:rsidRPr="00470C7C">
          <w:rPr>
            <w:noProof/>
            <w:webHidden/>
          </w:rPr>
        </w:r>
        <w:r w:rsidR="00B2396C" w:rsidRPr="00470C7C">
          <w:rPr>
            <w:noProof/>
            <w:webHidden/>
          </w:rPr>
          <w:fldChar w:fldCharType="separate"/>
        </w:r>
        <w:r w:rsidR="00BD5C22">
          <w:rPr>
            <w:noProof/>
            <w:webHidden/>
          </w:rPr>
          <w:t>92</w:t>
        </w:r>
        <w:r w:rsidR="00B2396C" w:rsidRPr="00470C7C">
          <w:rPr>
            <w:noProof/>
            <w:webHidden/>
          </w:rPr>
          <w:fldChar w:fldCharType="end"/>
        </w:r>
      </w:hyperlink>
    </w:p>
    <w:p w14:paraId="6314872B" w14:textId="26CF0BF6" w:rsidR="00B2396C" w:rsidRPr="00470C7C" w:rsidRDefault="00AE4298" w:rsidP="00E853FC">
      <w:pPr>
        <w:pStyle w:val="TDC3"/>
        <w:rPr>
          <w:rFonts w:eastAsiaTheme="minorEastAsia"/>
          <w:noProof/>
          <w:szCs w:val="20"/>
          <w:lang w:val="es-ES" w:eastAsia="es-ES"/>
        </w:rPr>
      </w:pPr>
      <w:hyperlink w:anchor="_Toc464813976" w:history="1">
        <w:r w:rsidR="00B2396C" w:rsidRPr="00470C7C">
          <w:rPr>
            <w:rStyle w:val="Hipervnculo"/>
            <w:noProof/>
            <w:szCs w:val="20"/>
            <w:lang w:eastAsia="es-ES"/>
          </w:rPr>
          <w:t>B.1 Debida diligencia</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_Toc464813976 \h </w:instrText>
        </w:r>
        <w:r w:rsidR="00B2396C" w:rsidRPr="00470C7C">
          <w:rPr>
            <w:noProof/>
            <w:webHidden/>
            <w:szCs w:val="20"/>
          </w:rPr>
        </w:r>
        <w:r w:rsidR="00B2396C" w:rsidRPr="00470C7C">
          <w:rPr>
            <w:noProof/>
            <w:webHidden/>
            <w:szCs w:val="20"/>
          </w:rPr>
          <w:fldChar w:fldCharType="separate"/>
        </w:r>
        <w:r w:rsidR="00BD5C22">
          <w:rPr>
            <w:noProof/>
            <w:webHidden/>
            <w:szCs w:val="20"/>
          </w:rPr>
          <w:t>92</w:t>
        </w:r>
        <w:r w:rsidR="00B2396C" w:rsidRPr="00470C7C">
          <w:rPr>
            <w:noProof/>
            <w:webHidden/>
            <w:szCs w:val="20"/>
          </w:rPr>
          <w:fldChar w:fldCharType="end"/>
        </w:r>
      </w:hyperlink>
    </w:p>
    <w:p w14:paraId="259267C5" w14:textId="6184D465" w:rsidR="00B2396C" w:rsidRPr="00470C7C" w:rsidRDefault="00AE4298" w:rsidP="00E853FC">
      <w:pPr>
        <w:pStyle w:val="TDC3"/>
        <w:rPr>
          <w:rFonts w:eastAsiaTheme="minorEastAsia"/>
          <w:noProof/>
          <w:szCs w:val="20"/>
          <w:lang w:val="es-ES" w:eastAsia="es-ES"/>
        </w:rPr>
      </w:pPr>
      <w:hyperlink w:anchor="_Toc464813977" w:history="1">
        <w:r w:rsidR="00B2396C" w:rsidRPr="00470C7C">
          <w:rPr>
            <w:rStyle w:val="Hipervnculo"/>
            <w:noProof/>
            <w:szCs w:val="20"/>
          </w:rPr>
          <w:t>B.2 Plazo razonable</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_Toc464813977 \h </w:instrText>
        </w:r>
        <w:r w:rsidR="00B2396C" w:rsidRPr="00470C7C">
          <w:rPr>
            <w:noProof/>
            <w:webHidden/>
            <w:szCs w:val="20"/>
          </w:rPr>
        </w:r>
        <w:r w:rsidR="00B2396C" w:rsidRPr="00470C7C">
          <w:rPr>
            <w:noProof/>
            <w:webHidden/>
            <w:szCs w:val="20"/>
          </w:rPr>
          <w:fldChar w:fldCharType="separate"/>
        </w:r>
        <w:r w:rsidR="00BD5C22">
          <w:rPr>
            <w:noProof/>
            <w:webHidden/>
            <w:szCs w:val="20"/>
          </w:rPr>
          <w:t>93</w:t>
        </w:r>
        <w:r w:rsidR="00B2396C" w:rsidRPr="00470C7C">
          <w:rPr>
            <w:noProof/>
            <w:webHidden/>
            <w:szCs w:val="20"/>
          </w:rPr>
          <w:fldChar w:fldCharType="end"/>
        </w:r>
      </w:hyperlink>
    </w:p>
    <w:p w14:paraId="7CA3C0A9" w14:textId="6DC681EF" w:rsidR="00B2396C" w:rsidRPr="00470C7C" w:rsidRDefault="00AE4298" w:rsidP="00E853FC">
      <w:pPr>
        <w:pStyle w:val="TDC3"/>
        <w:rPr>
          <w:rFonts w:eastAsiaTheme="minorEastAsia"/>
          <w:noProof/>
          <w:szCs w:val="20"/>
          <w:lang w:val="es-ES" w:eastAsia="es-ES"/>
        </w:rPr>
      </w:pPr>
      <w:hyperlink w:anchor="_Toc464813978" w:history="1">
        <w:r w:rsidR="00B2396C" w:rsidRPr="00470C7C">
          <w:rPr>
            <w:rStyle w:val="Hipervnculo"/>
            <w:noProof/>
            <w:szCs w:val="20"/>
          </w:rPr>
          <w:t>B.3 Ausencia de protección judicial efectiva</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_Toc464813978 \h </w:instrText>
        </w:r>
        <w:r w:rsidR="00B2396C" w:rsidRPr="00470C7C">
          <w:rPr>
            <w:noProof/>
            <w:webHidden/>
            <w:szCs w:val="20"/>
          </w:rPr>
        </w:r>
        <w:r w:rsidR="00B2396C" w:rsidRPr="00470C7C">
          <w:rPr>
            <w:noProof/>
            <w:webHidden/>
            <w:szCs w:val="20"/>
          </w:rPr>
          <w:fldChar w:fldCharType="separate"/>
        </w:r>
        <w:r w:rsidR="00BD5C22">
          <w:rPr>
            <w:noProof/>
            <w:webHidden/>
            <w:szCs w:val="20"/>
          </w:rPr>
          <w:t>96</w:t>
        </w:r>
        <w:r w:rsidR="00B2396C" w:rsidRPr="00470C7C">
          <w:rPr>
            <w:noProof/>
            <w:webHidden/>
            <w:szCs w:val="20"/>
          </w:rPr>
          <w:fldChar w:fldCharType="end"/>
        </w:r>
      </w:hyperlink>
    </w:p>
    <w:p w14:paraId="31231A44" w14:textId="331F8B62" w:rsidR="00B2396C" w:rsidRPr="00470C7C" w:rsidRDefault="00AE4298" w:rsidP="00E853FC">
      <w:pPr>
        <w:pStyle w:val="TDC3"/>
        <w:rPr>
          <w:rFonts w:eastAsiaTheme="minorEastAsia"/>
          <w:noProof/>
          <w:szCs w:val="20"/>
          <w:lang w:val="es-ES" w:eastAsia="es-ES"/>
        </w:rPr>
      </w:pPr>
      <w:hyperlink w:anchor="_Toc464813979" w:history="1">
        <w:r w:rsidR="00B2396C" w:rsidRPr="00470C7C">
          <w:rPr>
            <w:rStyle w:val="Hipervnculo"/>
            <w:noProof/>
            <w:szCs w:val="20"/>
          </w:rPr>
          <w:t xml:space="preserve">B.4 Las investigaciones realizadas con relación a las alegadas desapariciones forzadas de </w:t>
        </w:r>
        <w:r w:rsidR="008B075C" w:rsidRPr="00470C7C">
          <w:rPr>
            <w:rStyle w:val="Hipervnculo"/>
            <w:noProof/>
            <w:szCs w:val="20"/>
          </w:rPr>
          <w:t xml:space="preserve">Iron Canuto </w:t>
        </w:r>
        <w:r w:rsidR="00BE63A6" w:rsidRPr="00470C7C">
          <w:rPr>
            <w:rStyle w:val="Hipervnculo"/>
            <w:noProof/>
            <w:szCs w:val="20"/>
          </w:rPr>
          <w:t>da Silva</w:t>
        </w:r>
        <w:r w:rsidR="00B2396C" w:rsidRPr="00470C7C">
          <w:rPr>
            <w:rStyle w:val="Hipervnculo"/>
            <w:noProof/>
            <w:szCs w:val="20"/>
          </w:rPr>
          <w:t xml:space="preserve"> y </w:t>
        </w:r>
        <w:r w:rsidR="00200C04" w:rsidRPr="00470C7C">
          <w:rPr>
            <w:rStyle w:val="Hipervnculo"/>
            <w:noProof/>
            <w:szCs w:val="20"/>
          </w:rPr>
          <w:t xml:space="preserve">Luis Ferreira </w:t>
        </w:r>
        <w:r w:rsidR="00867094" w:rsidRPr="00470C7C">
          <w:rPr>
            <w:rStyle w:val="Hipervnculo"/>
            <w:noProof/>
            <w:szCs w:val="20"/>
          </w:rPr>
          <w:t>da Cruz</w:t>
        </w:r>
        <w:r w:rsidR="00B2396C" w:rsidRPr="00470C7C">
          <w:rPr>
            <w:noProof/>
            <w:webHidden/>
            <w:szCs w:val="20"/>
          </w:rPr>
          <w:tab/>
        </w:r>
        <w:r w:rsidR="00B2396C" w:rsidRPr="00470C7C">
          <w:rPr>
            <w:noProof/>
            <w:webHidden/>
            <w:szCs w:val="20"/>
          </w:rPr>
          <w:fldChar w:fldCharType="begin"/>
        </w:r>
        <w:r w:rsidR="00B2396C" w:rsidRPr="00470C7C">
          <w:rPr>
            <w:noProof/>
            <w:webHidden/>
            <w:szCs w:val="20"/>
          </w:rPr>
          <w:instrText xml:space="preserve"> PAGEREF _Toc464813979 \h </w:instrText>
        </w:r>
        <w:r w:rsidR="00B2396C" w:rsidRPr="00470C7C">
          <w:rPr>
            <w:noProof/>
            <w:webHidden/>
            <w:szCs w:val="20"/>
          </w:rPr>
        </w:r>
        <w:r w:rsidR="00B2396C" w:rsidRPr="00470C7C">
          <w:rPr>
            <w:noProof/>
            <w:webHidden/>
            <w:szCs w:val="20"/>
          </w:rPr>
          <w:fldChar w:fldCharType="separate"/>
        </w:r>
        <w:r w:rsidR="00BD5C22">
          <w:rPr>
            <w:noProof/>
            <w:webHidden/>
            <w:szCs w:val="20"/>
          </w:rPr>
          <w:t>103</w:t>
        </w:r>
        <w:r w:rsidR="00B2396C" w:rsidRPr="00470C7C">
          <w:rPr>
            <w:noProof/>
            <w:webHidden/>
            <w:szCs w:val="20"/>
          </w:rPr>
          <w:fldChar w:fldCharType="end"/>
        </w:r>
      </w:hyperlink>
    </w:p>
    <w:p w14:paraId="2AB37ABF" w14:textId="2C75ED1F" w:rsidR="00B2396C" w:rsidRPr="00470C7C" w:rsidRDefault="00AE4298" w:rsidP="00E853FC">
      <w:pPr>
        <w:pStyle w:val="TDC1"/>
        <w:spacing w:after="40"/>
        <w:rPr>
          <w:rFonts w:eastAsiaTheme="minorEastAsia"/>
          <w:noProof/>
          <w:sz w:val="20"/>
          <w:szCs w:val="20"/>
          <w:lang w:val="es-ES" w:eastAsia="es-ES"/>
        </w:rPr>
      </w:pPr>
      <w:hyperlink w:anchor="_Toc464813982" w:history="1">
        <w:r w:rsidR="00B2396C" w:rsidRPr="00470C7C">
          <w:rPr>
            <w:rStyle w:val="Hipervnculo"/>
            <w:rFonts w:eastAsia="Times New Roman" w:cs="Verdana"/>
            <w:bCs/>
            <w:caps/>
            <w:noProof/>
            <w:snapToGrid w:val="0"/>
            <w:sz w:val="20"/>
            <w:szCs w:val="20"/>
            <w:lang w:eastAsia="es-ES"/>
          </w:rPr>
          <w:t>IX</w:t>
        </w:r>
      </w:hyperlink>
      <w:r w:rsidR="00ED3F15" w:rsidRPr="00470C7C">
        <w:rPr>
          <w:rStyle w:val="Hipervnculo"/>
          <w:noProof/>
          <w:sz w:val="20"/>
          <w:szCs w:val="20"/>
          <w:u w:val="none"/>
        </w:rPr>
        <w:t xml:space="preserve"> </w:t>
      </w:r>
      <w:hyperlink w:anchor="_Toc464813983" w:history="1">
        <w:r w:rsidR="00B2396C" w:rsidRPr="00470C7C">
          <w:rPr>
            <w:rStyle w:val="Hipervnculo"/>
            <w:rFonts w:eastAsia="Times New Roman" w:cs="Verdana"/>
            <w:bCs/>
            <w:caps/>
            <w:noProof/>
            <w:snapToGrid w:val="0"/>
            <w:sz w:val="20"/>
            <w:szCs w:val="20"/>
            <w:lang w:eastAsia="es-ES"/>
          </w:rPr>
          <w:t>REPARACIONES</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_Toc464813983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107</w:t>
        </w:r>
        <w:r w:rsidR="00B2396C" w:rsidRPr="00470C7C">
          <w:rPr>
            <w:noProof/>
            <w:webHidden/>
            <w:sz w:val="20"/>
            <w:szCs w:val="20"/>
          </w:rPr>
          <w:fldChar w:fldCharType="end"/>
        </w:r>
      </w:hyperlink>
    </w:p>
    <w:p w14:paraId="4278B546" w14:textId="52C506EA" w:rsidR="00B2396C" w:rsidRPr="00470C7C" w:rsidRDefault="00FD3A54" w:rsidP="007078C6">
      <w:pPr>
        <w:pStyle w:val="TDC2"/>
        <w:rPr>
          <w:rFonts w:eastAsiaTheme="minorEastAsia"/>
          <w:noProof/>
          <w:lang w:val="es-ES" w:eastAsia="es-ES"/>
        </w:rPr>
      </w:pPr>
      <w:r w:rsidRPr="00470C7C">
        <w:rPr>
          <w:noProof/>
        </w:rPr>
        <w:t xml:space="preserve">A. </w:t>
      </w:r>
      <w:hyperlink w:anchor="_Toc464813985" w:history="1">
        <w:r w:rsidR="009F4724" w:rsidRPr="00470C7C">
          <w:rPr>
            <w:rStyle w:val="Hipervnculo"/>
            <w:noProof/>
            <w:szCs w:val="20"/>
          </w:rPr>
          <w:t>P</w:t>
        </w:r>
        <w:r w:rsidR="00B2396C" w:rsidRPr="00470C7C">
          <w:rPr>
            <w:rStyle w:val="Hipervnculo"/>
            <w:noProof/>
            <w:szCs w:val="20"/>
          </w:rPr>
          <w:t>arte lesionada</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_Toc464813985 \h </w:instrText>
        </w:r>
        <w:r w:rsidR="00B2396C" w:rsidRPr="00470C7C">
          <w:rPr>
            <w:noProof/>
            <w:webHidden/>
          </w:rPr>
        </w:r>
        <w:r w:rsidR="00B2396C" w:rsidRPr="00470C7C">
          <w:rPr>
            <w:noProof/>
            <w:webHidden/>
          </w:rPr>
          <w:fldChar w:fldCharType="separate"/>
        </w:r>
        <w:r w:rsidR="00BD5C22">
          <w:rPr>
            <w:noProof/>
            <w:webHidden/>
          </w:rPr>
          <w:t>108</w:t>
        </w:r>
        <w:r w:rsidR="00B2396C" w:rsidRPr="00470C7C">
          <w:rPr>
            <w:noProof/>
            <w:webHidden/>
          </w:rPr>
          <w:fldChar w:fldCharType="end"/>
        </w:r>
      </w:hyperlink>
    </w:p>
    <w:p w14:paraId="2BCF07A3" w14:textId="0306DECE" w:rsidR="00B2396C" w:rsidRPr="00470C7C" w:rsidRDefault="00FD3A54" w:rsidP="007078C6">
      <w:pPr>
        <w:pStyle w:val="TDC2"/>
        <w:rPr>
          <w:rFonts w:eastAsiaTheme="minorEastAsia"/>
          <w:noProof/>
          <w:lang w:val="es-ES" w:eastAsia="es-ES"/>
        </w:rPr>
      </w:pPr>
      <w:r w:rsidRPr="00470C7C">
        <w:rPr>
          <w:noProof/>
        </w:rPr>
        <w:t xml:space="preserve">B. </w:t>
      </w:r>
      <w:hyperlink w:anchor="_Toc464813986" w:history="1">
        <w:r w:rsidR="00B2396C" w:rsidRPr="00470C7C">
          <w:rPr>
            <w:rStyle w:val="Hipervnculo"/>
            <w:noProof/>
            <w:szCs w:val="20"/>
          </w:rPr>
          <w:t>Medidas de Investigación</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_Toc464813986 \h </w:instrText>
        </w:r>
        <w:r w:rsidR="00B2396C" w:rsidRPr="00470C7C">
          <w:rPr>
            <w:noProof/>
            <w:webHidden/>
          </w:rPr>
        </w:r>
        <w:r w:rsidR="00B2396C" w:rsidRPr="00470C7C">
          <w:rPr>
            <w:noProof/>
            <w:webHidden/>
          </w:rPr>
          <w:fldChar w:fldCharType="separate"/>
        </w:r>
        <w:r w:rsidR="00BD5C22">
          <w:rPr>
            <w:noProof/>
            <w:webHidden/>
          </w:rPr>
          <w:t>109</w:t>
        </w:r>
        <w:r w:rsidR="00B2396C" w:rsidRPr="00470C7C">
          <w:rPr>
            <w:noProof/>
            <w:webHidden/>
          </w:rPr>
          <w:fldChar w:fldCharType="end"/>
        </w:r>
      </w:hyperlink>
    </w:p>
    <w:p w14:paraId="4064BD73" w14:textId="0325C64C" w:rsidR="00B2396C" w:rsidRPr="00470C7C" w:rsidRDefault="00FD3A54" w:rsidP="007078C6">
      <w:pPr>
        <w:pStyle w:val="TDC2"/>
        <w:rPr>
          <w:rFonts w:eastAsiaTheme="minorEastAsia"/>
          <w:noProof/>
          <w:lang w:val="es-ES" w:eastAsia="es-ES"/>
        </w:rPr>
      </w:pPr>
      <w:r w:rsidRPr="00470C7C">
        <w:rPr>
          <w:noProof/>
        </w:rPr>
        <w:t xml:space="preserve">C. </w:t>
      </w:r>
      <w:hyperlink w:anchor="_Toc464813987" w:history="1">
        <w:r w:rsidR="00B2396C" w:rsidRPr="00470C7C">
          <w:rPr>
            <w:rStyle w:val="Hipervnculo"/>
            <w:noProof/>
            <w:szCs w:val="20"/>
          </w:rPr>
          <w:t>Medidas de satisfacción y garantías de no repetición</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_Toc464813987 \h </w:instrText>
        </w:r>
        <w:r w:rsidR="00B2396C" w:rsidRPr="00470C7C">
          <w:rPr>
            <w:noProof/>
            <w:webHidden/>
          </w:rPr>
        </w:r>
        <w:r w:rsidR="00B2396C" w:rsidRPr="00470C7C">
          <w:rPr>
            <w:noProof/>
            <w:webHidden/>
          </w:rPr>
          <w:fldChar w:fldCharType="separate"/>
        </w:r>
        <w:r w:rsidR="00BD5C22">
          <w:rPr>
            <w:noProof/>
            <w:webHidden/>
          </w:rPr>
          <w:t>110</w:t>
        </w:r>
        <w:r w:rsidR="00B2396C" w:rsidRPr="00470C7C">
          <w:rPr>
            <w:noProof/>
            <w:webHidden/>
          </w:rPr>
          <w:fldChar w:fldCharType="end"/>
        </w:r>
      </w:hyperlink>
    </w:p>
    <w:p w14:paraId="73C4B852" w14:textId="1AE8DBFD" w:rsidR="00B2396C" w:rsidRPr="00470C7C" w:rsidRDefault="00FD3A54" w:rsidP="007078C6">
      <w:pPr>
        <w:pStyle w:val="TDC2"/>
        <w:rPr>
          <w:rFonts w:eastAsiaTheme="minorEastAsia"/>
          <w:noProof/>
          <w:lang w:val="es-ES" w:eastAsia="es-ES"/>
        </w:rPr>
      </w:pPr>
      <w:r w:rsidRPr="00470C7C">
        <w:rPr>
          <w:noProof/>
        </w:rPr>
        <w:t xml:space="preserve">D. </w:t>
      </w:r>
      <w:hyperlink w:anchor="_Toc464813993" w:history="1">
        <w:r w:rsidR="00B2396C" w:rsidRPr="00470C7C">
          <w:rPr>
            <w:rStyle w:val="Hipervnculo"/>
            <w:noProof/>
            <w:szCs w:val="20"/>
          </w:rPr>
          <w:t>Otras medidas solicitadas</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_Toc464813993 \h </w:instrText>
        </w:r>
        <w:r w:rsidR="00B2396C" w:rsidRPr="00470C7C">
          <w:rPr>
            <w:noProof/>
            <w:webHidden/>
          </w:rPr>
        </w:r>
        <w:r w:rsidR="00B2396C" w:rsidRPr="00470C7C">
          <w:rPr>
            <w:noProof/>
            <w:webHidden/>
          </w:rPr>
          <w:fldChar w:fldCharType="separate"/>
        </w:r>
        <w:r w:rsidR="00BD5C22">
          <w:rPr>
            <w:noProof/>
            <w:webHidden/>
          </w:rPr>
          <w:t>116</w:t>
        </w:r>
        <w:r w:rsidR="00B2396C" w:rsidRPr="00470C7C">
          <w:rPr>
            <w:noProof/>
            <w:webHidden/>
          </w:rPr>
          <w:fldChar w:fldCharType="end"/>
        </w:r>
      </w:hyperlink>
    </w:p>
    <w:p w14:paraId="5CE00FEF" w14:textId="730FB870" w:rsidR="00B2396C" w:rsidRPr="00470C7C" w:rsidRDefault="00FD3A54" w:rsidP="007078C6">
      <w:pPr>
        <w:pStyle w:val="TDC2"/>
        <w:rPr>
          <w:rFonts w:eastAsiaTheme="minorEastAsia"/>
          <w:noProof/>
          <w:lang w:val="es-ES" w:eastAsia="es-ES"/>
        </w:rPr>
      </w:pPr>
      <w:r w:rsidRPr="00470C7C">
        <w:rPr>
          <w:noProof/>
        </w:rPr>
        <w:t xml:space="preserve">E. </w:t>
      </w:r>
      <w:hyperlink w:anchor="_Toc464813994" w:history="1">
        <w:r w:rsidR="00B2396C" w:rsidRPr="00470C7C">
          <w:rPr>
            <w:rStyle w:val="Hipervnculo"/>
            <w:noProof/>
            <w:szCs w:val="20"/>
          </w:rPr>
          <w:t>Indemnización compensatoria</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_Toc464813994 \h </w:instrText>
        </w:r>
        <w:r w:rsidR="00B2396C" w:rsidRPr="00470C7C">
          <w:rPr>
            <w:noProof/>
            <w:webHidden/>
          </w:rPr>
        </w:r>
        <w:r w:rsidR="00B2396C" w:rsidRPr="00470C7C">
          <w:rPr>
            <w:noProof/>
            <w:webHidden/>
          </w:rPr>
          <w:fldChar w:fldCharType="separate"/>
        </w:r>
        <w:r w:rsidR="00BD5C22">
          <w:rPr>
            <w:noProof/>
            <w:webHidden/>
          </w:rPr>
          <w:t>117</w:t>
        </w:r>
        <w:r w:rsidR="00B2396C" w:rsidRPr="00470C7C">
          <w:rPr>
            <w:noProof/>
            <w:webHidden/>
          </w:rPr>
          <w:fldChar w:fldCharType="end"/>
        </w:r>
      </w:hyperlink>
    </w:p>
    <w:p w14:paraId="1AD01E44" w14:textId="1B811556" w:rsidR="00B2396C" w:rsidRPr="00470C7C" w:rsidRDefault="00FD3A54" w:rsidP="007078C6">
      <w:pPr>
        <w:pStyle w:val="TDC2"/>
        <w:rPr>
          <w:rFonts w:eastAsiaTheme="minorEastAsia"/>
          <w:noProof/>
          <w:lang w:val="es-ES" w:eastAsia="es-ES"/>
        </w:rPr>
      </w:pPr>
      <w:r w:rsidRPr="00470C7C">
        <w:rPr>
          <w:noProof/>
        </w:rPr>
        <w:t xml:space="preserve">F. </w:t>
      </w:r>
      <w:hyperlink w:anchor="_Toc464813997" w:history="1">
        <w:r w:rsidR="00B2396C" w:rsidRPr="00470C7C">
          <w:rPr>
            <w:rStyle w:val="Hipervnculo"/>
            <w:noProof/>
            <w:szCs w:val="20"/>
          </w:rPr>
          <w:t>Costas y gastos</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_Toc464813997 \h </w:instrText>
        </w:r>
        <w:r w:rsidR="00B2396C" w:rsidRPr="00470C7C">
          <w:rPr>
            <w:noProof/>
            <w:webHidden/>
          </w:rPr>
        </w:r>
        <w:r w:rsidR="00B2396C" w:rsidRPr="00470C7C">
          <w:rPr>
            <w:noProof/>
            <w:webHidden/>
          </w:rPr>
          <w:fldChar w:fldCharType="separate"/>
        </w:r>
        <w:r w:rsidR="00BD5C22">
          <w:rPr>
            <w:noProof/>
            <w:webHidden/>
          </w:rPr>
          <w:t>119</w:t>
        </w:r>
        <w:r w:rsidR="00B2396C" w:rsidRPr="00470C7C">
          <w:rPr>
            <w:noProof/>
            <w:webHidden/>
          </w:rPr>
          <w:fldChar w:fldCharType="end"/>
        </w:r>
      </w:hyperlink>
    </w:p>
    <w:p w14:paraId="3D25D365" w14:textId="5075754C" w:rsidR="00B2396C" w:rsidRPr="00470C7C" w:rsidRDefault="00FD3A54" w:rsidP="007078C6">
      <w:pPr>
        <w:pStyle w:val="TDC2"/>
        <w:rPr>
          <w:rFonts w:eastAsiaTheme="minorEastAsia"/>
          <w:noProof/>
          <w:lang w:val="es-ES" w:eastAsia="es-ES"/>
        </w:rPr>
      </w:pPr>
      <w:r w:rsidRPr="00470C7C">
        <w:rPr>
          <w:noProof/>
        </w:rPr>
        <w:t xml:space="preserve">G. </w:t>
      </w:r>
      <w:hyperlink w:anchor="_Toc464813998" w:history="1">
        <w:r w:rsidR="00B2396C" w:rsidRPr="00470C7C">
          <w:rPr>
            <w:rStyle w:val="Hipervnculo"/>
            <w:noProof/>
            <w:szCs w:val="20"/>
          </w:rPr>
          <w:t>Modalidad de cumplimiento de los pagos ordenados</w:t>
        </w:r>
        <w:r w:rsidR="00B2396C" w:rsidRPr="00470C7C">
          <w:rPr>
            <w:noProof/>
            <w:webHidden/>
          </w:rPr>
          <w:tab/>
        </w:r>
        <w:r w:rsidR="00B2396C" w:rsidRPr="00470C7C">
          <w:rPr>
            <w:noProof/>
            <w:webHidden/>
          </w:rPr>
          <w:fldChar w:fldCharType="begin"/>
        </w:r>
        <w:r w:rsidR="00B2396C" w:rsidRPr="00470C7C">
          <w:rPr>
            <w:noProof/>
            <w:webHidden/>
          </w:rPr>
          <w:instrText xml:space="preserve"> PAGEREF _Toc464813998 \h </w:instrText>
        </w:r>
        <w:r w:rsidR="00B2396C" w:rsidRPr="00470C7C">
          <w:rPr>
            <w:noProof/>
            <w:webHidden/>
          </w:rPr>
        </w:r>
        <w:r w:rsidR="00B2396C" w:rsidRPr="00470C7C">
          <w:rPr>
            <w:noProof/>
            <w:webHidden/>
          </w:rPr>
          <w:fldChar w:fldCharType="separate"/>
        </w:r>
        <w:r w:rsidR="00BD5C22">
          <w:rPr>
            <w:noProof/>
            <w:webHidden/>
          </w:rPr>
          <w:t>120</w:t>
        </w:r>
        <w:r w:rsidR="00B2396C" w:rsidRPr="00470C7C">
          <w:rPr>
            <w:noProof/>
            <w:webHidden/>
          </w:rPr>
          <w:fldChar w:fldCharType="end"/>
        </w:r>
      </w:hyperlink>
    </w:p>
    <w:p w14:paraId="6F2BA879" w14:textId="3D76D237" w:rsidR="00B2396C" w:rsidRPr="00470C7C" w:rsidRDefault="00AE4298" w:rsidP="00E853FC">
      <w:pPr>
        <w:pStyle w:val="TDC1"/>
        <w:spacing w:after="40"/>
        <w:rPr>
          <w:rFonts w:eastAsiaTheme="minorEastAsia"/>
          <w:noProof/>
          <w:sz w:val="20"/>
          <w:szCs w:val="20"/>
          <w:lang w:val="es-ES" w:eastAsia="es-ES"/>
        </w:rPr>
      </w:pPr>
      <w:hyperlink w:anchor="_Toc464813999" w:history="1">
        <w:r w:rsidR="00B2396C" w:rsidRPr="00470C7C">
          <w:rPr>
            <w:rStyle w:val="Hipervnculo"/>
            <w:rFonts w:eastAsia="Cambria" w:cs="Verdana"/>
            <w:bCs/>
            <w:caps/>
            <w:noProof/>
            <w:snapToGrid w:val="0"/>
            <w:kern w:val="32"/>
            <w:sz w:val="20"/>
            <w:szCs w:val="20"/>
            <w:lang w:val="es-ES_tradnl"/>
          </w:rPr>
          <w:t>X PUNTOS RESOLUTIVOS</w:t>
        </w:r>
        <w:r w:rsidR="00B2396C" w:rsidRPr="00470C7C">
          <w:rPr>
            <w:noProof/>
            <w:webHidden/>
            <w:sz w:val="20"/>
            <w:szCs w:val="20"/>
          </w:rPr>
          <w:tab/>
        </w:r>
        <w:r w:rsidR="00B2396C" w:rsidRPr="00470C7C">
          <w:rPr>
            <w:noProof/>
            <w:webHidden/>
            <w:sz w:val="20"/>
            <w:szCs w:val="20"/>
          </w:rPr>
          <w:fldChar w:fldCharType="begin"/>
        </w:r>
        <w:r w:rsidR="00B2396C" w:rsidRPr="00470C7C">
          <w:rPr>
            <w:noProof/>
            <w:webHidden/>
            <w:sz w:val="20"/>
            <w:szCs w:val="20"/>
          </w:rPr>
          <w:instrText xml:space="preserve"> PAGEREF _Toc464813999 \h </w:instrText>
        </w:r>
        <w:r w:rsidR="00B2396C" w:rsidRPr="00470C7C">
          <w:rPr>
            <w:noProof/>
            <w:webHidden/>
            <w:sz w:val="20"/>
            <w:szCs w:val="20"/>
          </w:rPr>
        </w:r>
        <w:r w:rsidR="00B2396C" w:rsidRPr="00470C7C">
          <w:rPr>
            <w:noProof/>
            <w:webHidden/>
            <w:sz w:val="20"/>
            <w:szCs w:val="20"/>
          </w:rPr>
          <w:fldChar w:fldCharType="separate"/>
        </w:r>
        <w:r w:rsidR="00BD5C22">
          <w:rPr>
            <w:noProof/>
            <w:webHidden/>
            <w:sz w:val="20"/>
            <w:szCs w:val="20"/>
          </w:rPr>
          <w:t>120</w:t>
        </w:r>
        <w:r w:rsidR="00B2396C" w:rsidRPr="00470C7C">
          <w:rPr>
            <w:noProof/>
            <w:webHidden/>
            <w:sz w:val="20"/>
            <w:szCs w:val="20"/>
          </w:rPr>
          <w:fldChar w:fldCharType="end"/>
        </w:r>
      </w:hyperlink>
    </w:p>
    <w:p w14:paraId="78EB218A" w14:textId="77777777" w:rsidR="00BA1ACF" w:rsidRPr="00470C7C" w:rsidRDefault="00FF5DA8" w:rsidP="00A056D4">
      <w:pPr>
        <w:pStyle w:val="Ttulo1"/>
        <w:tabs>
          <w:tab w:val="center" w:pos="0"/>
        </w:tabs>
        <w:spacing w:after="40"/>
        <w:rPr>
          <w:rFonts w:eastAsia="Batang" w:cs="Times"/>
          <w:noProof/>
          <w:sz w:val="18"/>
          <w:szCs w:val="18"/>
          <w:lang w:val="es-ES_tradnl"/>
        </w:rPr>
      </w:pPr>
      <w:r w:rsidRPr="00470C7C">
        <w:rPr>
          <w:rFonts w:eastAsia="Batang" w:cs="Times"/>
          <w:noProof/>
          <w:lang w:val="es-ES_tradnl"/>
        </w:rPr>
        <w:fldChar w:fldCharType="end"/>
      </w:r>
      <w:r w:rsidR="00BA1ACF" w:rsidRPr="00470C7C">
        <w:rPr>
          <w:noProof/>
          <w:sz w:val="18"/>
          <w:szCs w:val="18"/>
        </w:rPr>
        <w:br w:type="page"/>
      </w:r>
      <w:bookmarkStart w:id="0" w:name="_Toc369989729"/>
      <w:bookmarkStart w:id="1" w:name="_Toc404770054"/>
      <w:bookmarkStart w:id="2" w:name="_Toc416164784"/>
      <w:bookmarkStart w:id="3" w:name="_Toc464813884"/>
      <w:r w:rsidR="00BA1ACF" w:rsidRPr="00470C7C">
        <w:rPr>
          <w:noProof/>
        </w:rPr>
        <w:t>I</w:t>
      </w:r>
      <w:bookmarkStart w:id="4" w:name="_Toc288744729"/>
      <w:r w:rsidR="00BA1ACF" w:rsidRPr="00470C7C">
        <w:rPr>
          <w:noProof/>
          <w:color w:val="FFFFFF"/>
        </w:rPr>
        <w:t>.</w:t>
      </w:r>
      <w:r w:rsidR="00BA1ACF" w:rsidRPr="00470C7C">
        <w:rPr>
          <w:noProof/>
        </w:rPr>
        <w:br/>
        <w:t>INTRODUCCIÓN DE LA CAUSA Y OBJETO DE LA CONTROVERSIA</w:t>
      </w:r>
      <w:bookmarkEnd w:id="0"/>
      <w:bookmarkEnd w:id="1"/>
      <w:bookmarkEnd w:id="2"/>
      <w:bookmarkEnd w:id="3"/>
      <w:bookmarkEnd w:id="4"/>
    </w:p>
    <w:p w14:paraId="6F72A770" w14:textId="77777777" w:rsidR="00BA1ACF" w:rsidRPr="00470C7C" w:rsidRDefault="00BA1ACF" w:rsidP="00140440">
      <w:pPr>
        <w:tabs>
          <w:tab w:val="clear" w:pos="4419"/>
          <w:tab w:val="clear" w:pos="8838"/>
        </w:tabs>
        <w:jc w:val="both"/>
        <w:rPr>
          <w:rFonts w:eastAsia="Batang" w:cs="Times"/>
          <w:noProof/>
          <w:szCs w:val="24"/>
          <w:lang w:eastAsia="es-ES"/>
        </w:rPr>
      </w:pPr>
    </w:p>
    <w:p w14:paraId="1C8E5AB7" w14:textId="77777777" w:rsidR="00BA1ACF" w:rsidRPr="00470C7C" w:rsidRDefault="00BA1ACF" w:rsidP="00140440">
      <w:pPr>
        <w:numPr>
          <w:ilvl w:val="0"/>
          <w:numId w:val="1"/>
        </w:numPr>
        <w:tabs>
          <w:tab w:val="clear" w:pos="4419"/>
          <w:tab w:val="clear" w:pos="8838"/>
          <w:tab w:val="left" w:pos="540"/>
        </w:tabs>
        <w:autoSpaceDE w:val="0"/>
        <w:autoSpaceDN w:val="0"/>
        <w:adjustRightInd w:val="0"/>
        <w:ind w:right="4"/>
        <w:jc w:val="both"/>
        <w:rPr>
          <w:rFonts w:eastAsia="Batang" w:cs="Times"/>
          <w:noProof/>
          <w:szCs w:val="24"/>
          <w:lang w:val="es-ES"/>
        </w:rPr>
      </w:pPr>
      <w:r w:rsidRPr="00470C7C">
        <w:rPr>
          <w:rFonts w:eastAsia="Batang" w:cs="Times"/>
          <w:i/>
          <w:noProof/>
          <w:szCs w:val="20"/>
          <w:lang w:val="es-ES"/>
        </w:rPr>
        <w:t xml:space="preserve">El caso </w:t>
      </w:r>
      <w:r w:rsidRPr="00470C7C">
        <w:rPr>
          <w:rFonts w:eastAsia="Batang" w:cs="Times"/>
          <w:i/>
          <w:szCs w:val="24"/>
          <w:lang w:val="es-ES_tradnl"/>
        </w:rPr>
        <w:t>sometido</w:t>
      </w:r>
      <w:r w:rsidRPr="00470C7C">
        <w:rPr>
          <w:rFonts w:eastAsia="Batang" w:cs="Times"/>
          <w:i/>
          <w:noProof/>
          <w:szCs w:val="20"/>
          <w:lang w:val="es-ES"/>
        </w:rPr>
        <w:t xml:space="preserve"> a la Corte.</w:t>
      </w:r>
      <w:r w:rsidRPr="00470C7C">
        <w:rPr>
          <w:rFonts w:eastAsia="Calibri" w:cs="Times"/>
          <w:noProof/>
          <w:szCs w:val="20"/>
          <w:lang w:val="es-ES"/>
        </w:rPr>
        <w:t xml:space="preserve">– </w:t>
      </w:r>
      <w:bookmarkStart w:id="5" w:name="_Ref363651855"/>
      <w:r w:rsidRPr="00470C7C">
        <w:rPr>
          <w:rFonts w:eastAsia="Batang" w:cs="Times"/>
          <w:noProof/>
          <w:szCs w:val="24"/>
          <w:lang w:val="es-ES_tradnl"/>
        </w:rPr>
        <w:t xml:space="preserve">El 4 de marzo de 2015, la Comisión Interamericana de Derechos Humanos (en adelante “la Comisión Interamericana” o “la Comisión”) sometió a la Corte el caso </w:t>
      </w:r>
      <w:r w:rsidR="00B64BE7" w:rsidRPr="00470C7C">
        <w:rPr>
          <w:rFonts w:eastAsia="Batang" w:cs="Times"/>
          <w:i/>
          <w:noProof/>
          <w:szCs w:val="24"/>
          <w:lang w:val="es-ES_tradnl"/>
        </w:rPr>
        <w:t xml:space="preserve">Trabajadores de la Hacienda </w:t>
      </w:r>
      <w:r w:rsidRPr="00470C7C">
        <w:rPr>
          <w:rFonts w:eastAsia="Batang" w:cs="Times"/>
          <w:i/>
          <w:noProof/>
          <w:szCs w:val="24"/>
          <w:lang w:val="es-ES_tradnl"/>
        </w:rPr>
        <w:t xml:space="preserve">Brasil Verde contra la República Federativa de Brasil </w:t>
      </w:r>
      <w:r w:rsidRPr="00470C7C">
        <w:rPr>
          <w:rFonts w:eastAsia="Batang" w:cs="Times"/>
          <w:noProof/>
          <w:szCs w:val="24"/>
          <w:lang w:val="es-ES_tradnl"/>
        </w:rPr>
        <w:t>(en adelante “el Estado” o “Brasil”).</w:t>
      </w:r>
      <w:r w:rsidRPr="00470C7C">
        <w:rPr>
          <w:rFonts w:eastAsia="Batang" w:cs="Times"/>
          <w:noProof/>
          <w:color w:val="000000"/>
          <w:szCs w:val="24"/>
          <w:lang w:val="es-ES_tradnl"/>
        </w:rPr>
        <w:t xml:space="preserve"> </w:t>
      </w:r>
      <w:r w:rsidRPr="00470C7C">
        <w:rPr>
          <w:rFonts w:eastAsia="Batang" w:cs="Times"/>
          <w:noProof/>
          <w:szCs w:val="24"/>
          <w:lang w:val="es-ES_tradnl"/>
        </w:rPr>
        <w:t xml:space="preserve">El caso se relaciona con una supuesta práctica de </w:t>
      </w:r>
      <w:r w:rsidR="001B63D0" w:rsidRPr="00470C7C">
        <w:rPr>
          <w:rFonts w:eastAsia="Batang" w:cs="Times"/>
          <w:noProof/>
          <w:szCs w:val="24"/>
          <w:lang w:val="es-ES_tradnl"/>
        </w:rPr>
        <w:t>trabajo forzoso</w:t>
      </w:r>
      <w:r w:rsidRPr="00470C7C">
        <w:rPr>
          <w:rFonts w:eastAsia="Batang" w:cs="Times"/>
          <w:noProof/>
          <w:szCs w:val="24"/>
          <w:lang w:val="es-ES_tradnl"/>
        </w:rPr>
        <w:t xml:space="preserve"> y servidumbre por deudas en la </w:t>
      </w:r>
      <w:r w:rsidR="00B64BE7" w:rsidRPr="00470C7C">
        <w:rPr>
          <w:rFonts w:eastAsia="Batang" w:cs="Times"/>
          <w:noProof/>
          <w:szCs w:val="24"/>
          <w:lang w:val="es-ES_tradnl"/>
        </w:rPr>
        <w:t>Hacienda</w:t>
      </w:r>
      <w:r w:rsidRPr="00470C7C">
        <w:rPr>
          <w:rFonts w:eastAsia="Batang" w:cs="Times"/>
          <w:noProof/>
          <w:szCs w:val="24"/>
          <w:lang w:val="es-ES_tradnl"/>
        </w:rPr>
        <w:t xml:space="preserve"> Brasil Verde, ubicada en el Estado de Pará. Según se alega, los hechos del caso se enmarca</w:t>
      </w:r>
      <w:r w:rsidR="002B3561" w:rsidRPr="00470C7C">
        <w:rPr>
          <w:rFonts w:eastAsia="Batang" w:cs="Times"/>
          <w:noProof/>
          <w:szCs w:val="24"/>
          <w:lang w:val="es-ES_tradnl"/>
        </w:rPr>
        <w:t>ro</w:t>
      </w:r>
      <w:r w:rsidRPr="00470C7C">
        <w:rPr>
          <w:rFonts w:eastAsia="Batang" w:cs="Times"/>
          <w:noProof/>
          <w:szCs w:val="24"/>
          <w:lang w:val="es-ES_tradnl"/>
        </w:rPr>
        <w:t xml:space="preserve">n en un contexto en el que decenas de miles de trabajadores eran sometidos anualmente a trabajo esclavo. </w:t>
      </w:r>
      <w:r w:rsidR="001F559F" w:rsidRPr="00470C7C">
        <w:rPr>
          <w:rFonts w:eastAsia="Batang" w:cs="Times"/>
          <w:noProof/>
          <w:szCs w:val="24"/>
          <w:lang w:val="es-ES_tradnl"/>
        </w:rPr>
        <w:t>Adicionalmente,</w:t>
      </w:r>
      <w:r w:rsidRPr="00470C7C">
        <w:rPr>
          <w:rFonts w:eastAsia="Batang" w:cs="Times"/>
          <w:noProof/>
          <w:szCs w:val="24"/>
          <w:lang w:val="es-ES_tradnl"/>
        </w:rPr>
        <w:t xml:space="preserve"> se alega</w:t>
      </w:r>
      <w:r w:rsidR="00B64BE7" w:rsidRPr="00470C7C">
        <w:rPr>
          <w:rFonts w:eastAsia="Batang" w:cs="Times"/>
          <w:noProof/>
          <w:szCs w:val="24"/>
          <w:lang w:val="es-ES_tradnl"/>
        </w:rPr>
        <w:t xml:space="preserve"> que</w:t>
      </w:r>
      <w:r w:rsidRPr="00470C7C">
        <w:rPr>
          <w:rFonts w:eastAsia="Batang" w:cs="Times"/>
          <w:noProof/>
          <w:szCs w:val="24"/>
          <w:lang w:val="es-ES_tradnl"/>
        </w:rPr>
        <w:t xml:space="preserve"> los trabajadores que lograron huir declararon sobre la existencia de amenazas de muerte en caso de abandonar la hacienda, el impedimento de salir libremente, la falta de salario o la existencia de un salario ínfimo, el endeudamiento con el hacendado, la falta de vivienda, alimentación y salud dignas. Asimismo, esta situación </w:t>
      </w:r>
      <w:r w:rsidR="00A34C4F" w:rsidRPr="00470C7C">
        <w:rPr>
          <w:rFonts w:eastAsia="Batang" w:cs="Times"/>
          <w:noProof/>
          <w:szCs w:val="24"/>
          <w:lang w:val="es-ES_tradnl"/>
        </w:rPr>
        <w:t xml:space="preserve">sería </w:t>
      </w:r>
      <w:r w:rsidRPr="00470C7C">
        <w:rPr>
          <w:rFonts w:eastAsia="Batang" w:cs="Times"/>
          <w:noProof/>
          <w:szCs w:val="24"/>
          <w:lang w:val="es-ES_tradnl"/>
        </w:rPr>
        <w:t>presuntamente atribuible al Estado</w:t>
      </w:r>
      <w:r w:rsidR="00100481" w:rsidRPr="00470C7C">
        <w:rPr>
          <w:rFonts w:eastAsia="Batang" w:cs="Times"/>
          <w:noProof/>
          <w:szCs w:val="24"/>
          <w:lang w:val="es-ES_tradnl"/>
        </w:rPr>
        <w:t>,</w:t>
      </w:r>
      <w:r w:rsidRPr="00470C7C">
        <w:rPr>
          <w:rFonts w:eastAsia="Batang" w:cs="Times"/>
          <w:noProof/>
          <w:szCs w:val="24"/>
          <w:lang w:val="es-ES_tradnl"/>
        </w:rPr>
        <w:t xml:space="preserve"> pues tuvo conocimiento de la existencia de estas prácticas en general y específicamente en la </w:t>
      </w:r>
      <w:r w:rsidR="00B64BE7" w:rsidRPr="00470C7C">
        <w:rPr>
          <w:rFonts w:eastAsia="Batang" w:cs="Times"/>
          <w:noProof/>
          <w:szCs w:val="24"/>
          <w:lang w:val="es-ES_tradnl"/>
        </w:rPr>
        <w:t>Hacienda</w:t>
      </w:r>
      <w:r w:rsidRPr="00470C7C">
        <w:rPr>
          <w:rFonts w:eastAsia="Batang" w:cs="Times"/>
          <w:noProof/>
          <w:szCs w:val="24"/>
          <w:lang w:val="es-ES_tradnl"/>
        </w:rPr>
        <w:t xml:space="preserve"> Brasil Verde desde 1989, y a pesar de dicho conocimiento no </w:t>
      </w:r>
      <w:r w:rsidR="00A34C4F" w:rsidRPr="00470C7C">
        <w:rPr>
          <w:rFonts w:eastAsia="Batang" w:cs="Times"/>
          <w:noProof/>
          <w:szCs w:val="24"/>
          <w:lang w:val="es-ES_tradnl"/>
        </w:rPr>
        <w:t xml:space="preserve">habría adoptado </w:t>
      </w:r>
      <w:r w:rsidRPr="00470C7C">
        <w:rPr>
          <w:rFonts w:eastAsia="Batang" w:cs="Times"/>
          <w:noProof/>
          <w:szCs w:val="24"/>
          <w:lang w:val="es-ES_tradnl"/>
        </w:rPr>
        <w:t xml:space="preserve">las medidas razonables de prevención y respuesta, ni </w:t>
      </w:r>
      <w:r w:rsidR="00A34C4F" w:rsidRPr="00470C7C">
        <w:rPr>
          <w:rFonts w:eastAsia="Batang" w:cs="Times"/>
          <w:noProof/>
          <w:szCs w:val="24"/>
          <w:lang w:val="es-ES_tradnl"/>
        </w:rPr>
        <w:t xml:space="preserve">proveído </w:t>
      </w:r>
      <w:r w:rsidRPr="00470C7C">
        <w:rPr>
          <w:rFonts w:eastAsia="Batang" w:cs="Times"/>
          <w:noProof/>
          <w:szCs w:val="24"/>
          <w:lang w:val="es-ES_tradnl"/>
        </w:rPr>
        <w:t xml:space="preserve">a las </w:t>
      </w:r>
      <w:r w:rsidR="003D2515" w:rsidRPr="00470C7C">
        <w:rPr>
          <w:rFonts w:eastAsia="Batang" w:cs="Times"/>
          <w:noProof/>
          <w:szCs w:val="24"/>
          <w:lang w:val="es-ES_tradnl"/>
        </w:rPr>
        <w:t xml:space="preserve">presuntas </w:t>
      </w:r>
      <w:r w:rsidRPr="00470C7C">
        <w:rPr>
          <w:rFonts w:eastAsia="Batang" w:cs="Times"/>
          <w:noProof/>
          <w:szCs w:val="24"/>
          <w:lang w:val="es-ES_tradnl"/>
        </w:rPr>
        <w:t xml:space="preserve">víctimas de un mecanismo judicial efectivo para la protección de sus derechos, la sanción de los responsables y la obtención de una reparación. </w:t>
      </w:r>
      <w:r w:rsidR="00B64BE7" w:rsidRPr="00470C7C">
        <w:rPr>
          <w:rFonts w:eastAsia="Batang" w:cs="Times"/>
          <w:noProof/>
          <w:szCs w:val="24"/>
          <w:lang w:val="es-ES_tradnl"/>
        </w:rPr>
        <w:t>Finalmente</w:t>
      </w:r>
      <w:r w:rsidRPr="00470C7C">
        <w:rPr>
          <w:rFonts w:eastAsia="Batang" w:cs="Times"/>
          <w:noProof/>
          <w:szCs w:val="24"/>
          <w:lang w:val="es-ES_tradnl"/>
        </w:rPr>
        <w:t xml:space="preserve">, se alega la responsabilidad internacional del Estado por la desaparición de dos adolescentes, la cual fue denunciada ante autoridades estatales el 21 de diciembre de 1988, sin que </w:t>
      </w:r>
      <w:r w:rsidR="000F4A9C" w:rsidRPr="00470C7C">
        <w:rPr>
          <w:rFonts w:eastAsia="Batang" w:cs="Times"/>
          <w:noProof/>
          <w:szCs w:val="24"/>
          <w:lang w:val="es-ES_tradnl"/>
        </w:rPr>
        <w:t xml:space="preserve">presuntamente </w:t>
      </w:r>
      <w:r w:rsidRPr="00470C7C">
        <w:rPr>
          <w:rFonts w:eastAsia="Batang" w:cs="Times"/>
          <w:noProof/>
          <w:szCs w:val="24"/>
          <w:lang w:val="es-ES_tradnl"/>
        </w:rPr>
        <w:t>se hubieran adoptado medidas efectivas para dar con su paradero.</w:t>
      </w:r>
    </w:p>
    <w:p w14:paraId="1C3AEF08" w14:textId="77777777" w:rsidR="00BA1ACF" w:rsidRPr="00470C7C" w:rsidRDefault="00BA1ACF" w:rsidP="00140440">
      <w:pPr>
        <w:tabs>
          <w:tab w:val="clear" w:pos="4419"/>
          <w:tab w:val="clear" w:pos="8838"/>
        </w:tabs>
        <w:autoSpaceDE w:val="0"/>
        <w:autoSpaceDN w:val="0"/>
        <w:adjustRightInd w:val="0"/>
        <w:ind w:right="4"/>
        <w:jc w:val="both"/>
        <w:rPr>
          <w:rFonts w:eastAsia="Batang" w:cs="Times"/>
          <w:szCs w:val="20"/>
          <w:lang w:val="es-ES"/>
        </w:rPr>
      </w:pPr>
    </w:p>
    <w:p w14:paraId="1BF0C380" w14:textId="77777777" w:rsidR="00BA1ACF" w:rsidRPr="00470C7C" w:rsidRDefault="00BA1ACF" w:rsidP="00140440">
      <w:pPr>
        <w:numPr>
          <w:ilvl w:val="0"/>
          <w:numId w:val="1"/>
        </w:numPr>
        <w:tabs>
          <w:tab w:val="clear" w:pos="4419"/>
          <w:tab w:val="clear" w:pos="8838"/>
          <w:tab w:val="left" w:pos="540"/>
        </w:tabs>
        <w:ind w:right="4"/>
        <w:jc w:val="both"/>
        <w:rPr>
          <w:rFonts w:eastAsia="Batang" w:cs="Times"/>
          <w:szCs w:val="24"/>
          <w:lang w:val="es-ES_tradnl"/>
        </w:rPr>
      </w:pPr>
      <w:r w:rsidRPr="00470C7C">
        <w:rPr>
          <w:rFonts w:eastAsia="Batang" w:cs="Times"/>
          <w:i/>
          <w:szCs w:val="24"/>
          <w:lang w:val="es-ES_tradnl"/>
        </w:rPr>
        <w:t xml:space="preserve">Trámite ante la </w:t>
      </w:r>
      <w:proofErr w:type="gramStart"/>
      <w:r w:rsidRPr="00470C7C">
        <w:rPr>
          <w:rFonts w:eastAsia="Batang" w:cs="Times"/>
          <w:i/>
          <w:szCs w:val="24"/>
          <w:lang w:val="es-ES_tradnl"/>
        </w:rPr>
        <w:t>Comisión.</w:t>
      </w:r>
      <w:r w:rsidRPr="00470C7C">
        <w:rPr>
          <w:rFonts w:eastAsia="Batang" w:cs="Times"/>
          <w:szCs w:val="24"/>
          <w:lang w:val="es-ES_tradnl"/>
        </w:rPr>
        <w:t>–</w:t>
      </w:r>
      <w:bookmarkEnd w:id="5"/>
      <w:proofErr w:type="gramEnd"/>
      <w:r w:rsidRPr="00470C7C">
        <w:rPr>
          <w:rFonts w:eastAsia="Batang" w:cs="Times"/>
          <w:szCs w:val="24"/>
          <w:lang w:val="es-ES_tradnl"/>
        </w:rPr>
        <w:t xml:space="preserve"> El trámite del caso ante la Comisión Interamericana fue el siguiente:</w:t>
      </w:r>
    </w:p>
    <w:p w14:paraId="7E88C4D0" w14:textId="77777777" w:rsidR="00BA1ACF" w:rsidRPr="00470C7C" w:rsidRDefault="00BA1ACF" w:rsidP="00140440">
      <w:pPr>
        <w:tabs>
          <w:tab w:val="clear" w:pos="4419"/>
          <w:tab w:val="clear" w:pos="8838"/>
        </w:tabs>
        <w:jc w:val="both"/>
        <w:rPr>
          <w:rFonts w:eastAsia="Batang" w:cs="Times"/>
          <w:szCs w:val="24"/>
          <w:lang w:val="es-ES_tradnl"/>
        </w:rPr>
      </w:pPr>
    </w:p>
    <w:p w14:paraId="5FF34C0F" w14:textId="77777777" w:rsidR="00BA1ACF" w:rsidRPr="00470C7C" w:rsidRDefault="00BA1ACF" w:rsidP="00140440">
      <w:pPr>
        <w:numPr>
          <w:ilvl w:val="0"/>
          <w:numId w:val="2"/>
        </w:numPr>
        <w:tabs>
          <w:tab w:val="clear" w:pos="4419"/>
          <w:tab w:val="clear" w:pos="8838"/>
        </w:tabs>
        <w:ind w:right="4"/>
        <w:jc w:val="both"/>
        <w:rPr>
          <w:rFonts w:eastAsia="Batang" w:cs="Times"/>
          <w:szCs w:val="24"/>
          <w:lang w:val="es-ES_tradnl"/>
        </w:rPr>
      </w:pPr>
      <w:proofErr w:type="gramStart"/>
      <w:r w:rsidRPr="00470C7C">
        <w:rPr>
          <w:rFonts w:eastAsia="Batang" w:cs="Times"/>
          <w:i/>
          <w:szCs w:val="24"/>
          <w:lang w:val="es-ES_tradnl"/>
        </w:rPr>
        <w:t>Petición.–</w:t>
      </w:r>
      <w:proofErr w:type="gramEnd"/>
      <w:r w:rsidRPr="00470C7C">
        <w:rPr>
          <w:rFonts w:eastAsia="Batang" w:cs="Times"/>
          <w:i/>
          <w:szCs w:val="24"/>
          <w:lang w:val="es-ES_tradnl"/>
        </w:rPr>
        <w:t xml:space="preserve"> </w:t>
      </w:r>
      <w:r w:rsidRPr="00470C7C">
        <w:rPr>
          <w:rFonts w:eastAsia="Batang" w:cs="Times"/>
          <w:szCs w:val="24"/>
          <w:lang w:val="es-ES_tradnl"/>
        </w:rPr>
        <w:t>El 12 de noviembre de 1998 la Comisión Interamericana recibió la petición inicial presentada por la Comisión Pastor</w:t>
      </w:r>
      <w:r w:rsidR="007B4B35" w:rsidRPr="00470C7C">
        <w:rPr>
          <w:rFonts w:eastAsia="Batang" w:cs="Times"/>
          <w:szCs w:val="24"/>
          <w:lang w:val="es-ES_tradnl"/>
        </w:rPr>
        <w:t>al de la Tierra (en adelante “C</w:t>
      </w:r>
      <w:r w:rsidRPr="00470C7C">
        <w:rPr>
          <w:rFonts w:eastAsia="Batang" w:cs="Times"/>
          <w:szCs w:val="24"/>
          <w:lang w:val="es-ES_tradnl"/>
        </w:rPr>
        <w:t>P</w:t>
      </w:r>
      <w:r w:rsidR="007B4B35" w:rsidRPr="00470C7C">
        <w:rPr>
          <w:rFonts w:eastAsia="Batang" w:cs="Times"/>
          <w:szCs w:val="24"/>
          <w:lang w:val="es-ES_tradnl"/>
        </w:rPr>
        <w:t>T</w:t>
      </w:r>
      <w:r w:rsidRPr="00470C7C">
        <w:rPr>
          <w:rFonts w:eastAsia="Batang" w:cs="Times"/>
          <w:szCs w:val="24"/>
          <w:lang w:val="es-ES_tradnl"/>
        </w:rPr>
        <w:t>”) y el Centro por la Justicia y el Derecho Internacional (en adelante “CEJIL”).</w:t>
      </w:r>
      <w:r w:rsidRPr="00470C7C">
        <w:rPr>
          <w:rFonts w:eastAsia="Batang" w:cs="Times"/>
          <w:b/>
          <w:szCs w:val="24"/>
          <w:lang w:val="es-ES_tradnl"/>
        </w:rPr>
        <w:t xml:space="preserve"> </w:t>
      </w:r>
    </w:p>
    <w:p w14:paraId="13B9B5E4" w14:textId="77777777" w:rsidR="00BA1ACF" w:rsidRPr="00470C7C" w:rsidRDefault="00BA1ACF" w:rsidP="00140440">
      <w:pPr>
        <w:tabs>
          <w:tab w:val="clear" w:pos="4419"/>
          <w:tab w:val="clear" w:pos="8838"/>
        </w:tabs>
        <w:jc w:val="both"/>
        <w:rPr>
          <w:rFonts w:eastAsia="Batang" w:cs="Times"/>
          <w:szCs w:val="24"/>
          <w:lang w:val="es-ES_tradnl"/>
        </w:rPr>
      </w:pPr>
    </w:p>
    <w:p w14:paraId="5683A885" w14:textId="77777777" w:rsidR="00BA1ACF" w:rsidRPr="00470C7C" w:rsidRDefault="00BA1ACF" w:rsidP="00140440">
      <w:pPr>
        <w:numPr>
          <w:ilvl w:val="0"/>
          <w:numId w:val="2"/>
        </w:numPr>
        <w:tabs>
          <w:tab w:val="clear" w:pos="4419"/>
          <w:tab w:val="clear" w:pos="8838"/>
        </w:tabs>
        <w:ind w:right="4"/>
        <w:jc w:val="both"/>
        <w:rPr>
          <w:rFonts w:eastAsia="Batang" w:cs="Times"/>
          <w:szCs w:val="24"/>
          <w:lang w:val="es-ES_tradnl"/>
        </w:rPr>
      </w:pPr>
      <w:r w:rsidRPr="00470C7C">
        <w:rPr>
          <w:rFonts w:eastAsia="Batang" w:cs="Times"/>
          <w:i/>
          <w:szCs w:val="24"/>
          <w:lang w:val="es-ES_tradnl"/>
        </w:rPr>
        <w:t xml:space="preserve">Informe de Admisibilidad y </w:t>
      </w:r>
      <w:proofErr w:type="gramStart"/>
      <w:r w:rsidRPr="00470C7C">
        <w:rPr>
          <w:rFonts w:eastAsia="Batang" w:cs="Times"/>
          <w:i/>
          <w:szCs w:val="24"/>
          <w:lang w:val="es-ES_tradnl"/>
        </w:rPr>
        <w:t>Fondo.</w:t>
      </w:r>
      <w:r w:rsidR="00D63260" w:rsidRPr="00470C7C">
        <w:rPr>
          <w:rFonts w:eastAsia="Batang" w:cs="Times"/>
          <w:i/>
          <w:szCs w:val="24"/>
          <w:lang w:val="es-ES_tradnl"/>
        </w:rPr>
        <w:t>–</w:t>
      </w:r>
      <w:proofErr w:type="gramEnd"/>
      <w:r w:rsidRPr="00470C7C">
        <w:rPr>
          <w:rFonts w:eastAsia="Batang" w:cs="Times"/>
          <w:i/>
          <w:szCs w:val="24"/>
          <w:lang w:val="es-ES_tradnl"/>
        </w:rPr>
        <w:t xml:space="preserve"> </w:t>
      </w:r>
      <w:r w:rsidRPr="00470C7C">
        <w:rPr>
          <w:rFonts w:eastAsia="Batang" w:cs="Times"/>
          <w:noProof/>
          <w:szCs w:val="24"/>
        </w:rPr>
        <w:t>E</w:t>
      </w:r>
      <w:r w:rsidRPr="00470C7C">
        <w:rPr>
          <w:rFonts w:eastAsia="Batang" w:cs="Times"/>
          <w:noProof/>
          <w:szCs w:val="24"/>
          <w:lang w:val="es-ES_tradnl"/>
        </w:rPr>
        <w:t xml:space="preserve">l </w:t>
      </w:r>
      <w:r w:rsidRPr="00470C7C">
        <w:rPr>
          <w:rFonts w:eastAsia="Batang" w:cs="Times"/>
          <w:noProof/>
          <w:szCs w:val="24"/>
        </w:rPr>
        <w:t>3 de noviembre de 2011</w:t>
      </w:r>
      <w:r w:rsidRPr="00470C7C">
        <w:rPr>
          <w:rFonts w:eastAsia="Batang" w:cs="Times"/>
          <w:noProof/>
          <w:szCs w:val="24"/>
          <w:lang w:val="es-ES_tradnl"/>
        </w:rPr>
        <w:t xml:space="preserve"> la Comisión emitió el Informe de Admisibilidad y Fondo No. </w:t>
      </w:r>
      <w:r w:rsidRPr="00470C7C">
        <w:rPr>
          <w:rFonts w:eastAsia="Batang" w:cs="Times"/>
          <w:noProof/>
          <w:szCs w:val="24"/>
        </w:rPr>
        <w:t>169/11</w:t>
      </w:r>
      <w:r w:rsidRPr="00470C7C">
        <w:rPr>
          <w:rFonts w:eastAsia="Batang" w:cs="Times"/>
          <w:noProof/>
          <w:szCs w:val="24"/>
          <w:lang w:val="es-ES_tradnl"/>
        </w:rPr>
        <w:t xml:space="preserve">, de conformidad con el artículo 50 de la Convención Americana (en adelante “Informe de Admisibilidad y Fondo”), en el cual llegó a una serie de conclusiones y formuló varias recomendaciones al Estado. </w:t>
      </w:r>
    </w:p>
    <w:p w14:paraId="13E4D51B" w14:textId="77777777" w:rsidR="00D131BC" w:rsidRPr="00470C7C" w:rsidRDefault="00D131BC" w:rsidP="00140440">
      <w:pPr>
        <w:tabs>
          <w:tab w:val="clear" w:pos="4419"/>
          <w:tab w:val="clear" w:pos="8838"/>
        </w:tabs>
        <w:jc w:val="both"/>
        <w:rPr>
          <w:rFonts w:eastAsia="Batang" w:cs="Times"/>
          <w:szCs w:val="24"/>
          <w:lang w:val="es-ES_tradnl"/>
        </w:rPr>
      </w:pPr>
    </w:p>
    <w:p w14:paraId="4CD017AB" w14:textId="77777777" w:rsidR="00BA1ACF" w:rsidRPr="00470C7C" w:rsidRDefault="00BA1ACF" w:rsidP="002540C6">
      <w:pPr>
        <w:numPr>
          <w:ilvl w:val="0"/>
          <w:numId w:val="3"/>
        </w:numPr>
        <w:tabs>
          <w:tab w:val="clear" w:pos="4419"/>
          <w:tab w:val="clear" w:pos="8838"/>
          <w:tab w:val="left" w:pos="426"/>
        </w:tabs>
        <w:ind w:left="1418" w:right="29"/>
        <w:jc w:val="both"/>
        <w:rPr>
          <w:rFonts w:eastAsia="Calibri" w:cs="Times New Roman"/>
          <w:noProof/>
          <w:szCs w:val="20"/>
        </w:rPr>
      </w:pPr>
      <w:r w:rsidRPr="00470C7C">
        <w:rPr>
          <w:rFonts w:eastAsia="Calibri" w:cs="Times New Roman"/>
          <w:i/>
          <w:noProof/>
          <w:szCs w:val="20"/>
        </w:rPr>
        <w:t>Conclusiones.</w:t>
      </w:r>
      <w:r w:rsidR="00D63260" w:rsidRPr="00470C7C">
        <w:rPr>
          <w:rFonts w:eastAsia="Batang" w:cs="Times"/>
          <w:i/>
          <w:szCs w:val="24"/>
          <w:lang w:val="es-ES_tradnl"/>
        </w:rPr>
        <w:t>–</w:t>
      </w:r>
      <w:r w:rsidRPr="00470C7C">
        <w:rPr>
          <w:rFonts w:eastAsia="Calibri" w:cs="Times New Roman"/>
          <w:i/>
          <w:noProof/>
          <w:szCs w:val="20"/>
        </w:rPr>
        <w:t xml:space="preserve"> </w:t>
      </w:r>
      <w:r w:rsidRPr="00470C7C">
        <w:rPr>
          <w:rFonts w:eastAsia="Calibri" w:cs="Times New Roman"/>
          <w:noProof/>
          <w:szCs w:val="20"/>
        </w:rPr>
        <w:t xml:space="preserve">La Comisión llegó a la conclusión de que el Estado </w:t>
      </w:r>
      <w:r w:rsidR="001F559F" w:rsidRPr="00470C7C">
        <w:rPr>
          <w:rFonts w:eastAsia="Calibri" w:cs="Times New Roman"/>
          <w:noProof/>
          <w:szCs w:val="20"/>
        </w:rPr>
        <w:t>era</w:t>
      </w:r>
      <w:r w:rsidRPr="00470C7C">
        <w:rPr>
          <w:rFonts w:eastAsia="Calibri" w:cs="Times New Roman"/>
          <w:noProof/>
          <w:szCs w:val="20"/>
        </w:rPr>
        <w:t xml:space="preserve"> responsable internacionalmente por: </w:t>
      </w:r>
    </w:p>
    <w:p w14:paraId="6628D110" w14:textId="77777777" w:rsidR="00BA1ACF" w:rsidRPr="00470C7C" w:rsidRDefault="00BA1ACF" w:rsidP="00140440">
      <w:pPr>
        <w:tabs>
          <w:tab w:val="clear" w:pos="4419"/>
          <w:tab w:val="clear" w:pos="8838"/>
          <w:tab w:val="left" w:pos="426"/>
        </w:tabs>
        <w:ind w:left="2214" w:right="29"/>
        <w:jc w:val="both"/>
        <w:rPr>
          <w:rFonts w:eastAsia="Calibri" w:cs="Times New Roman"/>
          <w:noProof/>
          <w:szCs w:val="20"/>
        </w:rPr>
      </w:pPr>
      <w:r w:rsidRPr="00470C7C">
        <w:rPr>
          <w:rFonts w:eastAsia="Calibri" w:cs="Times New Roman"/>
          <w:noProof/>
          <w:szCs w:val="20"/>
        </w:rPr>
        <w:t xml:space="preserve"> </w:t>
      </w:r>
    </w:p>
    <w:p w14:paraId="46E939C4"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La violación de los derechos consagrados en los artículos 6, 5, 7, 22, 8 y 25 de la Convención, en relación con el artículo 1.1 de la misma</w:t>
      </w:r>
      <w:r w:rsidR="00100481" w:rsidRPr="00470C7C">
        <w:rPr>
          <w:rFonts w:eastAsia="Calibri" w:cs="Times New Roman"/>
          <w:noProof/>
          <w:sz w:val="18"/>
          <w:szCs w:val="18"/>
        </w:rPr>
        <w:t>,</w:t>
      </w:r>
      <w:r w:rsidRPr="00470C7C">
        <w:rPr>
          <w:rFonts w:eastAsia="Calibri" w:cs="Times New Roman"/>
          <w:noProof/>
          <w:sz w:val="18"/>
          <w:szCs w:val="18"/>
        </w:rPr>
        <w:t xml:space="preserve"> en perjuicio de los trabajadores de la </w:t>
      </w:r>
      <w:r w:rsidR="00B64BE7" w:rsidRPr="00470C7C">
        <w:rPr>
          <w:rFonts w:eastAsia="Calibri" w:cs="Times New Roman"/>
          <w:noProof/>
          <w:sz w:val="18"/>
          <w:szCs w:val="18"/>
        </w:rPr>
        <w:t>Hacienda</w:t>
      </w:r>
      <w:r w:rsidRPr="00470C7C">
        <w:rPr>
          <w:rFonts w:eastAsia="Calibri" w:cs="Times New Roman"/>
          <w:noProof/>
          <w:sz w:val="18"/>
          <w:szCs w:val="18"/>
        </w:rPr>
        <w:t xml:space="preserve"> Brasil Verde, encontrados en las fiscalizaciónes de 1993, 1996, 1997 y 2000.</w:t>
      </w:r>
    </w:p>
    <w:p w14:paraId="7C59DDB4"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La violación de los derechos consagrados en los artículos I, II, XIV, VIII y XVIII de la Declaración Americana de los Derechos y Deberes del Hombre (en adelante “Declaración Americana” o “Declaración”) y, a partir del 25 de septiembre de 1992,  la violación de los artículos 8 y 25 de la Convención, en relación con el artículo 1.1 de la misma, en perjuicio de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y </w:t>
      </w:r>
      <w:r w:rsidR="00200C04" w:rsidRPr="00470C7C">
        <w:rPr>
          <w:rFonts w:eastAsia="Calibri" w:cs="Times New Roman"/>
          <w:noProof/>
          <w:sz w:val="18"/>
          <w:szCs w:val="18"/>
        </w:rPr>
        <w:t xml:space="preserve">Luis Ferreira </w:t>
      </w:r>
      <w:r w:rsidR="00867094" w:rsidRPr="00470C7C">
        <w:rPr>
          <w:rFonts w:eastAsia="Calibri" w:cs="Times New Roman"/>
          <w:noProof/>
          <w:sz w:val="18"/>
          <w:szCs w:val="18"/>
        </w:rPr>
        <w:t>da Cruz</w:t>
      </w:r>
      <w:r w:rsidRPr="00470C7C">
        <w:rPr>
          <w:rFonts w:eastAsia="Calibri" w:cs="Times New Roman"/>
          <w:noProof/>
          <w:sz w:val="18"/>
          <w:szCs w:val="18"/>
        </w:rPr>
        <w:t>, y de sus familiares, incluidos José Teodoro da Silva y Miguel Ferreira da Cruz</w:t>
      </w:r>
      <w:r w:rsidR="00100481" w:rsidRPr="00470C7C">
        <w:rPr>
          <w:rFonts w:eastAsia="Calibri" w:cs="Times New Roman"/>
          <w:noProof/>
          <w:sz w:val="18"/>
          <w:szCs w:val="18"/>
        </w:rPr>
        <w:t>.</w:t>
      </w:r>
      <w:r w:rsidRPr="00470C7C">
        <w:rPr>
          <w:rFonts w:eastAsia="Calibri" w:cs="Times New Roman"/>
          <w:noProof/>
          <w:sz w:val="18"/>
          <w:szCs w:val="18"/>
        </w:rPr>
        <w:t xml:space="preserve"> Asimismo, por la violación del artículo I de la Declaración y, a partir del 25 de septiembre de 1992, del artículo 5 de la Convención</w:t>
      </w:r>
      <w:r w:rsidR="00100481" w:rsidRPr="00470C7C">
        <w:rPr>
          <w:rFonts w:eastAsia="Calibri" w:cs="Times New Roman"/>
          <w:noProof/>
          <w:sz w:val="18"/>
          <w:szCs w:val="18"/>
        </w:rPr>
        <w:t>,</w:t>
      </w:r>
      <w:r w:rsidRPr="00470C7C">
        <w:rPr>
          <w:rFonts w:eastAsia="Calibri" w:cs="Times New Roman"/>
          <w:noProof/>
          <w:sz w:val="18"/>
          <w:szCs w:val="18"/>
        </w:rPr>
        <w:t xml:space="preserve"> en perjuicio de los familiares de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y </w:t>
      </w:r>
      <w:r w:rsidR="00200C04" w:rsidRPr="00470C7C">
        <w:rPr>
          <w:rFonts w:eastAsia="Calibri" w:cs="Times New Roman"/>
          <w:noProof/>
          <w:sz w:val="18"/>
          <w:szCs w:val="18"/>
        </w:rPr>
        <w:t xml:space="preserve">Luis Ferreira </w:t>
      </w:r>
      <w:r w:rsidR="00867094" w:rsidRPr="00470C7C">
        <w:rPr>
          <w:rFonts w:eastAsia="Calibri" w:cs="Times New Roman"/>
          <w:noProof/>
          <w:sz w:val="18"/>
          <w:szCs w:val="18"/>
        </w:rPr>
        <w:t>da Cruz</w:t>
      </w:r>
      <w:r w:rsidRPr="00470C7C">
        <w:rPr>
          <w:rFonts w:eastAsia="Calibri" w:cs="Times New Roman"/>
          <w:noProof/>
          <w:sz w:val="18"/>
          <w:szCs w:val="18"/>
        </w:rPr>
        <w:t>.</w:t>
      </w:r>
    </w:p>
    <w:p w14:paraId="1E9B49DD"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La vi</w:t>
      </w:r>
      <w:r w:rsidR="001F559F" w:rsidRPr="00470C7C">
        <w:rPr>
          <w:rFonts w:eastAsia="Calibri" w:cs="Times New Roman"/>
          <w:noProof/>
          <w:sz w:val="18"/>
          <w:szCs w:val="18"/>
        </w:rPr>
        <w:t>olación de los artículos I, VII y</w:t>
      </w:r>
      <w:r w:rsidRPr="00470C7C">
        <w:rPr>
          <w:rFonts w:eastAsia="Calibri" w:cs="Times New Roman"/>
          <w:noProof/>
          <w:sz w:val="18"/>
          <w:szCs w:val="18"/>
        </w:rPr>
        <w:t xml:space="preserve"> XIV de Declaración y, a partir del 25 de septiembre de 1992, de los artículos 7,</w:t>
      </w:r>
      <w:r w:rsidR="0086259C" w:rsidRPr="00470C7C">
        <w:rPr>
          <w:rFonts w:eastAsia="Calibri" w:cs="Times New Roman"/>
          <w:noProof/>
          <w:sz w:val="18"/>
          <w:szCs w:val="18"/>
        </w:rPr>
        <w:t xml:space="preserve"> </w:t>
      </w:r>
      <w:r w:rsidRPr="00470C7C">
        <w:rPr>
          <w:rFonts w:eastAsia="Calibri" w:cs="Times New Roman"/>
          <w:noProof/>
          <w:sz w:val="18"/>
          <w:szCs w:val="18"/>
        </w:rPr>
        <w:t>5, 4, 3 y 19 de la Convención</w:t>
      </w:r>
      <w:r w:rsidR="00100481" w:rsidRPr="00470C7C">
        <w:rPr>
          <w:rFonts w:eastAsia="Calibri" w:cs="Times New Roman"/>
          <w:noProof/>
          <w:sz w:val="18"/>
          <w:szCs w:val="18"/>
        </w:rPr>
        <w:t>,</w:t>
      </w:r>
      <w:r w:rsidRPr="00470C7C">
        <w:rPr>
          <w:rFonts w:eastAsia="Calibri" w:cs="Times New Roman"/>
          <w:noProof/>
          <w:sz w:val="18"/>
          <w:szCs w:val="18"/>
        </w:rPr>
        <w:t xml:space="preserve"> en relación con los artículos 8, 25 y 1.1 de la misma, en perjuicio de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y </w:t>
      </w:r>
      <w:r w:rsidR="00200C04" w:rsidRPr="00470C7C">
        <w:rPr>
          <w:rFonts w:eastAsia="Calibri" w:cs="Times New Roman"/>
          <w:noProof/>
          <w:sz w:val="18"/>
          <w:szCs w:val="18"/>
        </w:rPr>
        <w:t>Luis Ferreira da Cruz</w:t>
      </w:r>
      <w:r w:rsidRPr="00470C7C">
        <w:rPr>
          <w:rFonts w:eastAsia="Calibri" w:cs="Times New Roman"/>
          <w:noProof/>
          <w:sz w:val="18"/>
          <w:szCs w:val="18"/>
        </w:rPr>
        <w:t>.</w:t>
      </w:r>
    </w:p>
    <w:p w14:paraId="466D6659"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La no adopción de medidas suficientes y efectivas para garantizar sin discriminación los derechos de los trabajadores encontrados en las fiscalizacióndes de 1993, 1996, 1997 y 2000, de conformidad con el artículo 1.1 de </w:t>
      </w:r>
      <w:r w:rsidR="001F559F" w:rsidRPr="00470C7C">
        <w:rPr>
          <w:rFonts w:eastAsia="Calibri" w:cs="Times New Roman"/>
          <w:noProof/>
          <w:sz w:val="18"/>
          <w:szCs w:val="18"/>
        </w:rPr>
        <w:t>la</w:t>
      </w:r>
      <w:r w:rsidRPr="00470C7C">
        <w:rPr>
          <w:rFonts w:eastAsia="Calibri" w:cs="Times New Roman"/>
          <w:noProof/>
          <w:sz w:val="18"/>
          <w:szCs w:val="18"/>
        </w:rPr>
        <w:t xml:space="preserve"> Convención, en relación con los derechos reconocidos en los artículos 6, 5, 7, 22, 8 y 25 de la misma.</w:t>
      </w:r>
    </w:p>
    <w:p w14:paraId="6DFC2D9C"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La no adopción de medidas de conformidad con el artículo II de la Declaración, en relación con el artículo XVIII de la misma y, a partir de</w:t>
      </w:r>
      <w:r w:rsidR="00100481" w:rsidRPr="00470C7C">
        <w:rPr>
          <w:rFonts w:eastAsia="Calibri" w:cs="Times New Roman"/>
          <w:noProof/>
          <w:sz w:val="18"/>
          <w:szCs w:val="18"/>
        </w:rPr>
        <w:t>l</w:t>
      </w:r>
      <w:r w:rsidRPr="00470C7C">
        <w:rPr>
          <w:rFonts w:eastAsia="Calibri" w:cs="Times New Roman"/>
          <w:noProof/>
          <w:sz w:val="18"/>
          <w:szCs w:val="18"/>
        </w:rPr>
        <w:t xml:space="preserve"> 25 de septiembre de 1992, con el artículo 1.2 de la Convención, en relación con los derechos reconocidos en los artículos 8 y 25 de la misma</w:t>
      </w:r>
      <w:r w:rsidR="00100481" w:rsidRPr="00470C7C">
        <w:rPr>
          <w:rFonts w:eastAsia="Calibri" w:cs="Times New Roman"/>
          <w:noProof/>
          <w:sz w:val="18"/>
          <w:szCs w:val="18"/>
        </w:rPr>
        <w:t>,</w:t>
      </w:r>
      <w:r w:rsidRPr="00470C7C">
        <w:rPr>
          <w:rFonts w:eastAsia="Calibri" w:cs="Times New Roman"/>
          <w:noProof/>
          <w:sz w:val="18"/>
          <w:szCs w:val="18"/>
        </w:rPr>
        <w:t xml:space="preserve"> en perjuicio de los trabajadores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w:t>
      </w:r>
      <w:r w:rsidR="00200C04" w:rsidRPr="00470C7C">
        <w:rPr>
          <w:rFonts w:eastAsia="Calibri" w:cs="Times New Roman"/>
          <w:noProof/>
          <w:sz w:val="18"/>
          <w:szCs w:val="18"/>
        </w:rPr>
        <w:t xml:space="preserve">Luis Ferreira </w:t>
      </w:r>
      <w:r w:rsidR="00867094" w:rsidRPr="00470C7C">
        <w:rPr>
          <w:rFonts w:eastAsia="Calibri" w:cs="Times New Roman"/>
          <w:noProof/>
          <w:sz w:val="18"/>
          <w:szCs w:val="18"/>
        </w:rPr>
        <w:t>da Cruz</w:t>
      </w:r>
      <w:r w:rsidRPr="00470C7C">
        <w:rPr>
          <w:rFonts w:eastAsia="Calibri" w:cs="Times New Roman"/>
          <w:noProof/>
          <w:sz w:val="18"/>
          <w:szCs w:val="18"/>
        </w:rPr>
        <w:t xml:space="preserve">, Adailton Martins dos Reis, </w:t>
      </w:r>
      <w:r w:rsidR="00D63260" w:rsidRPr="00470C7C">
        <w:rPr>
          <w:rFonts w:eastAsia="Calibri" w:cs="Times New Roman"/>
          <w:noProof/>
          <w:sz w:val="18"/>
          <w:szCs w:val="18"/>
        </w:rPr>
        <w:t xml:space="preserve">José </w:t>
      </w:r>
      <w:r w:rsidRPr="00470C7C">
        <w:rPr>
          <w:rFonts w:eastAsia="Calibri" w:cs="Times New Roman"/>
          <w:noProof/>
          <w:sz w:val="18"/>
          <w:szCs w:val="18"/>
        </w:rPr>
        <w:t xml:space="preserve">Soriano Da Costa, </w:t>
      </w:r>
      <w:r w:rsidR="00B64BE7" w:rsidRPr="00470C7C">
        <w:rPr>
          <w:rFonts w:eastAsia="Calibri" w:cs="Times New Roman"/>
          <w:noProof/>
          <w:sz w:val="18"/>
          <w:szCs w:val="18"/>
        </w:rPr>
        <w:t>y</w:t>
      </w:r>
      <w:r w:rsidRPr="00470C7C">
        <w:rPr>
          <w:rFonts w:eastAsia="Calibri" w:cs="Times New Roman"/>
          <w:noProof/>
          <w:sz w:val="18"/>
          <w:szCs w:val="18"/>
        </w:rPr>
        <w:t xml:space="preserve"> de los familiares de los dos primeros, entre los que se encuentran </w:t>
      </w:r>
      <w:r w:rsidR="00D63260" w:rsidRPr="00470C7C">
        <w:rPr>
          <w:rFonts w:eastAsia="Calibri" w:cs="Times New Roman"/>
          <w:noProof/>
          <w:sz w:val="18"/>
          <w:szCs w:val="18"/>
        </w:rPr>
        <w:t xml:space="preserve">José </w:t>
      </w:r>
      <w:r w:rsidRPr="00470C7C">
        <w:rPr>
          <w:rFonts w:eastAsia="Calibri" w:cs="Times New Roman"/>
          <w:noProof/>
          <w:sz w:val="18"/>
          <w:szCs w:val="18"/>
        </w:rPr>
        <w:t>Teodoro da Silva y Miguel Ferreira da Cruz.</w:t>
      </w:r>
    </w:p>
    <w:p w14:paraId="7E6EAC3C"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La aplicación de la figura de la prescripción en el presente caso en violación de los artículos 8.1 y 25.1</w:t>
      </w:r>
      <w:r w:rsidR="00100481" w:rsidRPr="00470C7C">
        <w:rPr>
          <w:rFonts w:eastAsia="Calibri" w:cs="Times New Roman"/>
          <w:noProof/>
          <w:sz w:val="18"/>
          <w:szCs w:val="18"/>
        </w:rPr>
        <w:t xml:space="preserve"> de la Convención</w:t>
      </w:r>
      <w:r w:rsidRPr="00470C7C">
        <w:rPr>
          <w:rFonts w:eastAsia="Calibri" w:cs="Times New Roman"/>
          <w:noProof/>
          <w:sz w:val="18"/>
          <w:szCs w:val="18"/>
        </w:rPr>
        <w:t xml:space="preserve">, en relación con las obligaciones establecidas en el artículo 1.1 y en el artículo 2 del mismo instrumento, en perjuicio de los trabajadores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w:t>
      </w:r>
      <w:r w:rsidR="00200C04" w:rsidRPr="00470C7C">
        <w:rPr>
          <w:rFonts w:eastAsia="Calibri" w:cs="Times New Roman"/>
          <w:noProof/>
          <w:sz w:val="18"/>
          <w:szCs w:val="18"/>
        </w:rPr>
        <w:t xml:space="preserve">Luis Ferreira </w:t>
      </w:r>
      <w:r w:rsidR="00867094" w:rsidRPr="00470C7C">
        <w:rPr>
          <w:rFonts w:eastAsia="Calibri" w:cs="Times New Roman"/>
          <w:noProof/>
          <w:sz w:val="18"/>
          <w:szCs w:val="18"/>
        </w:rPr>
        <w:t>da Cruz</w:t>
      </w:r>
      <w:r w:rsidRPr="00470C7C">
        <w:rPr>
          <w:rFonts w:eastAsia="Calibri" w:cs="Times New Roman"/>
          <w:noProof/>
          <w:sz w:val="18"/>
          <w:szCs w:val="18"/>
        </w:rPr>
        <w:t xml:space="preserve">, Adailton Martins dos Reis, </w:t>
      </w:r>
      <w:r w:rsidR="00D63260" w:rsidRPr="00470C7C">
        <w:rPr>
          <w:rFonts w:eastAsia="Calibri" w:cs="Times New Roman"/>
          <w:noProof/>
          <w:sz w:val="18"/>
          <w:szCs w:val="18"/>
        </w:rPr>
        <w:t xml:space="preserve">José </w:t>
      </w:r>
      <w:r w:rsidRPr="00470C7C">
        <w:rPr>
          <w:rFonts w:eastAsia="Calibri" w:cs="Times New Roman"/>
          <w:noProof/>
          <w:sz w:val="18"/>
          <w:szCs w:val="18"/>
        </w:rPr>
        <w:t xml:space="preserve">Soriano Da Costa, </w:t>
      </w:r>
      <w:r w:rsidR="00D63260" w:rsidRPr="00470C7C">
        <w:rPr>
          <w:rFonts w:eastAsia="Calibri" w:cs="Times New Roman"/>
          <w:noProof/>
          <w:sz w:val="18"/>
          <w:szCs w:val="18"/>
        </w:rPr>
        <w:t xml:space="preserve">José </w:t>
      </w:r>
      <w:r w:rsidRPr="00470C7C">
        <w:rPr>
          <w:rFonts w:eastAsia="Calibri" w:cs="Times New Roman"/>
          <w:noProof/>
          <w:sz w:val="18"/>
          <w:szCs w:val="18"/>
        </w:rPr>
        <w:t xml:space="preserve">Teodoro da Silva y Miguel Ferreira da Cruz, así como de los trabajadores que se encontraban en la </w:t>
      </w:r>
      <w:r w:rsidR="00B64BE7" w:rsidRPr="00470C7C">
        <w:rPr>
          <w:rFonts w:eastAsia="Calibri" w:cs="Times New Roman"/>
          <w:noProof/>
          <w:sz w:val="18"/>
          <w:szCs w:val="18"/>
        </w:rPr>
        <w:t>Hacienda</w:t>
      </w:r>
      <w:r w:rsidRPr="00470C7C">
        <w:rPr>
          <w:rFonts w:eastAsia="Calibri" w:cs="Times New Roman"/>
          <w:noProof/>
          <w:sz w:val="18"/>
          <w:szCs w:val="18"/>
        </w:rPr>
        <w:t xml:space="preserve"> Brasil Verde durante las fiscalizaciones de 1997.</w:t>
      </w:r>
    </w:p>
    <w:p w14:paraId="76D26FA8" w14:textId="77777777" w:rsidR="00BA1ACF" w:rsidRPr="00470C7C" w:rsidRDefault="00BA1ACF" w:rsidP="00140440">
      <w:pPr>
        <w:tabs>
          <w:tab w:val="clear" w:pos="4419"/>
          <w:tab w:val="clear" w:pos="8838"/>
          <w:tab w:val="left" w:pos="426"/>
        </w:tabs>
        <w:ind w:right="29" w:firstLine="357"/>
        <w:jc w:val="both"/>
        <w:rPr>
          <w:rFonts w:eastAsia="Calibri" w:cs="Times New Roman"/>
          <w:noProof/>
          <w:sz w:val="18"/>
          <w:szCs w:val="18"/>
        </w:rPr>
      </w:pPr>
    </w:p>
    <w:p w14:paraId="02127599" w14:textId="77777777" w:rsidR="00BA1ACF" w:rsidRPr="00470C7C" w:rsidRDefault="00BA1ACF" w:rsidP="002540C6">
      <w:pPr>
        <w:numPr>
          <w:ilvl w:val="0"/>
          <w:numId w:val="3"/>
        </w:numPr>
        <w:tabs>
          <w:tab w:val="clear" w:pos="4419"/>
          <w:tab w:val="clear" w:pos="8838"/>
          <w:tab w:val="left" w:pos="426"/>
        </w:tabs>
        <w:ind w:left="1418" w:right="29"/>
        <w:jc w:val="both"/>
        <w:rPr>
          <w:rFonts w:eastAsia="Calibri" w:cs="Times New Roman"/>
          <w:noProof/>
          <w:szCs w:val="20"/>
        </w:rPr>
      </w:pPr>
      <w:r w:rsidRPr="00470C7C">
        <w:rPr>
          <w:rFonts w:eastAsia="Calibri" w:cs="Verdana"/>
          <w:i/>
          <w:szCs w:val="20"/>
          <w:lang w:eastAsia="es-ES"/>
        </w:rPr>
        <w:t>Recomendaciones</w:t>
      </w:r>
      <w:r w:rsidRPr="00470C7C">
        <w:rPr>
          <w:rFonts w:eastAsia="Calibri" w:cs="Verdana"/>
          <w:szCs w:val="20"/>
          <w:lang w:eastAsia="es-ES"/>
        </w:rPr>
        <w:t xml:space="preserve">.– </w:t>
      </w:r>
      <w:r w:rsidRPr="00470C7C">
        <w:rPr>
          <w:rFonts w:eastAsia="Calibri" w:cs="Times New Roman"/>
          <w:szCs w:val="20"/>
        </w:rPr>
        <w:t xml:space="preserve">En consecuencia, la Comisión recomendó al Estado lo siguiente: </w:t>
      </w:r>
    </w:p>
    <w:p w14:paraId="193621E9" w14:textId="77777777" w:rsidR="00BA1ACF" w:rsidRPr="00470C7C" w:rsidRDefault="00BA1ACF" w:rsidP="002540C6">
      <w:pPr>
        <w:tabs>
          <w:tab w:val="clear" w:pos="4419"/>
          <w:tab w:val="clear" w:pos="8838"/>
          <w:tab w:val="left" w:pos="426"/>
        </w:tabs>
        <w:ind w:left="1418" w:right="29"/>
        <w:jc w:val="both"/>
        <w:rPr>
          <w:rFonts w:eastAsia="Calibri" w:cs="Times New Roman"/>
          <w:szCs w:val="20"/>
        </w:rPr>
      </w:pPr>
      <w:r w:rsidRPr="00470C7C">
        <w:rPr>
          <w:rFonts w:eastAsia="Calibri" w:cs="Times New Roman"/>
          <w:szCs w:val="20"/>
        </w:rPr>
        <w:t xml:space="preserve"> </w:t>
      </w:r>
    </w:p>
    <w:p w14:paraId="4CBFAB62"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Reparar adecuadamente las violaciones de derechos humanos tanto en el aspecto material como moral. En especial, el Estado debe asegurar que se restituya a las víctimas los salarios debidos por el trabajo realizado, así como las sumas de dinero ilegalmente sustra</w:t>
      </w:r>
      <w:r w:rsidR="00100481" w:rsidRPr="00470C7C">
        <w:rPr>
          <w:rFonts w:eastAsia="Calibri" w:cs="Times New Roman"/>
          <w:noProof/>
          <w:sz w:val="18"/>
          <w:szCs w:val="18"/>
        </w:rPr>
        <w:t>í</w:t>
      </w:r>
      <w:r w:rsidRPr="00470C7C">
        <w:rPr>
          <w:rFonts w:eastAsia="Calibri" w:cs="Times New Roman"/>
          <w:noProof/>
          <w:sz w:val="18"/>
          <w:szCs w:val="18"/>
        </w:rPr>
        <w:t xml:space="preserve">das de ellos. De ser necesario, dicha restitución podrá hacerse de las ganancias ilegales de los dueños de las </w:t>
      </w:r>
      <w:r w:rsidR="00B64BE7" w:rsidRPr="00470C7C">
        <w:rPr>
          <w:rFonts w:eastAsia="Calibri" w:cs="Times New Roman"/>
          <w:noProof/>
          <w:sz w:val="18"/>
          <w:szCs w:val="18"/>
        </w:rPr>
        <w:t>Hacienda</w:t>
      </w:r>
      <w:r w:rsidRPr="00470C7C">
        <w:rPr>
          <w:rFonts w:eastAsia="Calibri" w:cs="Times New Roman"/>
          <w:noProof/>
          <w:sz w:val="18"/>
          <w:szCs w:val="18"/>
        </w:rPr>
        <w:t>s.</w:t>
      </w:r>
    </w:p>
    <w:p w14:paraId="701EA0DF"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Llevar a cabo una investigación de los hechos relacionados con las violaciones de derechos humanos declaradas en el Informe de Admisibilidad y Fondo en relación con el trabajo esclavo</w:t>
      </w:r>
      <w:r w:rsidR="00100481" w:rsidRPr="00470C7C">
        <w:rPr>
          <w:rFonts w:eastAsia="Calibri" w:cs="Times New Roman"/>
          <w:noProof/>
          <w:sz w:val="18"/>
          <w:szCs w:val="18"/>
        </w:rPr>
        <w:t>,</w:t>
      </w:r>
      <w:r w:rsidRPr="00470C7C">
        <w:rPr>
          <w:rFonts w:eastAsia="Calibri" w:cs="Times New Roman"/>
          <w:noProof/>
          <w:sz w:val="18"/>
          <w:szCs w:val="18"/>
        </w:rPr>
        <w:t xml:space="preserve"> y conducir las investigaciones de manera imparcial, efectiva y dentro de un plazo razonable</w:t>
      </w:r>
      <w:r w:rsidR="00100481" w:rsidRPr="00470C7C">
        <w:rPr>
          <w:rFonts w:eastAsia="Calibri" w:cs="Times New Roman"/>
          <w:noProof/>
          <w:sz w:val="18"/>
          <w:szCs w:val="18"/>
        </w:rPr>
        <w:t>,</w:t>
      </w:r>
      <w:r w:rsidRPr="00470C7C">
        <w:rPr>
          <w:rFonts w:eastAsia="Calibri" w:cs="Times New Roman"/>
          <w:noProof/>
          <w:sz w:val="18"/>
          <w:szCs w:val="18"/>
        </w:rPr>
        <w:t xml:space="preserve"> con el objeto de esclarecer los hechos en forma completa, identificar a los responsables e imponer las sanciones que correspondan.</w:t>
      </w:r>
    </w:p>
    <w:p w14:paraId="620E75C8"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Llevar a cabo una investigación de los hechos relacionados con la desaparición de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y </w:t>
      </w:r>
      <w:r w:rsidR="00200C04" w:rsidRPr="00470C7C">
        <w:rPr>
          <w:rFonts w:eastAsia="Calibri" w:cs="Times New Roman"/>
          <w:noProof/>
          <w:sz w:val="18"/>
          <w:szCs w:val="18"/>
        </w:rPr>
        <w:t xml:space="preserve">Luis Ferreira </w:t>
      </w:r>
      <w:r w:rsidR="00701BB2" w:rsidRPr="00470C7C">
        <w:rPr>
          <w:rFonts w:eastAsia="Calibri" w:cs="Times New Roman"/>
          <w:noProof/>
          <w:sz w:val="18"/>
          <w:szCs w:val="18"/>
        </w:rPr>
        <w:t xml:space="preserve">da Cruz </w:t>
      </w:r>
      <w:r w:rsidRPr="00470C7C">
        <w:rPr>
          <w:rFonts w:eastAsia="Calibri" w:cs="Times New Roman"/>
          <w:noProof/>
          <w:sz w:val="18"/>
          <w:szCs w:val="18"/>
        </w:rPr>
        <w:t>y conducir las investigaciones de manera imparcial, efectiva y dentro de un plazo razonable con el objeto de esclarecer los hechos en forma completa, identificar a los responsables e imponer las sanciones que correspondan.</w:t>
      </w:r>
    </w:p>
    <w:p w14:paraId="5FC973B6"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Disponer las medidas administrativas, disciplinarias o penales correspondientes frente a las acciones u omisiones de los funcionarios estatales que contribuyeron a la denegación de justicia e impunidad en la que se encuentran los hechos del caso. En ese sentido, se debe poner especial énfasis en que se abrieron procesos administrativos y no penales para la investigación de desapariciones, que se abrieron procedimientos administrativos y laborales para la investigación de trabajo esclavo, y que la única investigación penal abierta en relación con dicho delito prescribió.  </w:t>
      </w:r>
    </w:p>
    <w:p w14:paraId="4E690933"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Establecer un mecanismo que facilite la localización de las víctimas de trabajo esclavo así como de </w:t>
      </w:r>
      <w:r w:rsidR="008B075C" w:rsidRPr="00470C7C">
        <w:rPr>
          <w:rFonts w:eastAsia="Calibri" w:cs="Times New Roman"/>
          <w:noProof/>
          <w:sz w:val="18"/>
          <w:szCs w:val="18"/>
        </w:rPr>
        <w:t xml:space="preserve">Iron Canuto </w:t>
      </w:r>
      <w:r w:rsidR="00BE63A6" w:rsidRPr="00470C7C">
        <w:rPr>
          <w:rFonts w:eastAsia="Calibri" w:cs="Times New Roman"/>
          <w:noProof/>
          <w:sz w:val="18"/>
          <w:szCs w:val="18"/>
        </w:rPr>
        <w:t>da Silva</w:t>
      </w:r>
      <w:r w:rsidRPr="00470C7C">
        <w:rPr>
          <w:rFonts w:eastAsia="Calibri" w:cs="Times New Roman"/>
          <w:noProof/>
          <w:sz w:val="18"/>
          <w:szCs w:val="18"/>
        </w:rPr>
        <w:t xml:space="preserve">, </w:t>
      </w:r>
      <w:r w:rsidR="00200C04" w:rsidRPr="00470C7C">
        <w:rPr>
          <w:rFonts w:eastAsia="Calibri" w:cs="Times New Roman"/>
          <w:noProof/>
          <w:sz w:val="18"/>
          <w:szCs w:val="18"/>
        </w:rPr>
        <w:t xml:space="preserve">Luis Ferreira </w:t>
      </w:r>
      <w:r w:rsidR="00867094" w:rsidRPr="00470C7C">
        <w:rPr>
          <w:rFonts w:eastAsia="Calibri" w:cs="Times New Roman"/>
          <w:noProof/>
          <w:sz w:val="18"/>
          <w:szCs w:val="18"/>
        </w:rPr>
        <w:t>da Cruz</w:t>
      </w:r>
      <w:r w:rsidRPr="00470C7C">
        <w:rPr>
          <w:rFonts w:eastAsia="Calibri" w:cs="Times New Roman"/>
          <w:noProof/>
          <w:sz w:val="18"/>
          <w:szCs w:val="18"/>
        </w:rPr>
        <w:t>, A</w:t>
      </w:r>
      <w:r w:rsidR="001F559F" w:rsidRPr="00470C7C">
        <w:rPr>
          <w:rFonts w:eastAsia="Calibri" w:cs="Times New Roman"/>
          <w:noProof/>
          <w:sz w:val="18"/>
          <w:szCs w:val="18"/>
        </w:rPr>
        <w:t xml:space="preserve">dailton Martins dos Reis, </w:t>
      </w:r>
      <w:r w:rsidR="00D63260" w:rsidRPr="00470C7C">
        <w:rPr>
          <w:rFonts w:eastAsia="Calibri" w:cs="Times New Roman"/>
          <w:noProof/>
          <w:sz w:val="18"/>
          <w:szCs w:val="18"/>
        </w:rPr>
        <w:t xml:space="preserve">José </w:t>
      </w:r>
      <w:r w:rsidR="001F559F" w:rsidRPr="00470C7C">
        <w:rPr>
          <w:rFonts w:eastAsia="Calibri" w:cs="Times New Roman"/>
          <w:noProof/>
          <w:sz w:val="18"/>
          <w:szCs w:val="18"/>
        </w:rPr>
        <w:t>S</w:t>
      </w:r>
      <w:r w:rsidRPr="00470C7C">
        <w:rPr>
          <w:rFonts w:eastAsia="Calibri" w:cs="Times New Roman"/>
          <w:noProof/>
          <w:sz w:val="18"/>
          <w:szCs w:val="18"/>
        </w:rPr>
        <w:t xml:space="preserve">oriano da Costa, así como los familiares de los dos primeros, </w:t>
      </w:r>
      <w:r w:rsidR="00D63260" w:rsidRPr="00470C7C">
        <w:rPr>
          <w:rFonts w:eastAsia="Calibri" w:cs="Times New Roman"/>
          <w:noProof/>
          <w:sz w:val="18"/>
          <w:szCs w:val="18"/>
        </w:rPr>
        <w:t xml:space="preserve">José </w:t>
      </w:r>
      <w:r w:rsidRPr="00470C7C">
        <w:rPr>
          <w:rFonts w:eastAsia="Calibri" w:cs="Times New Roman"/>
          <w:noProof/>
          <w:sz w:val="18"/>
          <w:szCs w:val="18"/>
        </w:rPr>
        <w:t>Teodoro da Silva y Miguel Ferreira da Cruz, con el fin de repararlos.</w:t>
      </w:r>
    </w:p>
    <w:p w14:paraId="2E92BB93"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Continuar implementando las políticas públicas</w:t>
      </w:r>
      <w:r w:rsidR="005D5D36" w:rsidRPr="00470C7C">
        <w:rPr>
          <w:rFonts w:eastAsia="Calibri" w:cs="Times New Roman"/>
          <w:noProof/>
          <w:sz w:val="18"/>
          <w:szCs w:val="18"/>
        </w:rPr>
        <w:t>,</w:t>
      </w:r>
      <w:r w:rsidRPr="00470C7C">
        <w:rPr>
          <w:rFonts w:eastAsia="Calibri" w:cs="Times New Roman"/>
          <w:noProof/>
          <w:sz w:val="18"/>
          <w:szCs w:val="18"/>
        </w:rPr>
        <w:t xml:space="preserve"> así como medidas legislativas y de otra índole </w:t>
      </w:r>
      <w:r w:rsidR="001F559F" w:rsidRPr="00470C7C">
        <w:rPr>
          <w:rFonts w:eastAsia="Calibri" w:cs="Times New Roman"/>
          <w:noProof/>
          <w:sz w:val="18"/>
          <w:szCs w:val="18"/>
        </w:rPr>
        <w:t>para la</w:t>
      </w:r>
      <w:r w:rsidRPr="00470C7C">
        <w:rPr>
          <w:rFonts w:eastAsia="Calibri" w:cs="Times New Roman"/>
          <w:noProof/>
          <w:sz w:val="18"/>
          <w:szCs w:val="18"/>
        </w:rPr>
        <w:t xml:space="preserve"> erradicación del trabajo esclavo. En especial, el Estado debe monitorear la aplicación y sanción de personas responsables de trabajo esclavo, en todos los niveles.</w:t>
      </w:r>
    </w:p>
    <w:p w14:paraId="4E32CC45"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Fortalecer el sistema legal y crear mecanismos de coordinación entre la jurisdicción penal y la jurisdicción laboral para superar los vacíos que se generan en la investigación, procesamiento y sanción de las personas responsables de los delitos de servidumbre y trabajo forzoso.</w:t>
      </w:r>
    </w:p>
    <w:p w14:paraId="0DD3530E"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Velar por el estricto cumplimiento de las leyes laborales relativas a las jornadas laborales y el pago en igualdad con los demas trabajadores asalariados. </w:t>
      </w:r>
    </w:p>
    <w:p w14:paraId="7F25E758" w14:textId="77777777" w:rsidR="00BA1ACF" w:rsidRPr="00470C7C"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rPr>
      </w:pPr>
      <w:r w:rsidRPr="00470C7C">
        <w:rPr>
          <w:rFonts w:eastAsia="Calibri" w:cs="Times New Roman"/>
          <w:noProof/>
          <w:sz w:val="18"/>
          <w:szCs w:val="18"/>
        </w:rPr>
        <w:t xml:space="preserve">Adoptar las medidas necesarias para erradicar todo tipo de discriminación racial, particularmente llevar a cabo campañas de promoción para concientizar a la población nacional y funcionarios del Estado, incluidos los operadores de justicia, sobre la discriminación y el sometimiento a servidumbre y trabajo forzoso. </w:t>
      </w:r>
    </w:p>
    <w:p w14:paraId="6C292210" w14:textId="77777777" w:rsidR="00BA1ACF" w:rsidRPr="00470C7C" w:rsidRDefault="00BA1ACF" w:rsidP="00140440">
      <w:pPr>
        <w:tabs>
          <w:tab w:val="clear" w:pos="4419"/>
          <w:tab w:val="clear" w:pos="8838"/>
        </w:tabs>
        <w:ind w:right="4"/>
        <w:jc w:val="both"/>
        <w:rPr>
          <w:rFonts w:eastAsia="Batang" w:cs="Times"/>
          <w:i/>
          <w:szCs w:val="20"/>
          <w:lang w:val="es-ES_tradnl"/>
        </w:rPr>
      </w:pPr>
    </w:p>
    <w:p w14:paraId="010CACD6" w14:textId="77777777" w:rsidR="00BA1ACF" w:rsidRPr="00470C7C" w:rsidRDefault="00BA1ACF" w:rsidP="00140440">
      <w:pPr>
        <w:numPr>
          <w:ilvl w:val="0"/>
          <w:numId w:val="2"/>
        </w:numPr>
        <w:tabs>
          <w:tab w:val="clear" w:pos="4419"/>
          <w:tab w:val="clear" w:pos="8838"/>
          <w:tab w:val="left" w:pos="567"/>
          <w:tab w:val="left" w:pos="1134"/>
        </w:tabs>
        <w:autoSpaceDE w:val="0"/>
        <w:autoSpaceDN w:val="0"/>
        <w:adjustRightInd w:val="0"/>
        <w:jc w:val="both"/>
        <w:rPr>
          <w:rFonts w:eastAsia="Batang" w:cs="Times"/>
          <w:b/>
          <w:i/>
          <w:szCs w:val="24"/>
          <w:lang w:val="es-ES_tradnl"/>
        </w:rPr>
      </w:pPr>
      <w:r w:rsidRPr="00470C7C">
        <w:rPr>
          <w:rFonts w:eastAsia="Batang" w:cs="Times"/>
          <w:i/>
          <w:szCs w:val="24"/>
          <w:lang w:val="es-ES_tradnl"/>
        </w:rPr>
        <w:t xml:space="preserve"> </w:t>
      </w:r>
      <w:r w:rsidRPr="00470C7C">
        <w:rPr>
          <w:rFonts w:eastAsia="Batang" w:cs="Times"/>
          <w:i/>
          <w:szCs w:val="24"/>
          <w:lang w:val="es-ES_tradnl"/>
        </w:rPr>
        <w:tab/>
        <w:t xml:space="preserve">Notificación al </w:t>
      </w:r>
      <w:proofErr w:type="gramStart"/>
      <w:r w:rsidRPr="00470C7C">
        <w:rPr>
          <w:rFonts w:eastAsia="Batang" w:cs="Times"/>
          <w:i/>
          <w:szCs w:val="24"/>
          <w:lang w:val="es-ES_tradnl"/>
        </w:rPr>
        <w:t>Estado.–</w:t>
      </w:r>
      <w:proofErr w:type="gramEnd"/>
      <w:r w:rsidRPr="00470C7C">
        <w:rPr>
          <w:rFonts w:eastAsia="Batang" w:cs="Times"/>
          <w:i/>
          <w:szCs w:val="24"/>
          <w:lang w:val="es-ES_tradnl"/>
        </w:rPr>
        <w:t xml:space="preserve"> </w:t>
      </w:r>
      <w:r w:rsidRPr="00470C7C">
        <w:rPr>
          <w:rFonts w:eastAsia="Batang" w:cs="Times"/>
          <w:szCs w:val="24"/>
          <w:lang w:val="es-ES_tradnl"/>
        </w:rPr>
        <w:t xml:space="preserve">El Informe de Admisibilidad y Fondo fue notificado al Estado mediante comunicación de 4 de enero de 2012, en la que se le otorgaba un plazo de dos meses para informar sobre el cumplimiento de las recomendaciones. Tras el otorgamiento de </w:t>
      </w:r>
      <w:r w:rsidR="00B64BE7" w:rsidRPr="00470C7C">
        <w:rPr>
          <w:rFonts w:eastAsia="Batang" w:cs="Times"/>
          <w:szCs w:val="24"/>
          <w:lang w:val="es-ES_tradnl"/>
        </w:rPr>
        <w:t xml:space="preserve">10 </w:t>
      </w:r>
      <w:r w:rsidRPr="00470C7C">
        <w:rPr>
          <w:rFonts w:eastAsia="Batang" w:cs="Times"/>
          <w:szCs w:val="24"/>
          <w:lang w:val="es-ES_tradnl"/>
        </w:rPr>
        <w:t xml:space="preserve">prórrogas, </w:t>
      </w:r>
      <w:r w:rsidR="001F559F" w:rsidRPr="00470C7C">
        <w:rPr>
          <w:rFonts w:eastAsia="Batang" w:cs="Times"/>
          <w:szCs w:val="24"/>
          <w:lang w:val="es-ES_tradnl"/>
        </w:rPr>
        <w:t xml:space="preserve">la Comisión determinó que </w:t>
      </w:r>
      <w:r w:rsidRPr="00470C7C">
        <w:rPr>
          <w:rFonts w:eastAsia="Batang" w:cs="Times"/>
          <w:szCs w:val="24"/>
          <w:lang w:val="es-ES_tradnl"/>
        </w:rPr>
        <w:t xml:space="preserve">el Estado no </w:t>
      </w:r>
      <w:r w:rsidR="001F559F" w:rsidRPr="00470C7C">
        <w:rPr>
          <w:rFonts w:eastAsia="Batang" w:cs="Times"/>
          <w:szCs w:val="24"/>
          <w:lang w:val="es-ES_tradnl"/>
        </w:rPr>
        <w:t>había</w:t>
      </w:r>
      <w:r w:rsidRPr="00470C7C">
        <w:rPr>
          <w:rFonts w:eastAsia="Batang" w:cs="Times"/>
          <w:szCs w:val="24"/>
          <w:lang w:val="es-ES_tradnl"/>
        </w:rPr>
        <w:t xml:space="preserve"> avanzado de manera concreta en el cumplimiento de las recomendaciones. </w:t>
      </w:r>
    </w:p>
    <w:p w14:paraId="5E4F4C4E" w14:textId="77777777" w:rsidR="00BA1ACF" w:rsidRPr="00470C7C"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s-ES_tradnl" w:eastAsia="es-ES"/>
        </w:rPr>
      </w:pPr>
    </w:p>
    <w:p w14:paraId="232F3FE1" w14:textId="77777777" w:rsidR="00BA1ACF" w:rsidRPr="00470C7C" w:rsidRDefault="00BA1ACF" w:rsidP="00140440">
      <w:pPr>
        <w:numPr>
          <w:ilvl w:val="0"/>
          <w:numId w:val="1"/>
        </w:numPr>
        <w:tabs>
          <w:tab w:val="clear" w:pos="4419"/>
          <w:tab w:val="clear" w:pos="8838"/>
          <w:tab w:val="left" w:pos="567"/>
          <w:tab w:val="left" w:pos="1134"/>
        </w:tabs>
        <w:autoSpaceDE w:val="0"/>
        <w:autoSpaceDN w:val="0"/>
        <w:adjustRightInd w:val="0"/>
        <w:jc w:val="both"/>
        <w:rPr>
          <w:rFonts w:eastAsia="Batang" w:cs="Verdana"/>
          <w:szCs w:val="20"/>
          <w:lang w:val="es-ES_tradnl" w:eastAsia="es-ES"/>
        </w:rPr>
      </w:pPr>
      <w:r w:rsidRPr="00470C7C">
        <w:rPr>
          <w:rFonts w:eastAsia="Batang" w:cs="Verdana"/>
          <w:i/>
          <w:szCs w:val="20"/>
          <w:lang w:val="es-ES_tradnl" w:eastAsia="es-ES"/>
        </w:rPr>
        <w:t xml:space="preserve">Sometimiento a la </w:t>
      </w:r>
      <w:proofErr w:type="gramStart"/>
      <w:r w:rsidRPr="00470C7C">
        <w:rPr>
          <w:rFonts w:eastAsia="Batang" w:cs="Verdana"/>
          <w:i/>
          <w:szCs w:val="20"/>
          <w:lang w:val="es-ES_tradnl" w:eastAsia="es-ES"/>
        </w:rPr>
        <w:t>Corte.</w:t>
      </w:r>
      <w:r w:rsidR="00D63260" w:rsidRPr="00470C7C">
        <w:rPr>
          <w:rFonts w:eastAsia="Batang" w:cs="Times"/>
          <w:i/>
          <w:szCs w:val="24"/>
          <w:lang w:val="es-ES_tradnl"/>
        </w:rPr>
        <w:t>–</w:t>
      </w:r>
      <w:proofErr w:type="gramEnd"/>
      <w:r w:rsidRPr="00470C7C">
        <w:rPr>
          <w:rFonts w:eastAsia="Batang" w:cs="Verdana"/>
          <w:szCs w:val="20"/>
          <w:lang w:val="es-ES_tradnl" w:eastAsia="es-ES"/>
        </w:rPr>
        <w:t xml:space="preserve"> </w:t>
      </w:r>
      <w:r w:rsidRPr="00470C7C">
        <w:rPr>
          <w:rFonts w:eastAsia="Batang" w:cs="Verdana"/>
          <w:szCs w:val="20"/>
          <w:lang w:val="es-ES" w:eastAsia="es-ES"/>
        </w:rPr>
        <w:t>El 4 de marzo de 2015 la Comisión sometió a la jurisdicción de la Corte, “por la necesidad de obtención de justicia”, los hechos y violaciones de derechos humanos descritos en el Informe de Fondo</w:t>
      </w:r>
      <w:r w:rsidRPr="00470C7C">
        <w:rPr>
          <w:rFonts w:eastAsia="Batang" w:cs="Times New Roman"/>
          <w:szCs w:val="20"/>
          <w:vertAlign w:val="superscript"/>
          <w:lang w:val="es-ES" w:eastAsia="es-ES"/>
        </w:rPr>
        <w:footnoteReference w:id="2"/>
      </w:r>
      <w:r w:rsidRPr="00470C7C">
        <w:rPr>
          <w:rFonts w:eastAsia="Batang" w:cs="Verdana"/>
          <w:szCs w:val="20"/>
          <w:lang w:val="es-ES" w:eastAsia="es-ES"/>
        </w:rPr>
        <w:t>. Específicamente, la Comisión sometió a la Corte las acciones y omisiones estatales que ocurrieron o continuaron ocurriendo con posterioridad al 10 de diciembre de 1998, fecha de aceptación de la competencia de la Corte por parte del Estado</w:t>
      </w:r>
      <w:r w:rsidRPr="00470C7C">
        <w:rPr>
          <w:rFonts w:eastAsia="Batang" w:cs="Times New Roman"/>
          <w:szCs w:val="20"/>
          <w:vertAlign w:val="superscript"/>
          <w:lang w:val="es-ES" w:eastAsia="es-ES"/>
        </w:rPr>
        <w:footnoteReference w:id="3"/>
      </w:r>
      <w:r w:rsidRPr="00470C7C">
        <w:rPr>
          <w:rFonts w:eastAsia="Batang" w:cs="Verdana"/>
          <w:szCs w:val="20"/>
          <w:lang w:val="es-ES" w:eastAsia="es-ES"/>
        </w:rPr>
        <w:t xml:space="preserve">, sin perjuicio de que el Estado </w:t>
      </w:r>
      <w:r w:rsidR="00E80BB8" w:rsidRPr="00470C7C">
        <w:rPr>
          <w:rFonts w:eastAsia="Batang" w:cs="Verdana"/>
          <w:szCs w:val="20"/>
          <w:lang w:val="es-ES" w:eastAsia="es-ES"/>
        </w:rPr>
        <w:t xml:space="preserve">pudiera aceptar </w:t>
      </w:r>
      <w:r w:rsidRPr="00470C7C">
        <w:rPr>
          <w:rFonts w:eastAsia="Batang" w:cs="Verdana"/>
          <w:szCs w:val="20"/>
          <w:lang w:val="es-ES" w:eastAsia="es-ES"/>
        </w:rPr>
        <w:t xml:space="preserve">la competencia de la Corte para conocer la totalidad del presente caso, de conformidad con lo estipulado en el artículo 62.2 de la Convención. </w:t>
      </w:r>
    </w:p>
    <w:p w14:paraId="66B25D1F" w14:textId="77777777" w:rsidR="00BA1ACF" w:rsidRPr="00470C7C"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s-ES_tradnl" w:eastAsia="es-ES"/>
        </w:rPr>
      </w:pPr>
    </w:p>
    <w:p w14:paraId="63AB6BEA" w14:textId="77777777" w:rsidR="00BA1ACF" w:rsidRPr="00470C7C" w:rsidRDefault="00BA1ACF" w:rsidP="00140440">
      <w:pPr>
        <w:numPr>
          <w:ilvl w:val="0"/>
          <w:numId w:val="1"/>
        </w:numPr>
        <w:tabs>
          <w:tab w:val="clear" w:pos="4419"/>
          <w:tab w:val="clear" w:pos="8838"/>
          <w:tab w:val="left" w:pos="567"/>
          <w:tab w:val="left" w:pos="1134"/>
        </w:tabs>
        <w:autoSpaceDE w:val="0"/>
        <w:autoSpaceDN w:val="0"/>
        <w:adjustRightInd w:val="0"/>
        <w:jc w:val="both"/>
        <w:rPr>
          <w:rFonts w:eastAsia="Batang" w:cs="Verdana"/>
          <w:szCs w:val="20"/>
          <w:lang w:val="es-ES_tradnl" w:eastAsia="es-ES"/>
        </w:rPr>
      </w:pPr>
      <w:r w:rsidRPr="00470C7C">
        <w:rPr>
          <w:rFonts w:eastAsia="Batang" w:cs="Verdana"/>
          <w:i/>
          <w:szCs w:val="20"/>
          <w:lang w:val="es-ES_tradnl" w:eastAsia="es-ES"/>
        </w:rPr>
        <w:t xml:space="preserve">Solicitudes de la Comisión </w:t>
      </w:r>
      <w:proofErr w:type="gramStart"/>
      <w:r w:rsidRPr="00470C7C">
        <w:rPr>
          <w:rFonts w:eastAsia="Batang" w:cs="Verdana"/>
          <w:i/>
          <w:szCs w:val="20"/>
          <w:lang w:val="es-ES_tradnl" w:eastAsia="es-ES"/>
        </w:rPr>
        <w:t>Interamericana.–</w:t>
      </w:r>
      <w:proofErr w:type="gramEnd"/>
      <w:r w:rsidRPr="00470C7C">
        <w:rPr>
          <w:rFonts w:eastAsia="Batang" w:cs="Verdana"/>
          <w:i/>
          <w:szCs w:val="20"/>
          <w:lang w:val="es-ES_tradnl" w:eastAsia="es-ES"/>
        </w:rPr>
        <w:t xml:space="preserve"> </w:t>
      </w:r>
      <w:r w:rsidRPr="00470C7C">
        <w:rPr>
          <w:rFonts w:eastAsia="Batang" w:cs="Verdana"/>
          <w:szCs w:val="20"/>
          <w:lang w:val="es-ES_tradnl" w:eastAsia="es-ES"/>
        </w:rPr>
        <w:t>Con base en lo anterior, la Comisión Interamericana solicitó a este Tribunal que declarara la responsabilidad internacional de Brasil por las violaciones contenidas en el Informe de Admisibilidad y Fondo y que se ordenara al Estado, como medidas de reparación, las recomendaciones incluidas en dicho Informe (</w:t>
      </w:r>
      <w:r w:rsidRPr="00470C7C">
        <w:rPr>
          <w:rFonts w:eastAsia="Batang" w:cs="Verdana"/>
          <w:i/>
          <w:szCs w:val="20"/>
          <w:lang w:val="es-ES_tradnl" w:eastAsia="es-ES"/>
        </w:rPr>
        <w:t xml:space="preserve">supra </w:t>
      </w:r>
      <w:r w:rsidRPr="00470C7C">
        <w:rPr>
          <w:rFonts w:eastAsia="Batang" w:cs="Verdana"/>
          <w:szCs w:val="20"/>
          <w:lang w:val="es-ES_tradnl" w:eastAsia="es-ES"/>
        </w:rPr>
        <w:t xml:space="preserve">párr. </w:t>
      </w:r>
      <w:r w:rsidR="002B3561" w:rsidRPr="00470C7C">
        <w:rPr>
          <w:rFonts w:eastAsia="Batang" w:cs="Verdana"/>
          <w:szCs w:val="20"/>
          <w:lang w:val="es-ES_tradnl" w:eastAsia="es-ES"/>
        </w:rPr>
        <w:t>2</w:t>
      </w:r>
      <w:r w:rsidRPr="00470C7C">
        <w:rPr>
          <w:rFonts w:eastAsia="Batang" w:cs="Verdana"/>
          <w:szCs w:val="20"/>
          <w:lang w:val="es-ES_tradnl" w:eastAsia="es-ES"/>
        </w:rPr>
        <w:t>).</w:t>
      </w:r>
    </w:p>
    <w:p w14:paraId="4257E14D" w14:textId="77777777" w:rsidR="00BA1ACF" w:rsidRPr="00470C7C" w:rsidRDefault="00BA1ACF" w:rsidP="00140440">
      <w:pPr>
        <w:tabs>
          <w:tab w:val="clear" w:pos="4419"/>
          <w:tab w:val="clear" w:pos="8838"/>
        </w:tabs>
        <w:jc w:val="both"/>
        <w:rPr>
          <w:rFonts w:eastAsia="Batang" w:cs="Verdana"/>
          <w:i/>
          <w:szCs w:val="20"/>
          <w:lang w:val="es-ES_tradnl" w:eastAsia="es-ES"/>
        </w:rPr>
      </w:pPr>
    </w:p>
    <w:p w14:paraId="406B1306" w14:textId="77777777" w:rsidR="00BA1ACF" w:rsidRPr="00470C7C" w:rsidRDefault="00BA1ACF" w:rsidP="00140440">
      <w:pPr>
        <w:pStyle w:val="Style1"/>
        <w:spacing w:after="0"/>
        <w:rPr>
          <w:lang w:val="es-ES_tradnl"/>
        </w:rPr>
      </w:pPr>
      <w:bookmarkStart w:id="6" w:name="_Toc359314415"/>
      <w:bookmarkStart w:id="7" w:name="_Toc361671572"/>
      <w:bookmarkStart w:id="8" w:name="_Toc361671992"/>
      <w:bookmarkStart w:id="9" w:name="_Toc361732789"/>
      <w:bookmarkStart w:id="10" w:name="_Toc361732832"/>
      <w:bookmarkStart w:id="11" w:name="_Toc362456863"/>
      <w:bookmarkStart w:id="12" w:name="_Toc365021392"/>
      <w:bookmarkStart w:id="13" w:name="_Toc369076778"/>
      <w:bookmarkStart w:id="14" w:name="_Toc369989362"/>
      <w:bookmarkStart w:id="15" w:name="_Toc369989449"/>
      <w:bookmarkStart w:id="16" w:name="_Toc369989730"/>
      <w:bookmarkStart w:id="17" w:name="_Toc404770055"/>
      <w:bookmarkStart w:id="18" w:name="_Toc416164785"/>
      <w:bookmarkStart w:id="19" w:name="_Toc464813885"/>
      <w:r w:rsidRPr="00470C7C">
        <w:rPr>
          <w:lang w:val="es-ES_tradnl"/>
        </w:rPr>
        <w:t>II</w:t>
      </w:r>
      <w:r w:rsidRPr="00470C7C">
        <w:rPr>
          <w:lang w:val="es-ES_tradnl"/>
        </w:rPr>
        <w:br/>
      </w:r>
      <w:bookmarkStart w:id="20" w:name="_Toc311128156"/>
      <w:bookmarkStart w:id="21" w:name="_Toc311128353"/>
      <w:r w:rsidRPr="00470C7C">
        <w:rPr>
          <w:lang w:val="es-ES_tradnl"/>
        </w:rPr>
        <w:t>PROCEDIMIENTO ANTE LA CORTE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6C5B507" w14:textId="77777777" w:rsidR="00BA1ACF" w:rsidRPr="00470C7C"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s-ES_tradnl" w:eastAsia="es-ES"/>
        </w:rPr>
      </w:pPr>
    </w:p>
    <w:p w14:paraId="49BEC44E"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Times New Roman"/>
          <w:b/>
          <w:i/>
          <w:noProof/>
          <w:szCs w:val="20"/>
          <w:lang w:val="es-ES_tradnl" w:eastAsia="es-ES"/>
        </w:rPr>
      </w:pPr>
      <w:r w:rsidRPr="00470C7C">
        <w:rPr>
          <w:rFonts w:eastAsia="Batang" w:cs="Times New Roman"/>
          <w:i/>
          <w:noProof/>
          <w:szCs w:val="20"/>
          <w:lang w:val="es-ES_tradnl" w:eastAsia="es-ES"/>
        </w:rPr>
        <w:t xml:space="preserve">Notificación al Estado y a los representantes. – </w:t>
      </w:r>
      <w:r w:rsidRPr="00470C7C">
        <w:rPr>
          <w:rFonts w:eastAsia="Batang" w:cs="Times New Roman"/>
          <w:noProof/>
          <w:szCs w:val="20"/>
          <w:lang w:val="es-ES_tradnl"/>
        </w:rPr>
        <w:t xml:space="preserve">El sometimiento del caso por parte de la Comisión fue notificado al Estado y a los representantes el </w:t>
      </w:r>
      <w:r w:rsidR="004C7778" w:rsidRPr="00470C7C">
        <w:rPr>
          <w:rFonts w:eastAsia="Batang" w:cs="Times New Roman"/>
          <w:noProof/>
          <w:szCs w:val="20"/>
          <w:lang w:val="es-ES_tradnl"/>
        </w:rPr>
        <w:t>1</w:t>
      </w:r>
      <w:r w:rsidR="002B3561" w:rsidRPr="00470C7C">
        <w:rPr>
          <w:rFonts w:eastAsia="Batang" w:cs="Times New Roman"/>
          <w:noProof/>
          <w:szCs w:val="20"/>
          <w:lang w:val="es-ES_tradnl"/>
        </w:rPr>
        <w:t>4</w:t>
      </w:r>
      <w:r w:rsidRPr="00470C7C">
        <w:rPr>
          <w:rFonts w:eastAsia="Batang" w:cs="Times New Roman"/>
          <w:noProof/>
          <w:szCs w:val="20"/>
          <w:lang w:val="es-ES_tradnl"/>
        </w:rPr>
        <w:t xml:space="preserve"> de </w:t>
      </w:r>
      <w:r w:rsidR="004C7778" w:rsidRPr="00470C7C">
        <w:rPr>
          <w:rFonts w:eastAsia="Batang" w:cs="Times New Roman"/>
          <w:noProof/>
          <w:szCs w:val="20"/>
          <w:lang w:val="es-ES_tradnl"/>
        </w:rPr>
        <w:t>abril de 2015</w:t>
      </w:r>
      <w:r w:rsidRPr="00470C7C">
        <w:rPr>
          <w:rFonts w:eastAsia="Batang" w:cs="Times New Roman"/>
          <w:noProof/>
          <w:szCs w:val="20"/>
          <w:lang w:val="es-ES_tradnl"/>
        </w:rPr>
        <w:t>.</w:t>
      </w:r>
      <w:r w:rsidR="004C7778" w:rsidRPr="00470C7C">
        <w:rPr>
          <w:rFonts w:eastAsia="Batang" w:cs="Times New Roman"/>
          <w:noProof/>
          <w:szCs w:val="20"/>
          <w:lang w:val="es-ES_tradnl"/>
        </w:rPr>
        <w:t xml:space="preserve"> </w:t>
      </w:r>
    </w:p>
    <w:p w14:paraId="367DBA5B" w14:textId="77777777" w:rsidR="004C7778" w:rsidRPr="00470C7C" w:rsidRDefault="004C7778" w:rsidP="00140440">
      <w:pPr>
        <w:tabs>
          <w:tab w:val="clear" w:pos="4419"/>
          <w:tab w:val="clear" w:pos="8838"/>
          <w:tab w:val="left" w:pos="567"/>
          <w:tab w:val="left" w:pos="1134"/>
        </w:tabs>
        <w:jc w:val="both"/>
        <w:rPr>
          <w:rFonts w:eastAsia="Batang" w:cs="Times New Roman"/>
          <w:b/>
          <w:i/>
          <w:noProof/>
          <w:szCs w:val="20"/>
          <w:lang w:val="es-ES_tradnl" w:eastAsia="es-ES"/>
        </w:rPr>
      </w:pPr>
    </w:p>
    <w:p w14:paraId="1062FC9E"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Times New Roman"/>
          <w:i/>
          <w:noProof/>
          <w:szCs w:val="20"/>
          <w:lang w:val="es-ES_tradnl" w:eastAsia="es-ES"/>
        </w:rPr>
      </w:pPr>
      <w:r w:rsidRPr="00470C7C">
        <w:rPr>
          <w:rFonts w:eastAsia="Batang" w:cs="Times New Roman"/>
          <w:i/>
          <w:noProof/>
          <w:szCs w:val="20"/>
          <w:lang w:val="es-ES_tradnl" w:eastAsia="es-ES"/>
        </w:rPr>
        <w:t xml:space="preserve">Escrito de solicitudes, argumentos y pruebas. – </w:t>
      </w:r>
      <w:r w:rsidRPr="00470C7C">
        <w:rPr>
          <w:rFonts w:eastAsia="Batang" w:cs="Times New Roman"/>
          <w:noProof/>
          <w:szCs w:val="20"/>
          <w:lang w:val="es-ES_tradnl"/>
        </w:rPr>
        <w:t xml:space="preserve">El </w:t>
      </w:r>
      <w:r w:rsidR="004C7778" w:rsidRPr="00470C7C">
        <w:rPr>
          <w:rFonts w:eastAsia="Batang" w:cs="Times New Roman"/>
          <w:noProof/>
          <w:szCs w:val="20"/>
          <w:lang w:val="es-ES_tradnl"/>
        </w:rPr>
        <w:t>17 de junio</w:t>
      </w:r>
      <w:r w:rsidRPr="00470C7C">
        <w:rPr>
          <w:rFonts w:eastAsia="Batang" w:cs="Times New Roman"/>
          <w:noProof/>
          <w:szCs w:val="20"/>
          <w:lang w:val="es-ES_tradnl"/>
        </w:rPr>
        <w:t xml:space="preserve"> de 2015 los representantes presentaron su escrito de solicitudes, argumentos y pruebas (en adelante “escrito de solicitudes y argumentos”), en los términos de los artículos 25 y 40 del Reglamento de la Corte</w:t>
      </w:r>
      <w:r w:rsidR="00225FE9" w:rsidRPr="00470C7C">
        <w:rPr>
          <w:rStyle w:val="Refdenotaalpie"/>
          <w:rFonts w:eastAsia="Batang"/>
          <w:noProof/>
          <w:lang w:val="es-ES_tradnl"/>
        </w:rPr>
        <w:footnoteReference w:id="4"/>
      </w:r>
      <w:r w:rsidRPr="00470C7C">
        <w:rPr>
          <w:rFonts w:eastAsia="Batang" w:cs="Times New Roman"/>
          <w:noProof/>
          <w:szCs w:val="20"/>
          <w:lang w:val="es-ES_tradnl"/>
        </w:rPr>
        <w:t>.</w:t>
      </w:r>
      <w:r w:rsidR="004C7778" w:rsidRPr="00470C7C">
        <w:rPr>
          <w:rFonts w:eastAsia="Batang" w:cs="Times New Roman"/>
          <w:noProof/>
          <w:szCs w:val="20"/>
          <w:lang w:val="es-ES_tradnl"/>
        </w:rPr>
        <w:t xml:space="preserve"> </w:t>
      </w:r>
    </w:p>
    <w:p w14:paraId="4081FEC8" w14:textId="77777777" w:rsidR="004C7778" w:rsidRPr="00470C7C" w:rsidRDefault="004C7778" w:rsidP="00140440">
      <w:pPr>
        <w:tabs>
          <w:tab w:val="clear" w:pos="4419"/>
          <w:tab w:val="clear" w:pos="8838"/>
          <w:tab w:val="left" w:pos="567"/>
          <w:tab w:val="left" w:pos="1134"/>
        </w:tabs>
        <w:jc w:val="both"/>
        <w:rPr>
          <w:rFonts w:eastAsia="Batang" w:cs="Times New Roman"/>
          <w:i/>
          <w:noProof/>
          <w:szCs w:val="20"/>
          <w:lang w:val="es-ES_tradnl" w:eastAsia="es-ES"/>
        </w:rPr>
      </w:pPr>
    </w:p>
    <w:p w14:paraId="56182023"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Times New Roman"/>
          <w:noProof/>
          <w:szCs w:val="20"/>
          <w:lang w:val="es-ES_tradnl" w:eastAsia="es-ES"/>
        </w:rPr>
      </w:pPr>
      <w:r w:rsidRPr="00470C7C">
        <w:rPr>
          <w:rFonts w:eastAsia="Calibri" w:cs="Times New Roman"/>
          <w:bCs/>
          <w:i/>
          <w:noProof/>
          <w:szCs w:val="20"/>
          <w:lang w:val="es-ES_tradnl"/>
        </w:rPr>
        <w:t xml:space="preserve">Escrito de contestación. – </w:t>
      </w:r>
      <w:r w:rsidRPr="00470C7C">
        <w:rPr>
          <w:rFonts w:eastAsia="Batang" w:cs="Times New Roman"/>
          <w:noProof/>
          <w:szCs w:val="20"/>
          <w:lang w:val="es-ES_tradnl"/>
        </w:rPr>
        <w:t xml:space="preserve">El </w:t>
      </w:r>
      <w:r w:rsidR="006E5A83" w:rsidRPr="00470C7C">
        <w:rPr>
          <w:rFonts w:eastAsia="Batang" w:cs="Times New Roman"/>
          <w:noProof/>
          <w:szCs w:val="20"/>
          <w:lang w:val="es-ES_tradnl"/>
        </w:rPr>
        <w:t>14 de septiembre</w:t>
      </w:r>
      <w:r w:rsidRPr="00470C7C">
        <w:rPr>
          <w:rFonts w:eastAsia="Batang" w:cs="Times New Roman"/>
          <w:noProof/>
          <w:szCs w:val="20"/>
          <w:lang w:val="es-ES_tradnl"/>
        </w:rPr>
        <w:t xml:space="preserve"> de 2015 el Estado presentó ante la Corte su escrito de contestación al sometimiento del caso y al escrito de solicitudes y argumentos y de excepciones preliminares (en adelante “contestación” o “escrito de contestación”), en los términos del artículo 41 del Reglamento del Tribunal</w:t>
      </w:r>
      <w:r w:rsidRPr="00470C7C">
        <w:rPr>
          <w:rFonts w:eastAsia="Batang" w:cs="Times New Roman"/>
          <w:noProof/>
          <w:szCs w:val="20"/>
          <w:vertAlign w:val="superscript"/>
          <w:lang w:val="es-ES_tradnl"/>
        </w:rPr>
        <w:footnoteReference w:id="5"/>
      </w:r>
      <w:r w:rsidR="004C7778" w:rsidRPr="00470C7C">
        <w:rPr>
          <w:rFonts w:eastAsia="Batang" w:cs="Verdana"/>
          <w:noProof/>
          <w:szCs w:val="20"/>
          <w:lang w:val="es-ES_tradnl"/>
        </w:rPr>
        <w:t>.</w:t>
      </w:r>
      <w:r w:rsidR="006E5A83" w:rsidRPr="00470C7C">
        <w:rPr>
          <w:rFonts w:eastAsia="Batang" w:cs="Verdana"/>
          <w:noProof/>
          <w:szCs w:val="20"/>
          <w:lang w:val="es-ES_tradnl"/>
        </w:rPr>
        <w:t xml:space="preserve"> </w:t>
      </w:r>
    </w:p>
    <w:p w14:paraId="7695C49D" w14:textId="77777777" w:rsidR="004C7778" w:rsidRPr="00470C7C" w:rsidRDefault="004C7778" w:rsidP="00140440">
      <w:pPr>
        <w:tabs>
          <w:tab w:val="clear" w:pos="4419"/>
          <w:tab w:val="clear" w:pos="8838"/>
          <w:tab w:val="left" w:pos="567"/>
          <w:tab w:val="left" w:pos="1134"/>
        </w:tabs>
        <w:jc w:val="both"/>
        <w:rPr>
          <w:rFonts w:eastAsia="Batang" w:cs="Times New Roman"/>
          <w:noProof/>
          <w:szCs w:val="20"/>
          <w:lang w:val="es-ES_tradnl" w:eastAsia="es-ES"/>
        </w:rPr>
      </w:pPr>
    </w:p>
    <w:p w14:paraId="6AA4BC6F"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Times New Roman"/>
          <w:noProof/>
          <w:szCs w:val="20"/>
          <w:lang w:val="es-ES_tradnl" w:eastAsia="es-ES"/>
        </w:rPr>
      </w:pPr>
      <w:r w:rsidRPr="00470C7C">
        <w:rPr>
          <w:rFonts w:eastAsia="Batang" w:cs="Times New Roman"/>
          <w:i/>
          <w:noProof/>
          <w:szCs w:val="20"/>
          <w:lang w:val="es-ES_tradnl" w:eastAsia="es-ES"/>
        </w:rPr>
        <w:t xml:space="preserve">Observaciones a las excepciones preliminares. - </w:t>
      </w:r>
      <w:r w:rsidRPr="00470C7C">
        <w:rPr>
          <w:rFonts w:eastAsia="Batang" w:cs="Times New Roman"/>
          <w:noProof/>
          <w:szCs w:val="20"/>
          <w:lang w:val="es-ES_tradnl" w:eastAsia="es-ES"/>
        </w:rPr>
        <w:t>Mediante escritos recibidos el</w:t>
      </w:r>
      <w:r w:rsidR="006E5A83" w:rsidRPr="00470C7C">
        <w:rPr>
          <w:rFonts w:eastAsia="Batang" w:cs="Times New Roman"/>
          <w:noProof/>
          <w:szCs w:val="20"/>
          <w:lang w:val="es-ES_tradnl" w:eastAsia="es-ES"/>
        </w:rPr>
        <w:t xml:space="preserve"> 28 y 30 de octubre de 2015</w:t>
      </w:r>
      <w:r w:rsidRPr="00470C7C">
        <w:rPr>
          <w:rFonts w:eastAsia="Batang" w:cs="Times New Roman"/>
          <w:noProof/>
          <w:szCs w:val="20"/>
          <w:lang w:val="es-ES_tradnl" w:eastAsia="es-ES"/>
        </w:rPr>
        <w:t>, los representantes y la Comisión presentaron sus observaciones a las excepciones preliminares interpuestas por el Estado.</w:t>
      </w:r>
      <w:r w:rsidR="006E5A83" w:rsidRPr="00470C7C">
        <w:rPr>
          <w:rFonts w:eastAsia="Batang" w:cs="Times New Roman"/>
          <w:noProof/>
          <w:szCs w:val="20"/>
          <w:lang w:val="es-ES_tradnl" w:eastAsia="es-ES"/>
        </w:rPr>
        <w:t xml:space="preserve"> </w:t>
      </w:r>
    </w:p>
    <w:p w14:paraId="4CDDE2D6" w14:textId="77777777" w:rsidR="00263F22" w:rsidRPr="00470C7C" w:rsidRDefault="00263F22" w:rsidP="00140440">
      <w:pPr>
        <w:tabs>
          <w:tab w:val="clear" w:pos="4419"/>
          <w:tab w:val="clear" w:pos="8838"/>
          <w:tab w:val="left" w:pos="567"/>
          <w:tab w:val="left" w:pos="1134"/>
        </w:tabs>
        <w:autoSpaceDE w:val="0"/>
        <w:autoSpaceDN w:val="0"/>
        <w:adjustRightInd w:val="0"/>
        <w:jc w:val="both"/>
        <w:rPr>
          <w:rFonts w:eastAsia="Batang" w:cs="Verdana"/>
          <w:noProof/>
          <w:szCs w:val="20"/>
          <w:lang w:val="es-ES_tradnl" w:eastAsia="es-ES"/>
        </w:rPr>
      </w:pPr>
    </w:p>
    <w:p w14:paraId="775416E3"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Arial"/>
          <w:noProof/>
          <w:szCs w:val="20"/>
          <w:lang w:val="es-ES_tradnl"/>
        </w:rPr>
      </w:pPr>
      <w:r w:rsidRPr="00470C7C">
        <w:rPr>
          <w:rFonts w:eastAsia="Batang" w:cs="Times New Roman"/>
          <w:i/>
          <w:noProof/>
          <w:szCs w:val="20"/>
          <w:lang w:val="es-ES_tradnl" w:eastAsia="es-ES"/>
        </w:rPr>
        <w:t>Audiencia pública. –</w:t>
      </w:r>
      <w:r w:rsidRPr="00470C7C">
        <w:rPr>
          <w:rFonts w:eastAsia="Batang" w:cs="Times New Roman"/>
          <w:noProof/>
          <w:szCs w:val="20"/>
          <w:lang w:val="es-ES_tradnl" w:eastAsia="es-ES"/>
        </w:rPr>
        <w:t xml:space="preserve"> Mediante Resolución del Presidente de la Corte de </w:t>
      </w:r>
      <w:r w:rsidR="006E5A83" w:rsidRPr="00470C7C">
        <w:rPr>
          <w:rFonts w:eastAsia="Batang" w:cs="Times New Roman"/>
          <w:noProof/>
          <w:szCs w:val="20"/>
          <w:lang w:val="es-ES_tradnl" w:eastAsia="es-ES"/>
        </w:rPr>
        <w:t>11 de diciembre de</w:t>
      </w:r>
      <w:r w:rsidRPr="00470C7C">
        <w:rPr>
          <w:rFonts w:eastAsia="Batang" w:cs="Times New Roman"/>
          <w:noProof/>
          <w:szCs w:val="20"/>
          <w:lang w:val="es-ES_tradnl" w:eastAsia="es-ES"/>
        </w:rPr>
        <w:t xml:space="preserve"> 2015</w:t>
      </w:r>
      <w:r w:rsidR="00A46292" w:rsidRPr="00470C7C">
        <w:rPr>
          <w:rStyle w:val="Refdenotaalpie"/>
          <w:rFonts w:eastAsia="Batang"/>
          <w:noProof/>
          <w:lang w:val="es-ES_tradnl" w:eastAsia="es-ES"/>
        </w:rPr>
        <w:footnoteReference w:id="6"/>
      </w:r>
      <w:r w:rsidR="006E5A83" w:rsidRPr="00470C7C">
        <w:rPr>
          <w:rFonts w:eastAsia="Batang" w:cs="Times New Roman"/>
          <w:noProof/>
          <w:szCs w:val="20"/>
          <w:lang w:val="es-ES_tradnl" w:eastAsia="es-ES"/>
        </w:rPr>
        <w:t xml:space="preserve"> y Resolución </w:t>
      </w:r>
      <w:r w:rsidR="00A46292" w:rsidRPr="00470C7C">
        <w:rPr>
          <w:rFonts w:eastAsia="Batang" w:cs="Times New Roman"/>
          <w:noProof/>
          <w:szCs w:val="20"/>
          <w:lang w:val="es-ES_tradnl" w:eastAsia="es-ES"/>
        </w:rPr>
        <w:t>de la Corte de 15 de febrero de 2016</w:t>
      </w:r>
      <w:r w:rsidR="00A46292" w:rsidRPr="00470C7C">
        <w:rPr>
          <w:rStyle w:val="Refdenotaalpie"/>
          <w:rFonts w:eastAsia="Batang"/>
          <w:noProof/>
          <w:lang w:val="es-ES_tradnl" w:eastAsia="es-ES"/>
        </w:rPr>
        <w:footnoteReference w:id="7"/>
      </w:r>
      <w:r w:rsidRPr="00470C7C">
        <w:rPr>
          <w:rFonts w:eastAsia="Batang" w:cs="Times New Roman"/>
          <w:noProof/>
          <w:szCs w:val="20"/>
          <w:lang w:val="es-ES_tradnl" w:eastAsia="es-ES"/>
        </w:rPr>
        <w:t xml:space="preserve">, se convocó a las partes y a la Comisión a una audiencia pública que fue celebrada el </w:t>
      </w:r>
      <w:r w:rsidR="000B4B4B" w:rsidRPr="00470C7C">
        <w:rPr>
          <w:rFonts w:eastAsia="Batang" w:cs="Times New Roman"/>
          <w:noProof/>
          <w:szCs w:val="20"/>
          <w:lang w:val="es-ES_tradnl" w:eastAsia="es-ES"/>
        </w:rPr>
        <w:t>18 y 19 de febrero</w:t>
      </w:r>
      <w:r w:rsidRPr="00470C7C">
        <w:rPr>
          <w:rFonts w:eastAsia="Batang" w:cs="Times New Roman"/>
          <w:noProof/>
          <w:szCs w:val="20"/>
          <w:lang w:val="es-ES_tradnl" w:eastAsia="es-ES"/>
        </w:rPr>
        <w:t xml:space="preserve"> </w:t>
      </w:r>
      <w:r w:rsidR="007B4B35" w:rsidRPr="00470C7C">
        <w:rPr>
          <w:rFonts w:eastAsia="Batang" w:cs="Times New Roman"/>
          <w:noProof/>
          <w:szCs w:val="20"/>
          <w:lang w:val="es-ES_tradnl" w:eastAsia="es-ES"/>
        </w:rPr>
        <w:t xml:space="preserve">de 2016, </w:t>
      </w:r>
      <w:r w:rsidRPr="00470C7C">
        <w:rPr>
          <w:rFonts w:eastAsia="Batang" w:cs="Times New Roman"/>
          <w:noProof/>
          <w:szCs w:val="20"/>
          <w:lang w:val="es-ES_tradnl" w:eastAsia="es-ES"/>
        </w:rPr>
        <w:t xml:space="preserve">durante el </w:t>
      </w:r>
      <w:r w:rsidR="000B4B4B" w:rsidRPr="00470C7C">
        <w:rPr>
          <w:rFonts w:eastAsia="Batang" w:cs="Verdana"/>
          <w:noProof/>
          <w:szCs w:val="20"/>
          <w:lang w:val="es-ES_tradnl" w:bidi="en-US"/>
        </w:rPr>
        <w:t>113º Período O</w:t>
      </w:r>
      <w:r w:rsidRPr="00470C7C">
        <w:rPr>
          <w:rFonts w:eastAsia="Batang" w:cs="Verdana"/>
          <w:noProof/>
          <w:szCs w:val="20"/>
          <w:lang w:val="es-ES_tradnl" w:bidi="en-US"/>
        </w:rPr>
        <w:t>rdinario de Sesiones de la Corte</w:t>
      </w:r>
      <w:r w:rsidRPr="00470C7C">
        <w:rPr>
          <w:rFonts w:eastAsia="Batang" w:cs="Times New Roman"/>
          <w:noProof/>
          <w:szCs w:val="20"/>
          <w:vertAlign w:val="superscript"/>
          <w:lang w:val="es-ES_tradnl"/>
        </w:rPr>
        <w:footnoteReference w:id="8"/>
      </w:r>
      <w:r w:rsidRPr="00470C7C">
        <w:rPr>
          <w:rFonts w:eastAsia="Batang" w:cs="Times New Roman"/>
          <w:noProof/>
          <w:szCs w:val="20"/>
          <w:lang w:val="es-ES_tradnl" w:eastAsia="es-ES"/>
        </w:rPr>
        <w:t xml:space="preserve">. En la audiencia se recibieron las declaraciones de </w:t>
      </w:r>
      <w:r w:rsidR="004C5B3B" w:rsidRPr="00470C7C">
        <w:rPr>
          <w:szCs w:val="20"/>
        </w:rPr>
        <w:t>dos testigos propuestos por los representantes y cuatro peritos propuestos por la Comisión, los representantes y el Estado</w:t>
      </w:r>
      <w:r w:rsidRPr="00470C7C">
        <w:rPr>
          <w:rFonts w:eastAsia="Batang" w:cs="Times New Roman"/>
          <w:noProof/>
          <w:szCs w:val="20"/>
          <w:lang w:val="es-ES_tradnl" w:eastAsia="es-ES"/>
        </w:rPr>
        <w:t xml:space="preserve">, así como las observaciones y alegatos finales orales de la Comisión, los representantes y el Estado, respectivamente. Asimismo, en </w:t>
      </w:r>
      <w:r w:rsidR="004C5B3B" w:rsidRPr="00470C7C">
        <w:rPr>
          <w:rFonts w:eastAsia="Batang" w:cs="Times New Roman"/>
          <w:noProof/>
          <w:szCs w:val="20"/>
          <w:lang w:val="es-ES_tradnl" w:eastAsia="es-ES"/>
        </w:rPr>
        <w:t xml:space="preserve">dichas </w:t>
      </w:r>
      <w:r w:rsidR="00EB1E46" w:rsidRPr="00470C7C">
        <w:rPr>
          <w:rFonts w:eastAsia="Batang" w:cs="Times New Roman"/>
          <w:noProof/>
          <w:szCs w:val="20"/>
          <w:lang w:val="es-ES_tradnl" w:eastAsia="es-ES"/>
        </w:rPr>
        <w:t>r</w:t>
      </w:r>
      <w:r w:rsidR="004C5B3B" w:rsidRPr="00470C7C">
        <w:rPr>
          <w:rFonts w:eastAsia="Batang" w:cs="Times New Roman"/>
          <w:noProof/>
          <w:szCs w:val="20"/>
          <w:lang w:val="es-ES_tradnl" w:eastAsia="es-ES"/>
        </w:rPr>
        <w:t>esoluciones</w:t>
      </w:r>
      <w:r w:rsidRPr="00470C7C">
        <w:rPr>
          <w:rFonts w:eastAsia="Batang" w:cs="Times New Roman"/>
          <w:noProof/>
          <w:szCs w:val="20"/>
          <w:lang w:val="es-ES_tradnl" w:eastAsia="es-ES"/>
        </w:rPr>
        <w:t xml:space="preserve"> se ordenó recibir </w:t>
      </w:r>
      <w:r w:rsidR="00D26428" w:rsidRPr="00470C7C">
        <w:rPr>
          <w:rFonts w:eastAsia="Batang" w:cs="Times New Roman"/>
          <w:noProof/>
          <w:szCs w:val="20"/>
          <w:lang w:val="es-ES_tradnl" w:eastAsia="es-ES"/>
        </w:rPr>
        <w:t xml:space="preserve">las </w:t>
      </w:r>
      <w:r w:rsidRPr="00470C7C">
        <w:rPr>
          <w:rFonts w:eastAsia="Batang" w:cs="Times New Roman"/>
          <w:noProof/>
          <w:szCs w:val="20"/>
          <w:lang w:val="es-ES_tradnl" w:eastAsia="es-ES"/>
        </w:rPr>
        <w:t>declaraciones rendidas ante fedatario público (</w:t>
      </w:r>
      <w:r w:rsidRPr="00470C7C">
        <w:rPr>
          <w:rFonts w:eastAsia="Batang" w:cs="Times New Roman"/>
          <w:i/>
          <w:noProof/>
          <w:szCs w:val="20"/>
          <w:lang w:val="es-ES_tradnl" w:eastAsia="es-ES"/>
        </w:rPr>
        <w:t>affidavit</w:t>
      </w:r>
      <w:r w:rsidRPr="00470C7C">
        <w:rPr>
          <w:rFonts w:eastAsia="Batang" w:cs="Times New Roman"/>
          <w:noProof/>
          <w:szCs w:val="20"/>
          <w:lang w:val="es-ES_tradnl" w:eastAsia="es-ES"/>
        </w:rPr>
        <w:t xml:space="preserve">) de </w:t>
      </w:r>
      <w:r w:rsidR="004C5B3B" w:rsidRPr="00470C7C">
        <w:rPr>
          <w:rFonts w:eastAsia="Batang" w:cs="Times New Roman"/>
          <w:noProof/>
          <w:szCs w:val="20"/>
          <w:lang w:val="es-ES_tradnl" w:eastAsia="es-ES"/>
        </w:rPr>
        <w:t>siete testigos y 10 peritos propuestos por los representantes y el Estado</w:t>
      </w:r>
      <w:r w:rsidRPr="00470C7C">
        <w:rPr>
          <w:rFonts w:eastAsia="Batang" w:cs="Times New Roman"/>
          <w:noProof/>
          <w:szCs w:val="20"/>
          <w:lang w:val="es-ES_tradnl" w:eastAsia="es-ES"/>
        </w:rPr>
        <w:t>.</w:t>
      </w:r>
      <w:r w:rsidR="004C5B3B" w:rsidRPr="00470C7C">
        <w:rPr>
          <w:rFonts w:eastAsia="Batang" w:cs="Times New Roman"/>
          <w:noProof/>
          <w:szCs w:val="20"/>
          <w:lang w:val="es-ES_tradnl" w:eastAsia="es-ES"/>
        </w:rPr>
        <w:t xml:space="preserve"> </w:t>
      </w:r>
    </w:p>
    <w:p w14:paraId="6FFEF8ED" w14:textId="77777777" w:rsidR="004C7778" w:rsidRPr="00470C7C" w:rsidRDefault="004C7778" w:rsidP="00140440">
      <w:pPr>
        <w:tabs>
          <w:tab w:val="clear" w:pos="4419"/>
          <w:tab w:val="clear" w:pos="8838"/>
          <w:tab w:val="left" w:pos="567"/>
          <w:tab w:val="left" w:pos="1134"/>
        </w:tabs>
        <w:jc w:val="both"/>
        <w:rPr>
          <w:rFonts w:eastAsia="Batang" w:cs="Arial"/>
          <w:noProof/>
          <w:szCs w:val="20"/>
          <w:lang w:val="es-ES_tradnl"/>
        </w:rPr>
      </w:pPr>
    </w:p>
    <w:p w14:paraId="23A07CAF" w14:textId="77777777" w:rsidR="001A317E" w:rsidRPr="00470C7C" w:rsidRDefault="00BA1ACF" w:rsidP="00140440">
      <w:pPr>
        <w:numPr>
          <w:ilvl w:val="0"/>
          <w:numId w:val="1"/>
        </w:numPr>
        <w:tabs>
          <w:tab w:val="clear" w:pos="4419"/>
          <w:tab w:val="clear" w:pos="8838"/>
          <w:tab w:val="left" w:pos="567"/>
          <w:tab w:val="left" w:pos="1134"/>
        </w:tabs>
        <w:jc w:val="both"/>
        <w:rPr>
          <w:rFonts w:eastAsia="Batang" w:cs="Arial"/>
          <w:noProof/>
          <w:szCs w:val="20"/>
        </w:rPr>
      </w:pPr>
      <w:r w:rsidRPr="00470C7C">
        <w:rPr>
          <w:rFonts w:eastAsia="Batang" w:cs="Times New Roman"/>
          <w:i/>
          <w:noProof/>
          <w:szCs w:val="20"/>
          <w:lang w:val="es-ES_tradnl"/>
        </w:rPr>
        <w:t xml:space="preserve">Amici </w:t>
      </w:r>
      <w:r w:rsidR="00952C89" w:rsidRPr="00470C7C">
        <w:rPr>
          <w:rFonts w:eastAsia="Batang" w:cs="Times New Roman"/>
          <w:i/>
          <w:noProof/>
          <w:szCs w:val="20"/>
          <w:lang w:val="es-ES_tradnl"/>
        </w:rPr>
        <w:t>c</w:t>
      </w:r>
      <w:r w:rsidRPr="00470C7C">
        <w:rPr>
          <w:rFonts w:eastAsia="Batang" w:cs="Times New Roman"/>
          <w:i/>
          <w:noProof/>
          <w:szCs w:val="20"/>
          <w:lang w:val="es-ES_tradnl"/>
        </w:rPr>
        <w:t>uriae.</w:t>
      </w:r>
      <w:r w:rsidRPr="00470C7C">
        <w:rPr>
          <w:rFonts w:eastAsia="Batang" w:cs="Arial"/>
          <w:i/>
          <w:noProof/>
          <w:szCs w:val="20"/>
          <w:lang w:val="es-ES_tradnl"/>
        </w:rPr>
        <w:t xml:space="preserve">- </w:t>
      </w:r>
      <w:r w:rsidRPr="00470C7C">
        <w:rPr>
          <w:rFonts w:eastAsia="Batang" w:cs="Arial"/>
          <w:noProof/>
          <w:szCs w:val="20"/>
          <w:lang w:val="es-ES_tradnl"/>
        </w:rPr>
        <w:t>E</w:t>
      </w:r>
      <w:r w:rsidRPr="00470C7C">
        <w:rPr>
          <w:rFonts w:eastAsia="Batang" w:cs="Times New Roman"/>
          <w:noProof/>
          <w:szCs w:val="20"/>
          <w:lang w:val="es-ES_tradnl"/>
        </w:rPr>
        <w:t xml:space="preserve">l Tribunal recibió </w:t>
      </w:r>
      <w:r w:rsidR="00170062" w:rsidRPr="00470C7C">
        <w:rPr>
          <w:rFonts w:eastAsia="Batang" w:cs="Times New Roman"/>
          <w:noProof/>
          <w:szCs w:val="20"/>
          <w:lang w:val="es-ES_tradnl"/>
        </w:rPr>
        <w:t>siete</w:t>
      </w:r>
      <w:r w:rsidRPr="00470C7C">
        <w:rPr>
          <w:rFonts w:eastAsia="Batang" w:cs="Times New Roman"/>
          <w:noProof/>
          <w:szCs w:val="20"/>
          <w:lang w:val="es-ES_tradnl"/>
        </w:rPr>
        <w:t xml:space="preserve"> escritos de </w:t>
      </w:r>
      <w:r w:rsidRPr="00470C7C">
        <w:rPr>
          <w:rFonts w:eastAsia="Batang" w:cs="Times New Roman"/>
          <w:i/>
          <w:noProof/>
          <w:szCs w:val="20"/>
          <w:lang w:val="es-ES_tradnl"/>
        </w:rPr>
        <w:t>amici curiae</w:t>
      </w:r>
      <w:r w:rsidR="00695EC7" w:rsidRPr="00470C7C">
        <w:rPr>
          <w:rStyle w:val="Refdenotaalpie"/>
          <w:rFonts w:eastAsia="Batang"/>
          <w:i/>
          <w:noProof/>
          <w:lang w:val="es-ES_tradnl"/>
        </w:rPr>
        <w:footnoteReference w:id="9"/>
      </w:r>
      <w:r w:rsidRPr="00470C7C">
        <w:rPr>
          <w:rFonts w:eastAsia="Batang" w:cs="Times New Roman"/>
          <w:noProof/>
          <w:szCs w:val="20"/>
          <w:lang w:val="es-ES_tradnl"/>
        </w:rPr>
        <w:t>, presentados por: 1)</w:t>
      </w:r>
      <w:r w:rsidR="002B787B" w:rsidRPr="00470C7C">
        <w:rPr>
          <w:rFonts w:eastAsia="Batang" w:cs="Times New Roman"/>
          <w:noProof/>
          <w:szCs w:val="20"/>
          <w:lang w:val="es-ES_tradnl"/>
        </w:rPr>
        <w:t xml:space="preserve"> </w:t>
      </w:r>
      <w:r w:rsidR="004C5B3B" w:rsidRPr="00470C7C">
        <w:rPr>
          <w:rFonts w:eastAsia="Batang" w:cs="Times New Roman"/>
          <w:noProof/>
          <w:szCs w:val="20"/>
          <w:lang w:val="es-ES_tradnl"/>
        </w:rPr>
        <w:t>la Clínica de Derechos Humanos de Amazonia</w:t>
      </w:r>
      <w:r w:rsidR="002B787B" w:rsidRPr="00470C7C">
        <w:rPr>
          <w:rFonts w:eastAsia="Batang" w:cs="Times New Roman"/>
          <w:noProof/>
          <w:szCs w:val="20"/>
          <w:lang w:val="es-ES_tradnl"/>
        </w:rPr>
        <w:t>, Universidad Federal de Pará</w:t>
      </w:r>
      <w:r w:rsidR="00C60214" w:rsidRPr="00470C7C">
        <w:rPr>
          <w:rStyle w:val="Refdenotaalpie"/>
          <w:rFonts w:eastAsia="Batang"/>
          <w:noProof/>
          <w:lang w:val="es-ES_tradnl"/>
        </w:rPr>
        <w:footnoteReference w:id="10"/>
      </w:r>
      <w:r w:rsidRPr="00470C7C">
        <w:rPr>
          <w:rFonts w:eastAsia="Batang" w:cs="Times New Roman"/>
          <w:noProof/>
          <w:szCs w:val="20"/>
          <w:lang w:val="es-ES_tradnl"/>
        </w:rPr>
        <w:t xml:space="preserve">; 2) </w:t>
      </w:r>
      <w:r w:rsidR="009871B4" w:rsidRPr="00470C7C">
        <w:rPr>
          <w:rFonts w:eastAsia="Batang" w:cs="Times New Roman"/>
          <w:noProof/>
          <w:szCs w:val="20"/>
          <w:lang w:val="es-ES_tradnl"/>
        </w:rPr>
        <w:t>el</w:t>
      </w:r>
      <w:r w:rsidR="006745A1" w:rsidRPr="00470C7C">
        <w:rPr>
          <w:rFonts w:eastAsia="Batang" w:cs="Times New Roman"/>
          <w:noProof/>
          <w:szCs w:val="20"/>
          <w:lang w:val="es-ES_tradnl"/>
        </w:rPr>
        <w:t xml:space="preserve"> </w:t>
      </w:r>
      <w:r w:rsidR="006745A1" w:rsidRPr="00470C7C">
        <w:rPr>
          <w:rFonts w:cs="Calibri"/>
          <w:szCs w:val="20"/>
        </w:rPr>
        <w:t>Instituto de Democracia y Derechos Humanos de la Pontificia Universidad Católica</w:t>
      </w:r>
      <w:r w:rsidR="009871B4" w:rsidRPr="00470C7C">
        <w:rPr>
          <w:rFonts w:cs="Calibri"/>
          <w:szCs w:val="20"/>
        </w:rPr>
        <w:t xml:space="preserve"> del Perú</w:t>
      </w:r>
      <w:r w:rsidR="009871B4" w:rsidRPr="00470C7C">
        <w:rPr>
          <w:rStyle w:val="Refdenotaalpie"/>
        </w:rPr>
        <w:footnoteReference w:id="11"/>
      </w:r>
      <w:r w:rsidR="006745A1" w:rsidRPr="00470C7C">
        <w:rPr>
          <w:rFonts w:cs="Calibri"/>
          <w:szCs w:val="20"/>
        </w:rPr>
        <w:t xml:space="preserve">; 3) </w:t>
      </w:r>
      <w:r w:rsidR="002B787B" w:rsidRPr="00470C7C">
        <w:rPr>
          <w:rFonts w:cs="Calibri"/>
          <w:szCs w:val="20"/>
        </w:rPr>
        <w:t xml:space="preserve">la International </w:t>
      </w:r>
      <w:proofErr w:type="spellStart"/>
      <w:r w:rsidR="002B787B" w:rsidRPr="00470C7C">
        <w:rPr>
          <w:rFonts w:cs="Calibri"/>
          <w:szCs w:val="20"/>
        </w:rPr>
        <w:t>Trade</w:t>
      </w:r>
      <w:proofErr w:type="spellEnd"/>
      <w:r w:rsidR="002B787B" w:rsidRPr="00470C7C">
        <w:rPr>
          <w:rFonts w:cs="Calibri"/>
          <w:szCs w:val="20"/>
        </w:rPr>
        <w:t xml:space="preserve"> </w:t>
      </w:r>
      <w:proofErr w:type="spellStart"/>
      <w:r w:rsidR="002B787B" w:rsidRPr="00470C7C">
        <w:rPr>
          <w:rFonts w:cs="Calibri"/>
          <w:szCs w:val="20"/>
        </w:rPr>
        <w:t>Union</w:t>
      </w:r>
      <w:proofErr w:type="spellEnd"/>
      <w:r w:rsidR="002B787B" w:rsidRPr="00470C7C">
        <w:rPr>
          <w:rFonts w:cs="Calibri"/>
          <w:szCs w:val="20"/>
        </w:rPr>
        <w:t xml:space="preserve"> </w:t>
      </w:r>
      <w:proofErr w:type="spellStart"/>
      <w:r w:rsidR="002B787B" w:rsidRPr="00470C7C">
        <w:rPr>
          <w:rFonts w:cs="Calibri"/>
          <w:szCs w:val="20"/>
        </w:rPr>
        <w:t>Confederation</w:t>
      </w:r>
      <w:proofErr w:type="spellEnd"/>
      <w:r w:rsidR="009871B4" w:rsidRPr="00470C7C">
        <w:rPr>
          <w:rStyle w:val="Refdenotaalpie"/>
        </w:rPr>
        <w:footnoteReference w:id="12"/>
      </w:r>
      <w:r w:rsidR="006745A1" w:rsidRPr="00470C7C">
        <w:rPr>
          <w:rFonts w:cs="18dgiyl"/>
          <w:szCs w:val="20"/>
        </w:rPr>
        <w:t xml:space="preserve">; 4) </w:t>
      </w:r>
      <w:r w:rsidR="002B787B" w:rsidRPr="00470C7C">
        <w:rPr>
          <w:rFonts w:cs="18dgiyl"/>
          <w:szCs w:val="20"/>
        </w:rPr>
        <w:t>la</w:t>
      </w:r>
      <w:r w:rsidR="006745A1" w:rsidRPr="00470C7C">
        <w:rPr>
          <w:rFonts w:cs="19efu"/>
          <w:szCs w:val="20"/>
        </w:rPr>
        <w:t xml:space="preserve"> Universidad del Norte</w:t>
      </w:r>
      <w:r w:rsidR="00523A5B" w:rsidRPr="00470C7C">
        <w:rPr>
          <w:rFonts w:cs="19efu"/>
          <w:szCs w:val="20"/>
        </w:rPr>
        <w:t xml:space="preserve"> de Colombia</w:t>
      </w:r>
      <w:r w:rsidR="00523A5B" w:rsidRPr="00470C7C">
        <w:rPr>
          <w:rStyle w:val="Refdenotaalpie"/>
        </w:rPr>
        <w:footnoteReference w:id="13"/>
      </w:r>
      <w:r w:rsidR="006745A1" w:rsidRPr="00470C7C">
        <w:rPr>
          <w:rFonts w:cs="19efu"/>
          <w:szCs w:val="20"/>
        </w:rPr>
        <w:t xml:space="preserve">; 5) la </w:t>
      </w:r>
      <w:r w:rsidR="002B787B" w:rsidRPr="00470C7C">
        <w:rPr>
          <w:rFonts w:cs="19efu"/>
          <w:szCs w:val="20"/>
        </w:rPr>
        <w:t>organización</w:t>
      </w:r>
      <w:r w:rsidR="006745A1" w:rsidRPr="00470C7C">
        <w:rPr>
          <w:rFonts w:cs="19efu"/>
          <w:szCs w:val="20"/>
        </w:rPr>
        <w:t xml:space="preserve"> Human </w:t>
      </w:r>
      <w:proofErr w:type="spellStart"/>
      <w:r w:rsidR="006745A1" w:rsidRPr="00470C7C">
        <w:rPr>
          <w:rFonts w:cs="19efu"/>
          <w:szCs w:val="20"/>
        </w:rPr>
        <w:t>Rights</w:t>
      </w:r>
      <w:proofErr w:type="spellEnd"/>
      <w:r w:rsidR="006745A1" w:rsidRPr="00470C7C">
        <w:rPr>
          <w:rFonts w:cs="19efu"/>
          <w:szCs w:val="20"/>
        </w:rPr>
        <w:t xml:space="preserve"> in </w:t>
      </w:r>
      <w:proofErr w:type="spellStart"/>
      <w:r w:rsidR="006745A1" w:rsidRPr="00470C7C">
        <w:rPr>
          <w:rFonts w:cs="19efu"/>
          <w:szCs w:val="20"/>
        </w:rPr>
        <w:t>Practice</w:t>
      </w:r>
      <w:proofErr w:type="spellEnd"/>
      <w:r w:rsidR="00523A5B" w:rsidRPr="00470C7C">
        <w:rPr>
          <w:rStyle w:val="Refdenotaalpie"/>
        </w:rPr>
        <w:footnoteReference w:id="14"/>
      </w:r>
      <w:r w:rsidR="006745A1" w:rsidRPr="00470C7C">
        <w:rPr>
          <w:rFonts w:cs="19efu"/>
          <w:szCs w:val="20"/>
        </w:rPr>
        <w:t xml:space="preserve">; 6) </w:t>
      </w:r>
      <w:r w:rsidR="001A22AC" w:rsidRPr="00470C7C">
        <w:rPr>
          <w:rFonts w:cs="19efu"/>
          <w:szCs w:val="20"/>
        </w:rPr>
        <w:t xml:space="preserve">Tara </w:t>
      </w:r>
      <w:proofErr w:type="spellStart"/>
      <w:r w:rsidR="001A22AC" w:rsidRPr="00470C7C">
        <w:rPr>
          <w:rFonts w:cs="19efu"/>
          <w:szCs w:val="20"/>
        </w:rPr>
        <w:t>Melish</w:t>
      </w:r>
      <w:proofErr w:type="spellEnd"/>
      <w:r w:rsidR="002B787B" w:rsidRPr="00470C7C">
        <w:rPr>
          <w:rFonts w:cs="19efu"/>
          <w:szCs w:val="20"/>
        </w:rPr>
        <w:t xml:space="preserve">, </w:t>
      </w:r>
      <w:r w:rsidR="00523A5B" w:rsidRPr="00470C7C">
        <w:rPr>
          <w:rFonts w:cs="19efu"/>
          <w:szCs w:val="20"/>
        </w:rPr>
        <w:t>profesora Asociada de la</w:t>
      </w:r>
      <w:r w:rsidR="002B787B" w:rsidRPr="00470C7C">
        <w:rPr>
          <w:rFonts w:cs="19efu"/>
          <w:szCs w:val="20"/>
        </w:rPr>
        <w:t xml:space="preserve"> </w:t>
      </w:r>
      <w:proofErr w:type="spellStart"/>
      <w:r w:rsidR="002B787B" w:rsidRPr="00470C7C">
        <w:rPr>
          <w:rFonts w:cs="19efu"/>
          <w:szCs w:val="20"/>
        </w:rPr>
        <w:t>State</w:t>
      </w:r>
      <w:proofErr w:type="spellEnd"/>
      <w:r w:rsidR="002B787B" w:rsidRPr="00470C7C">
        <w:rPr>
          <w:rFonts w:cs="19efu"/>
          <w:szCs w:val="20"/>
        </w:rPr>
        <w:t xml:space="preserve"> </w:t>
      </w:r>
      <w:proofErr w:type="spellStart"/>
      <w:r w:rsidR="002B787B" w:rsidRPr="00470C7C">
        <w:rPr>
          <w:rFonts w:cs="19efu"/>
          <w:szCs w:val="20"/>
        </w:rPr>
        <w:t>University</w:t>
      </w:r>
      <w:proofErr w:type="spellEnd"/>
      <w:r w:rsidR="002B787B" w:rsidRPr="00470C7C">
        <w:rPr>
          <w:rFonts w:cs="19efu"/>
          <w:szCs w:val="20"/>
        </w:rPr>
        <w:t xml:space="preserve"> </w:t>
      </w:r>
      <w:proofErr w:type="spellStart"/>
      <w:r w:rsidR="002B787B" w:rsidRPr="00470C7C">
        <w:rPr>
          <w:rFonts w:cs="19efu"/>
          <w:szCs w:val="20"/>
        </w:rPr>
        <w:t>of</w:t>
      </w:r>
      <w:proofErr w:type="spellEnd"/>
      <w:r w:rsidR="002B787B" w:rsidRPr="00470C7C">
        <w:rPr>
          <w:rFonts w:cs="19efu"/>
          <w:szCs w:val="20"/>
        </w:rPr>
        <w:t xml:space="preserve"> New York</w:t>
      </w:r>
      <w:r w:rsidR="001A22AC" w:rsidRPr="00470C7C">
        <w:rPr>
          <w:rFonts w:cs="19efu"/>
          <w:szCs w:val="20"/>
        </w:rPr>
        <w:t xml:space="preserve">, y 7) </w:t>
      </w:r>
      <w:r w:rsidR="00523A5B" w:rsidRPr="00470C7C">
        <w:rPr>
          <w:rFonts w:cs="19efu"/>
          <w:szCs w:val="20"/>
        </w:rPr>
        <w:t>el</w:t>
      </w:r>
      <w:r w:rsidR="001A22AC" w:rsidRPr="00470C7C">
        <w:rPr>
          <w:rFonts w:cs="Calibri"/>
          <w:szCs w:val="20"/>
        </w:rPr>
        <w:t xml:space="preserve"> Business and Human </w:t>
      </w:r>
      <w:proofErr w:type="spellStart"/>
      <w:r w:rsidR="001A22AC" w:rsidRPr="00470C7C">
        <w:rPr>
          <w:rFonts w:cs="Calibri"/>
          <w:szCs w:val="20"/>
        </w:rPr>
        <w:t>Rights</w:t>
      </w:r>
      <w:proofErr w:type="spellEnd"/>
      <w:r w:rsidR="001A22AC" w:rsidRPr="00470C7C">
        <w:rPr>
          <w:rFonts w:cs="Calibri"/>
          <w:szCs w:val="20"/>
        </w:rPr>
        <w:t xml:space="preserve"> Project de la </w:t>
      </w:r>
      <w:proofErr w:type="spellStart"/>
      <w:r w:rsidR="00C84B6A" w:rsidRPr="00470C7C">
        <w:rPr>
          <w:rFonts w:cs="Calibri"/>
          <w:szCs w:val="20"/>
        </w:rPr>
        <w:t>University</w:t>
      </w:r>
      <w:proofErr w:type="spellEnd"/>
      <w:r w:rsidR="00C84B6A" w:rsidRPr="00470C7C">
        <w:rPr>
          <w:rFonts w:cs="Calibri"/>
          <w:szCs w:val="20"/>
        </w:rPr>
        <w:t xml:space="preserve"> </w:t>
      </w:r>
      <w:proofErr w:type="spellStart"/>
      <w:r w:rsidR="00C84B6A" w:rsidRPr="00470C7C">
        <w:rPr>
          <w:rFonts w:cs="Calibri"/>
          <w:szCs w:val="20"/>
        </w:rPr>
        <w:t>of</w:t>
      </w:r>
      <w:proofErr w:type="spellEnd"/>
      <w:r w:rsidR="00D26428" w:rsidRPr="00470C7C">
        <w:rPr>
          <w:rFonts w:cs="Calibri"/>
          <w:szCs w:val="20"/>
        </w:rPr>
        <w:t xml:space="preserve"> Essex</w:t>
      </w:r>
      <w:r w:rsidR="00523A5B" w:rsidRPr="00470C7C">
        <w:rPr>
          <w:rStyle w:val="Refdenotaalpie"/>
        </w:rPr>
        <w:footnoteReference w:id="15"/>
      </w:r>
      <w:r w:rsidR="00D26428" w:rsidRPr="00470C7C">
        <w:rPr>
          <w:rFonts w:cs="Calibri"/>
          <w:szCs w:val="20"/>
        </w:rPr>
        <w:t xml:space="preserve">. </w:t>
      </w:r>
    </w:p>
    <w:p w14:paraId="5EDBFE4B" w14:textId="77777777" w:rsidR="001A317E" w:rsidRPr="00470C7C" w:rsidRDefault="001A317E" w:rsidP="00140440">
      <w:pPr>
        <w:pStyle w:val="Prrafodelista"/>
        <w:contextualSpacing w:val="0"/>
        <w:rPr>
          <w:szCs w:val="20"/>
        </w:rPr>
      </w:pPr>
    </w:p>
    <w:p w14:paraId="38B77058" w14:textId="77777777" w:rsidR="00303488" w:rsidRPr="00470C7C" w:rsidRDefault="001A22AC" w:rsidP="00140440">
      <w:pPr>
        <w:numPr>
          <w:ilvl w:val="0"/>
          <w:numId w:val="1"/>
        </w:numPr>
        <w:tabs>
          <w:tab w:val="clear" w:pos="4419"/>
          <w:tab w:val="clear" w:pos="8838"/>
          <w:tab w:val="left" w:pos="567"/>
          <w:tab w:val="left" w:pos="1134"/>
        </w:tabs>
        <w:jc w:val="both"/>
        <w:rPr>
          <w:rFonts w:eastAsia="Batang" w:cs="Arial"/>
          <w:noProof/>
          <w:szCs w:val="20"/>
        </w:rPr>
      </w:pPr>
      <w:r w:rsidRPr="00470C7C">
        <w:rPr>
          <w:i/>
          <w:szCs w:val="20"/>
        </w:rPr>
        <w:t>Diligencia in situ.</w:t>
      </w:r>
      <w:r w:rsidRPr="00470C7C">
        <w:rPr>
          <w:szCs w:val="20"/>
        </w:rPr>
        <w:t xml:space="preserve"> – Mediante </w:t>
      </w:r>
      <w:r w:rsidR="001A317E" w:rsidRPr="00470C7C">
        <w:rPr>
          <w:szCs w:val="20"/>
        </w:rPr>
        <w:t>Resolución del Presidente en ejercicio de 23 de febrero de 2016</w:t>
      </w:r>
      <w:r w:rsidR="007B4B35" w:rsidRPr="00470C7C">
        <w:rPr>
          <w:rStyle w:val="Refdenotaalpie"/>
        </w:rPr>
        <w:footnoteReference w:id="16"/>
      </w:r>
      <w:r w:rsidR="001A317E" w:rsidRPr="00470C7C">
        <w:rPr>
          <w:szCs w:val="20"/>
        </w:rPr>
        <w:t xml:space="preserve">, en virtud de los hechos controvertidos objeto del litigio y teniendo en cuenta la necesidad de obtención de pruebas específicas para resolver la controversia, se </w:t>
      </w:r>
      <w:r w:rsidR="00D26428" w:rsidRPr="00470C7C">
        <w:rPr>
          <w:szCs w:val="20"/>
        </w:rPr>
        <w:t>acordó</w:t>
      </w:r>
      <w:r w:rsidR="001A317E" w:rsidRPr="00470C7C">
        <w:rPr>
          <w:szCs w:val="20"/>
        </w:rPr>
        <w:t xml:space="preserve"> realizar, </w:t>
      </w:r>
      <w:r w:rsidR="00416610" w:rsidRPr="00470C7C">
        <w:rPr>
          <w:szCs w:val="20"/>
        </w:rPr>
        <w:t xml:space="preserve">de conformidad con lo decidido por la Corte en pleno y </w:t>
      </w:r>
      <w:r w:rsidR="001A317E" w:rsidRPr="00470C7C">
        <w:rPr>
          <w:szCs w:val="20"/>
        </w:rPr>
        <w:t xml:space="preserve">en aplicación del artículo 58.a) y 58.d) del Reglamento, una diligencia </w:t>
      </w:r>
      <w:r w:rsidR="001A317E" w:rsidRPr="00470C7C">
        <w:rPr>
          <w:i/>
          <w:szCs w:val="20"/>
        </w:rPr>
        <w:t>in situ</w:t>
      </w:r>
      <w:r w:rsidR="001A317E" w:rsidRPr="00470C7C">
        <w:rPr>
          <w:szCs w:val="20"/>
        </w:rPr>
        <w:t xml:space="preserve"> a la </w:t>
      </w:r>
      <w:r w:rsidR="00303488" w:rsidRPr="00470C7C">
        <w:rPr>
          <w:szCs w:val="20"/>
        </w:rPr>
        <w:t>República Federativa de Brasil</w:t>
      </w:r>
      <w:r w:rsidR="001A317E" w:rsidRPr="00470C7C">
        <w:rPr>
          <w:szCs w:val="20"/>
        </w:rPr>
        <w:t xml:space="preserve">. </w:t>
      </w:r>
      <w:r w:rsidRPr="00470C7C">
        <w:rPr>
          <w:szCs w:val="20"/>
        </w:rPr>
        <w:t xml:space="preserve">Entre los días </w:t>
      </w:r>
      <w:r w:rsidR="00303488" w:rsidRPr="00470C7C">
        <w:rPr>
          <w:szCs w:val="20"/>
        </w:rPr>
        <w:t>6 y 7 de junio de 2016</w:t>
      </w:r>
      <w:r w:rsidRPr="00470C7C">
        <w:rPr>
          <w:szCs w:val="20"/>
        </w:rPr>
        <w:t xml:space="preserve"> una delegación del Tribunal</w:t>
      </w:r>
      <w:r w:rsidR="00750080" w:rsidRPr="00470C7C">
        <w:rPr>
          <w:rStyle w:val="Refdenotaalpie"/>
        </w:rPr>
        <w:footnoteReference w:id="17"/>
      </w:r>
      <w:r w:rsidRPr="00470C7C">
        <w:rPr>
          <w:szCs w:val="20"/>
        </w:rPr>
        <w:t xml:space="preserve"> llevó a cabo una diligencia </w:t>
      </w:r>
      <w:r w:rsidRPr="00470C7C">
        <w:rPr>
          <w:i/>
          <w:szCs w:val="20"/>
        </w:rPr>
        <w:t>in situ</w:t>
      </w:r>
      <w:r w:rsidRPr="00470C7C">
        <w:rPr>
          <w:szCs w:val="20"/>
        </w:rPr>
        <w:t xml:space="preserve"> </w:t>
      </w:r>
      <w:r w:rsidRPr="00470C7C">
        <w:rPr>
          <w:rFonts w:eastAsia="Times New Roman"/>
          <w:szCs w:val="20"/>
        </w:rPr>
        <w:t xml:space="preserve">con el objetivo de </w:t>
      </w:r>
      <w:r w:rsidR="00773F1A" w:rsidRPr="00470C7C">
        <w:rPr>
          <w:szCs w:val="20"/>
        </w:rPr>
        <w:t>recibir</w:t>
      </w:r>
      <w:r w:rsidR="00303488" w:rsidRPr="00470C7C">
        <w:rPr>
          <w:szCs w:val="20"/>
        </w:rPr>
        <w:t xml:space="preserve"> </w:t>
      </w:r>
      <w:r w:rsidR="00773F1A" w:rsidRPr="00470C7C">
        <w:rPr>
          <w:szCs w:val="20"/>
        </w:rPr>
        <w:t xml:space="preserve">las </w:t>
      </w:r>
      <w:r w:rsidR="00303488" w:rsidRPr="00470C7C">
        <w:rPr>
          <w:szCs w:val="20"/>
        </w:rPr>
        <w:t xml:space="preserve">declaraciones de </w:t>
      </w:r>
      <w:r w:rsidR="00773F1A" w:rsidRPr="00470C7C">
        <w:rPr>
          <w:szCs w:val="20"/>
        </w:rPr>
        <w:t>cinco</w:t>
      </w:r>
      <w:r w:rsidR="00303488" w:rsidRPr="00470C7C">
        <w:rPr>
          <w:szCs w:val="20"/>
        </w:rPr>
        <w:t xml:space="preserve"> presuntas víctimas del presente caso</w:t>
      </w:r>
      <w:r w:rsidR="00416610" w:rsidRPr="00470C7C">
        <w:rPr>
          <w:szCs w:val="20"/>
        </w:rPr>
        <w:t xml:space="preserve"> y</w:t>
      </w:r>
      <w:r w:rsidR="00303488" w:rsidRPr="00470C7C">
        <w:rPr>
          <w:szCs w:val="20"/>
        </w:rPr>
        <w:t xml:space="preserve"> </w:t>
      </w:r>
      <w:r w:rsidR="00773F1A" w:rsidRPr="00470C7C">
        <w:rPr>
          <w:szCs w:val="20"/>
        </w:rPr>
        <w:t xml:space="preserve">recibir las declaraciones </w:t>
      </w:r>
      <w:r w:rsidR="00CB6001" w:rsidRPr="00470C7C">
        <w:rPr>
          <w:szCs w:val="20"/>
        </w:rPr>
        <w:t>a título informativo</w:t>
      </w:r>
      <w:r w:rsidR="00773F1A" w:rsidRPr="00470C7C">
        <w:rPr>
          <w:szCs w:val="20"/>
        </w:rPr>
        <w:t xml:space="preserve"> de cinco funcionarios estatales </w:t>
      </w:r>
      <w:r w:rsidR="00303488" w:rsidRPr="00470C7C">
        <w:rPr>
          <w:szCs w:val="20"/>
        </w:rPr>
        <w:t>responsables del combate a la esclavitud</w:t>
      </w:r>
      <w:r w:rsidR="00773F1A" w:rsidRPr="00470C7C">
        <w:rPr>
          <w:szCs w:val="20"/>
        </w:rPr>
        <w:t xml:space="preserve"> en Brasil</w:t>
      </w:r>
      <w:r w:rsidRPr="00470C7C">
        <w:rPr>
          <w:szCs w:val="20"/>
        </w:rPr>
        <w:t xml:space="preserve">. </w:t>
      </w:r>
    </w:p>
    <w:p w14:paraId="705DA56D" w14:textId="77777777" w:rsidR="006745A1" w:rsidRPr="00470C7C" w:rsidRDefault="006745A1" w:rsidP="00140440">
      <w:pPr>
        <w:tabs>
          <w:tab w:val="clear" w:pos="4419"/>
          <w:tab w:val="clear" w:pos="8838"/>
          <w:tab w:val="left" w:pos="567"/>
          <w:tab w:val="left" w:pos="1134"/>
        </w:tabs>
        <w:jc w:val="both"/>
        <w:rPr>
          <w:rFonts w:eastAsia="Batang" w:cs="Arial"/>
          <w:noProof/>
          <w:szCs w:val="20"/>
        </w:rPr>
      </w:pPr>
    </w:p>
    <w:p w14:paraId="53A02F0C"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Verdana"/>
          <w:i/>
          <w:noProof/>
          <w:szCs w:val="20"/>
          <w:lang w:val="es-ES_tradnl" w:eastAsia="es-ES"/>
        </w:rPr>
      </w:pPr>
      <w:r w:rsidRPr="00470C7C">
        <w:rPr>
          <w:rFonts w:eastAsia="Batang" w:cs="Arial"/>
          <w:i/>
          <w:noProof/>
          <w:szCs w:val="20"/>
          <w:lang w:val="es-ES_tradnl" w:eastAsia="es-ES"/>
        </w:rPr>
        <w:t>A</w:t>
      </w:r>
      <w:r w:rsidRPr="00470C7C">
        <w:rPr>
          <w:rFonts w:eastAsia="Batang" w:cs="Verdana"/>
          <w:i/>
          <w:noProof/>
          <w:szCs w:val="20"/>
          <w:lang w:val="es-ES_tradnl" w:eastAsia="es-ES"/>
        </w:rPr>
        <w:t>legatos y observaciones finales escritos.</w:t>
      </w:r>
      <w:r w:rsidRPr="00470C7C">
        <w:rPr>
          <w:rFonts w:eastAsia="Batang" w:cs="Verdana"/>
          <w:noProof/>
          <w:szCs w:val="20"/>
          <w:lang w:val="es-ES_tradnl" w:eastAsia="es-ES"/>
        </w:rPr>
        <w:t xml:space="preserve"> – </w:t>
      </w:r>
      <w:bookmarkStart w:id="22" w:name="_Ref313990861"/>
      <w:r w:rsidRPr="00470C7C">
        <w:rPr>
          <w:rFonts w:eastAsia="Batang" w:cs="Verdana"/>
          <w:noProof/>
          <w:szCs w:val="20"/>
          <w:lang w:val="es-ES_tradnl" w:eastAsia="es-ES"/>
        </w:rPr>
        <w:t xml:space="preserve">El </w:t>
      </w:r>
      <w:r w:rsidR="00480CED" w:rsidRPr="00470C7C">
        <w:rPr>
          <w:rFonts w:eastAsia="Batang" w:cs="Verdana"/>
          <w:noProof/>
          <w:szCs w:val="20"/>
          <w:lang w:val="es-ES_tradnl" w:eastAsia="es-ES"/>
        </w:rPr>
        <w:t>28 de junio de 2016</w:t>
      </w:r>
      <w:r w:rsidRPr="00470C7C">
        <w:rPr>
          <w:rFonts w:eastAsia="Batang" w:cs="Verdana"/>
          <w:noProof/>
          <w:szCs w:val="20"/>
          <w:lang w:val="es-ES_tradnl" w:eastAsia="es-ES"/>
        </w:rPr>
        <w:t xml:space="preserve"> los representantes y el Estado presentaron sus respectivos alegatos finales escritos y la Comisión Interamericana remitió sus observaciones finales escritas</w:t>
      </w:r>
      <w:r w:rsidR="00480CED" w:rsidRPr="00470C7C">
        <w:rPr>
          <w:rFonts w:eastAsia="Batang" w:cs="Verdana"/>
          <w:noProof/>
          <w:szCs w:val="20"/>
          <w:lang w:val="es-ES_tradnl" w:eastAsia="es-ES"/>
        </w:rPr>
        <w:t xml:space="preserve">. </w:t>
      </w:r>
    </w:p>
    <w:p w14:paraId="4339C14A" w14:textId="77777777" w:rsidR="0023110E" w:rsidRPr="00470C7C" w:rsidRDefault="0023110E" w:rsidP="0023110E">
      <w:pPr>
        <w:pStyle w:val="Prrafodelista"/>
        <w:rPr>
          <w:rFonts w:eastAsia="Batang" w:cs="Verdana"/>
          <w:i/>
          <w:noProof/>
          <w:szCs w:val="20"/>
          <w:lang w:val="es-ES_tradnl" w:eastAsia="es-ES"/>
        </w:rPr>
      </w:pPr>
    </w:p>
    <w:p w14:paraId="19B91D3C" w14:textId="77777777" w:rsidR="0023110E" w:rsidRPr="00470C7C" w:rsidRDefault="0023110E" w:rsidP="0023110E">
      <w:pPr>
        <w:pStyle w:val="Prrafodelista"/>
        <w:widowControl w:val="0"/>
        <w:numPr>
          <w:ilvl w:val="0"/>
          <w:numId w:val="1"/>
        </w:numPr>
        <w:tabs>
          <w:tab w:val="left" w:pos="567"/>
        </w:tabs>
        <w:autoSpaceDE w:val="0"/>
        <w:autoSpaceDN w:val="0"/>
        <w:adjustRightInd w:val="0"/>
        <w:rPr>
          <w:rFonts w:eastAsia="Calibri" w:cs="Verdana"/>
          <w:snapToGrid w:val="0"/>
          <w:szCs w:val="20"/>
          <w:lang w:val="es-ES" w:eastAsia="es-ES"/>
        </w:rPr>
      </w:pPr>
      <w:r w:rsidRPr="00470C7C">
        <w:rPr>
          <w:rFonts w:eastAsia="Calibri" w:cs="Verdana"/>
          <w:i/>
          <w:snapToGrid w:val="0"/>
          <w:szCs w:val="20"/>
          <w:lang w:val="es-ES" w:eastAsia="es-ES"/>
        </w:rPr>
        <w:t xml:space="preserve">Observaciones de las partes y la Comisión. – </w:t>
      </w:r>
      <w:r w:rsidRPr="00470C7C">
        <w:rPr>
          <w:rFonts w:eastAsia="Calibri" w:cs="Verdana"/>
          <w:snapToGrid w:val="0"/>
          <w:szCs w:val="20"/>
          <w:lang w:val="es-ES" w:eastAsia="es-ES"/>
        </w:rPr>
        <w:t xml:space="preserve">El Presidente en ejercicio otorgó un plazo a las partes y a la Comisión para que presentaran las observaciones que estimaran pertinentes a los anexos remitidos por el Estado y los representantes junto con sus alegatos finales escritos. </w:t>
      </w:r>
      <w:bookmarkStart w:id="23" w:name="_Ref303582878"/>
      <w:r w:rsidRPr="00470C7C">
        <w:rPr>
          <w:rFonts w:eastAsia="Calibri" w:cs="Verdana"/>
          <w:snapToGrid w:val="0"/>
          <w:szCs w:val="20"/>
          <w:lang w:val="es-ES" w:eastAsia="es-ES"/>
        </w:rPr>
        <w:t>El 5 y 6 de agosto, el Estado y la Comisión, respectivamente, remitieron las observaciones solicitadas.</w:t>
      </w:r>
      <w:bookmarkEnd w:id="23"/>
      <w:r w:rsidRPr="00470C7C">
        <w:rPr>
          <w:rFonts w:eastAsia="Calibri" w:cs="Verdana"/>
          <w:snapToGrid w:val="0"/>
          <w:szCs w:val="20"/>
          <w:lang w:val="es-ES" w:eastAsia="es-ES"/>
        </w:rPr>
        <w:t xml:space="preserve"> Los representantes no remitieron observaciones </w:t>
      </w:r>
      <w:r w:rsidRPr="00470C7C">
        <w:rPr>
          <w:color w:val="000000"/>
          <w:lang w:val="es-ES"/>
        </w:rPr>
        <w:t>en el plazo otorgado a tal efecto</w:t>
      </w:r>
      <w:r w:rsidRPr="00470C7C">
        <w:rPr>
          <w:rFonts w:eastAsia="Calibri" w:cs="Verdana"/>
          <w:snapToGrid w:val="0"/>
          <w:szCs w:val="20"/>
          <w:lang w:val="es-ES" w:eastAsia="es-ES"/>
        </w:rPr>
        <w:t>.</w:t>
      </w:r>
    </w:p>
    <w:p w14:paraId="6DA3491B" w14:textId="77777777" w:rsidR="004C7778" w:rsidRPr="00470C7C" w:rsidRDefault="004C7778" w:rsidP="00140440">
      <w:pPr>
        <w:tabs>
          <w:tab w:val="clear" w:pos="4419"/>
          <w:tab w:val="clear" w:pos="8838"/>
          <w:tab w:val="left" w:pos="567"/>
          <w:tab w:val="left" w:pos="1134"/>
        </w:tabs>
        <w:jc w:val="both"/>
        <w:rPr>
          <w:rFonts w:eastAsia="Batang" w:cs="Verdana"/>
          <w:i/>
          <w:noProof/>
          <w:szCs w:val="20"/>
          <w:lang w:val="es-ES_tradnl" w:eastAsia="es-ES"/>
        </w:rPr>
      </w:pPr>
    </w:p>
    <w:bookmarkEnd w:id="22"/>
    <w:p w14:paraId="2C38877F" w14:textId="77777777" w:rsidR="00BA1ACF" w:rsidRPr="00470C7C" w:rsidRDefault="00BA1ACF" w:rsidP="00140440">
      <w:pPr>
        <w:numPr>
          <w:ilvl w:val="0"/>
          <w:numId w:val="1"/>
        </w:numPr>
        <w:tabs>
          <w:tab w:val="clear" w:pos="4419"/>
          <w:tab w:val="clear" w:pos="8838"/>
          <w:tab w:val="left" w:pos="567"/>
          <w:tab w:val="left" w:pos="1134"/>
        </w:tabs>
        <w:jc w:val="both"/>
        <w:rPr>
          <w:rFonts w:eastAsia="Batang" w:cs="Verdana"/>
          <w:noProof/>
          <w:szCs w:val="20"/>
          <w:lang w:val="es-ES_tradnl" w:eastAsia="es-ES"/>
        </w:rPr>
      </w:pPr>
      <w:r w:rsidRPr="00470C7C">
        <w:rPr>
          <w:rFonts w:eastAsia="Batang" w:cs="Times New Roman"/>
          <w:i/>
          <w:noProof/>
          <w:szCs w:val="24"/>
          <w:lang w:val="es-ES_tradnl" w:eastAsia="es-CR"/>
        </w:rPr>
        <w:t xml:space="preserve">Deliberación del presente caso. - </w:t>
      </w:r>
      <w:r w:rsidRPr="00470C7C">
        <w:rPr>
          <w:rFonts w:eastAsia="Batang" w:cs="Times New Roman"/>
          <w:noProof/>
          <w:szCs w:val="24"/>
          <w:lang w:val="es-ES_tradnl" w:eastAsia="es-CR"/>
        </w:rPr>
        <w:t xml:space="preserve">La Corte inició la deliberación de la presente Sentencia el </w:t>
      </w:r>
      <w:r w:rsidR="00A056D4" w:rsidRPr="00470C7C">
        <w:rPr>
          <w:rFonts w:eastAsia="Batang" w:cs="Times New Roman"/>
          <w:noProof/>
          <w:szCs w:val="24"/>
          <w:lang w:val="es-ES_tradnl" w:eastAsia="es-CR"/>
        </w:rPr>
        <w:t>18</w:t>
      </w:r>
      <w:r w:rsidR="007658C9" w:rsidRPr="00470C7C">
        <w:rPr>
          <w:rFonts w:eastAsia="Batang" w:cs="Times New Roman"/>
          <w:noProof/>
          <w:szCs w:val="24"/>
          <w:lang w:val="es-ES_tradnl" w:eastAsia="es-CR"/>
        </w:rPr>
        <w:t xml:space="preserve"> </w:t>
      </w:r>
      <w:r w:rsidR="00416610" w:rsidRPr="00470C7C">
        <w:rPr>
          <w:rFonts w:eastAsia="Batang" w:cs="Times New Roman"/>
          <w:noProof/>
          <w:szCs w:val="24"/>
          <w:lang w:val="es-ES_tradnl" w:eastAsia="es-CR"/>
        </w:rPr>
        <w:t>de octubre de 2016</w:t>
      </w:r>
      <w:r w:rsidRPr="00470C7C">
        <w:rPr>
          <w:rFonts w:eastAsia="Batang" w:cs="Times New Roman"/>
          <w:noProof/>
          <w:szCs w:val="24"/>
          <w:lang w:val="es-ES_tradnl" w:eastAsia="es-CR"/>
        </w:rPr>
        <w:t>.</w:t>
      </w:r>
    </w:p>
    <w:p w14:paraId="0FB2E230" w14:textId="77777777" w:rsidR="00BA1ACF" w:rsidRPr="00470C7C"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s-ES_tradnl" w:eastAsia="es-ES"/>
        </w:rPr>
      </w:pPr>
    </w:p>
    <w:p w14:paraId="5C9C171D" w14:textId="77777777" w:rsidR="00BA1ACF" w:rsidRPr="00470C7C" w:rsidRDefault="00BA1ACF" w:rsidP="00140440">
      <w:pPr>
        <w:keepNext/>
        <w:keepLines/>
        <w:tabs>
          <w:tab w:val="clear" w:pos="4419"/>
          <w:tab w:val="clear" w:pos="8838"/>
        </w:tabs>
        <w:jc w:val="center"/>
        <w:outlineLvl w:val="0"/>
        <w:rPr>
          <w:rFonts w:eastAsia="Times New Roman" w:cs="Verdana"/>
          <w:b/>
          <w:bCs/>
          <w:snapToGrid w:val="0"/>
          <w:szCs w:val="20"/>
          <w:lang w:eastAsia="es-ES"/>
        </w:rPr>
      </w:pPr>
      <w:bookmarkStart w:id="24" w:name="_Toc404770056"/>
      <w:bookmarkStart w:id="25" w:name="_Toc416164786"/>
      <w:bookmarkStart w:id="26" w:name="_Toc464813886"/>
      <w:bookmarkStart w:id="27" w:name="_Toc315133576"/>
      <w:bookmarkStart w:id="28" w:name="_Toc316919761"/>
      <w:bookmarkStart w:id="29" w:name="_Toc329703866"/>
      <w:bookmarkStart w:id="30" w:name="_Toc336638903"/>
      <w:bookmarkStart w:id="31" w:name="_Toc359314423"/>
      <w:bookmarkStart w:id="32" w:name="_Toc361671573"/>
      <w:bookmarkStart w:id="33" w:name="_Toc361671993"/>
      <w:bookmarkStart w:id="34" w:name="_Toc361732790"/>
      <w:bookmarkStart w:id="35" w:name="_Toc361732833"/>
      <w:bookmarkStart w:id="36" w:name="_Toc362456864"/>
      <w:bookmarkStart w:id="37" w:name="_Toc365021393"/>
      <w:bookmarkStart w:id="38" w:name="_Toc369076779"/>
      <w:bookmarkStart w:id="39" w:name="_Toc369989363"/>
      <w:bookmarkStart w:id="40" w:name="_Toc369989450"/>
      <w:bookmarkStart w:id="41" w:name="_Toc369989731"/>
      <w:r w:rsidRPr="00470C7C">
        <w:rPr>
          <w:rFonts w:eastAsia="Times New Roman" w:cs="Verdana"/>
          <w:b/>
          <w:bCs/>
          <w:snapToGrid w:val="0"/>
          <w:szCs w:val="20"/>
          <w:lang w:eastAsia="es-ES"/>
        </w:rPr>
        <w:t>III</w:t>
      </w:r>
      <w:r w:rsidRPr="00470C7C">
        <w:rPr>
          <w:rFonts w:eastAsia="Times New Roman" w:cs="Verdana"/>
          <w:b/>
          <w:bCs/>
          <w:snapToGrid w:val="0"/>
          <w:szCs w:val="20"/>
          <w:lang w:eastAsia="es-ES"/>
        </w:rPr>
        <w:br/>
        <w:t>COMPETENCIA</w:t>
      </w:r>
      <w:bookmarkEnd w:id="24"/>
      <w:bookmarkEnd w:id="25"/>
      <w:bookmarkEnd w:id="26"/>
    </w:p>
    <w:p w14:paraId="6B2F9EE8" w14:textId="77777777" w:rsidR="00BA1ACF" w:rsidRPr="00470C7C" w:rsidRDefault="00BA1ACF" w:rsidP="00140440">
      <w:pPr>
        <w:tabs>
          <w:tab w:val="clear" w:pos="4419"/>
          <w:tab w:val="clear" w:pos="8838"/>
        </w:tabs>
        <w:jc w:val="both"/>
        <w:rPr>
          <w:rFonts w:eastAsia="Batang" w:cs="Times"/>
          <w:noProof/>
          <w:szCs w:val="24"/>
          <w:lang w:eastAsia="es-ES"/>
        </w:rPr>
      </w:pPr>
    </w:p>
    <w:p w14:paraId="1CF00F49" w14:textId="77777777" w:rsidR="00BA1ACF" w:rsidRPr="00470C7C" w:rsidRDefault="00BA1ACF" w:rsidP="00140440">
      <w:pPr>
        <w:numPr>
          <w:ilvl w:val="0"/>
          <w:numId w:val="1"/>
        </w:numPr>
        <w:tabs>
          <w:tab w:val="clear" w:pos="4419"/>
          <w:tab w:val="clear" w:pos="8838"/>
        </w:tabs>
        <w:jc w:val="both"/>
        <w:rPr>
          <w:rFonts w:eastAsia="Batang" w:cs="Times"/>
          <w:noProof/>
          <w:szCs w:val="20"/>
          <w:lang w:val="es-ES_tradnl"/>
        </w:rPr>
      </w:pPr>
      <w:r w:rsidRPr="00470C7C">
        <w:rPr>
          <w:rFonts w:eastAsia="Batang" w:cs="Times"/>
          <w:noProof/>
          <w:szCs w:val="20"/>
          <w:lang w:val="es-ES_tradnl"/>
        </w:rPr>
        <w:t>La Corte Interamericana es competente</w:t>
      </w:r>
      <w:r w:rsidR="00C26D5F" w:rsidRPr="00470C7C">
        <w:rPr>
          <w:rFonts w:eastAsia="Batang" w:cs="Times"/>
          <w:noProof/>
          <w:szCs w:val="20"/>
          <w:lang w:val="es-ES_tradnl"/>
        </w:rPr>
        <w:t>,</w:t>
      </w:r>
      <w:r w:rsidRPr="00470C7C">
        <w:rPr>
          <w:rFonts w:eastAsia="Batang" w:cs="Times"/>
          <w:noProof/>
          <w:szCs w:val="20"/>
          <w:lang w:val="es-ES_tradnl"/>
        </w:rPr>
        <w:t xml:space="preserve"> en los términos del artículo 62.3 de la Convención para conocer el presente caso, en razón de que Brasil es Estado Parte de la Convención Americana desde el 25 de septiembre de 1992 y reconoció la competencia contenciosa de la Corte el 10 de diciembre de 1998.</w:t>
      </w:r>
    </w:p>
    <w:p w14:paraId="408737AA" w14:textId="77777777" w:rsidR="00BA1ACF" w:rsidRPr="00470C7C" w:rsidRDefault="00BA1ACF" w:rsidP="00140440">
      <w:pPr>
        <w:tabs>
          <w:tab w:val="clear" w:pos="4419"/>
          <w:tab w:val="clear" w:pos="8838"/>
        </w:tabs>
        <w:jc w:val="both"/>
        <w:rPr>
          <w:rFonts w:eastAsia="Batang" w:cs="Times"/>
          <w:szCs w:val="24"/>
          <w:lang w:val="es-ES_tradnl"/>
        </w:rPr>
      </w:pPr>
    </w:p>
    <w:p w14:paraId="1E6F4DED" w14:textId="77777777" w:rsidR="00BA1ACF" w:rsidRPr="00470C7C" w:rsidRDefault="00BA1ACF"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42" w:name="_Toc416164787"/>
      <w:bookmarkStart w:id="43" w:name="_Toc464813887"/>
      <w:r w:rsidRPr="00470C7C">
        <w:rPr>
          <w:rFonts w:eastAsia="Times New Roman" w:cs="Verdana"/>
          <w:b/>
          <w:bCs/>
          <w:caps/>
          <w:noProof/>
          <w:snapToGrid w:val="0"/>
          <w:szCs w:val="20"/>
          <w:lang w:eastAsia="es-ES"/>
        </w:rPr>
        <w:t>IV</w:t>
      </w:r>
      <w:r w:rsidRPr="00470C7C">
        <w:rPr>
          <w:rFonts w:eastAsia="Times New Roman" w:cs="Verdana"/>
          <w:b/>
          <w:bCs/>
          <w:caps/>
          <w:noProof/>
          <w:snapToGrid w:val="0"/>
          <w:szCs w:val="20"/>
          <w:lang w:eastAsia="es-ES"/>
        </w:rPr>
        <w:br/>
        <w:t>EXCEPCIONES PRELIMINAR</w:t>
      </w:r>
      <w:bookmarkEnd w:id="42"/>
      <w:r w:rsidRPr="00470C7C">
        <w:rPr>
          <w:rFonts w:eastAsia="Times New Roman" w:cs="Verdana"/>
          <w:b/>
          <w:bCs/>
          <w:caps/>
          <w:noProof/>
          <w:snapToGrid w:val="0"/>
          <w:szCs w:val="20"/>
          <w:lang w:eastAsia="es-ES"/>
        </w:rPr>
        <w:t>ES</w:t>
      </w:r>
      <w:bookmarkEnd w:id="43"/>
    </w:p>
    <w:p w14:paraId="2F0D366B" w14:textId="77777777" w:rsidR="00BA1ACF" w:rsidRPr="00470C7C" w:rsidRDefault="00BA1ACF" w:rsidP="00140440">
      <w:pPr>
        <w:tabs>
          <w:tab w:val="clear" w:pos="4419"/>
          <w:tab w:val="clear" w:pos="8838"/>
        </w:tabs>
        <w:jc w:val="both"/>
        <w:rPr>
          <w:rFonts w:eastAsia="Batang" w:cs="Times"/>
          <w:noProof/>
          <w:szCs w:val="24"/>
          <w:lang w:eastAsia="es-ES"/>
        </w:rPr>
      </w:pPr>
    </w:p>
    <w:p w14:paraId="28ED7EFD"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val="es-MX" w:eastAsia="es-ES"/>
        </w:rPr>
        <w:t xml:space="preserve">En su escrito de contestación, el Estado presentó 10 excepciones preliminares respecto a: </w:t>
      </w:r>
      <w:r w:rsidRPr="00470C7C">
        <w:rPr>
          <w:rFonts w:eastAsia="Batang" w:cs="Times"/>
          <w:b/>
          <w:noProof/>
          <w:szCs w:val="24"/>
          <w:lang w:val="es-MX" w:eastAsia="es-ES"/>
        </w:rPr>
        <w:t>A</w:t>
      </w:r>
      <w:r w:rsidRPr="00470C7C">
        <w:rPr>
          <w:rFonts w:eastAsia="Batang" w:cs="Times"/>
          <w:noProof/>
          <w:szCs w:val="24"/>
          <w:lang w:val="es-MX" w:eastAsia="es-ES"/>
        </w:rPr>
        <w:t xml:space="preserve">. Inadmisibilidad del sometimiento del caso a la Corte en virtud de la publicación del Informe de Fondo por parte de la Comisión; </w:t>
      </w:r>
      <w:r w:rsidRPr="00470C7C">
        <w:rPr>
          <w:rFonts w:eastAsia="Batang" w:cs="Times"/>
          <w:b/>
          <w:noProof/>
          <w:szCs w:val="24"/>
          <w:lang w:val="es-MX" w:eastAsia="es-ES"/>
        </w:rPr>
        <w:t>B</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personae</w:t>
      </w:r>
      <w:r w:rsidRPr="00470C7C">
        <w:rPr>
          <w:rFonts w:eastAsia="Batang" w:cs="Times"/>
          <w:noProof/>
          <w:szCs w:val="24"/>
          <w:lang w:val="es-MX" w:eastAsia="es-ES"/>
        </w:rPr>
        <w:t xml:space="preserve">, respecto de presuntas víctimas no identificadas, </w:t>
      </w:r>
      <w:r w:rsidR="00976FE4" w:rsidRPr="00470C7C">
        <w:rPr>
          <w:rFonts w:eastAsia="Batang" w:cs="Times"/>
          <w:noProof/>
          <w:szCs w:val="24"/>
          <w:lang w:val="es-MX" w:eastAsia="es-ES"/>
        </w:rPr>
        <w:t xml:space="preserve">aquellas </w:t>
      </w:r>
      <w:r w:rsidRPr="00470C7C">
        <w:rPr>
          <w:rFonts w:eastAsia="Batang" w:cs="Times"/>
          <w:noProof/>
          <w:szCs w:val="24"/>
          <w:lang w:val="es-MX" w:eastAsia="es-ES"/>
        </w:rPr>
        <w:t>identificadas pero que no otorgaron poder de representación,</w:t>
      </w:r>
      <w:r w:rsidR="00976FE4" w:rsidRPr="00470C7C">
        <w:rPr>
          <w:rFonts w:eastAsia="Batang" w:cs="Times"/>
          <w:noProof/>
          <w:szCs w:val="24"/>
          <w:lang w:val="es-MX" w:eastAsia="es-ES"/>
        </w:rPr>
        <w:t xml:space="preserve"> que no aparecían</w:t>
      </w:r>
      <w:r w:rsidRPr="00470C7C">
        <w:rPr>
          <w:rFonts w:eastAsia="Batang" w:cs="Times"/>
          <w:noProof/>
          <w:szCs w:val="24"/>
          <w:lang w:val="es-MX" w:eastAsia="es-ES"/>
        </w:rPr>
        <w:t xml:space="preserve"> en el Informe de Fondo de la Comisión o</w:t>
      </w:r>
      <w:r w:rsidR="00976FE4" w:rsidRPr="00470C7C">
        <w:rPr>
          <w:rFonts w:eastAsia="Batang" w:cs="Times"/>
          <w:noProof/>
          <w:szCs w:val="24"/>
          <w:lang w:val="es-MX" w:eastAsia="es-ES"/>
        </w:rPr>
        <w:t xml:space="preserve"> que </w:t>
      </w:r>
      <w:r w:rsidRPr="00470C7C">
        <w:rPr>
          <w:rFonts w:eastAsia="Batang" w:cs="Times"/>
          <w:noProof/>
          <w:szCs w:val="24"/>
          <w:lang w:val="es-MX" w:eastAsia="es-ES"/>
        </w:rPr>
        <w:t xml:space="preserve">no </w:t>
      </w:r>
      <w:r w:rsidR="00976FE4" w:rsidRPr="00470C7C">
        <w:rPr>
          <w:rFonts w:eastAsia="Batang" w:cs="Times"/>
          <w:noProof/>
          <w:szCs w:val="24"/>
          <w:lang w:val="es-MX" w:eastAsia="es-ES"/>
        </w:rPr>
        <w:t xml:space="preserve">estaban </w:t>
      </w:r>
      <w:r w:rsidRPr="00470C7C">
        <w:rPr>
          <w:rFonts w:eastAsia="Batang" w:cs="Times"/>
          <w:noProof/>
          <w:szCs w:val="24"/>
          <w:lang w:val="es-MX" w:eastAsia="es-ES"/>
        </w:rPr>
        <w:t xml:space="preserve">relacionadas con los hechos del caso; </w:t>
      </w:r>
      <w:r w:rsidRPr="00470C7C">
        <w:rPr>
          <w:rFonts w:eastAsia="Batang" w:cs="Times"/>
          <w:b/>
          <w:noProof/>
          <w:szCs w:val="24"/>
          <w:lang w:val="es-MX" w:eastAsia="es-ES"/>
        </w:rPr>
        <w:t>C</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personae</w:t>
      </w:r>
      <w:r w:rsidRPr="00470C7C">
        <w:rPr>
          <w:rFonts w:eastAsia="Batang" w:cs="Times"/>
          <w:noProof/>
          <w:szCs w:val="24"/>
          <w:lang w:val="es-MX" w:eastAsia="es-ES"/>
        </w:rPr>
        <w:t xml:space="preserve"> de violaciones en abstracto; </w:t>
      </w:r>
      <w:r w:rsidRPr="00470C7C">
        <w:rPr>
          <w:rFonts w:eastAsia="Batang" w:cs="Times"/>
          <w:b/>
          <w:noProof/>
          <w:szCs w:val="24"/>
          <w:lang w:val="es-MX" w:eastAsia="es-ES"/>
        </w:rPr>
        <w:t>D</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temporis</w:t>
      </w:r>
      <w:r w:rsidRPr="00470C7C">
        <w:rPr>
          <w:rFonts w:eastAsia="Batang" w:cs="Times"/>
          <w:noProof/>
          <w:szCs w:val="24"/>
          <w:lang w:val="es-MX" w:eastAsia="es-ES"/>
        </w:rPr>
        <w:t xml:space="preserve"> respecto de hechos anteriores a la fecha de reconocimiento de la jurisdicción de la Corte por parte del Estado; </w:t>
      </w:r>
      <w:r w:rsidRPr="00470C7C">
        <w:rPr>
          <w:rFonts w:eastAsia="Batang" w:cs="Times"/>
          <w:b/>
          <w:noProof/>
          <w:szCs w:val="24"/>
          <w:lang w:val="es-MX" w:eastAsia="es-ES"/>
        </w:rPr>
        <w:t>E</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temporis</w:t>
      </w:r>
      <w:r w:rsidRPr="00470C7C">
        <w:rPr>
          <w:rFonts w:eastAsia="Batang" w:cs="Times"/>
          <w:noProof/>
          <w:szCs w:val="24"/>
          <w:lang w:val="es-MX" w:eastAsia="es-ES"/>
        </w:rPr>
        <w:t xml:space="preserve"> sobre hechos anteriores a la adhesión del Estado a la Convención Americana; </w:t>
      </w:r>
      <w:r w:rsidRPr="00470C7C">
        <w:rPr>
          <w:rFonts w:eastAsia="Batang" w:cs="Times"/>
          <w:b/>
          <w:noProof/>
          <w:szCs w:val="24"/>
          <w:lang w:val="es-MX" w:eastAsia="es-ES"/>
        </w:rPr>
        <w:t>F</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materiae</w:t>
      </w:r>
      <w:r w:rsidRPr="00470C7C">
        <w:rPr>
          <w:rFonts w:eastAsia="Batang" w:cs="Times"/>
          <w:noProof/>
          <w:szCs w:val="24"/>
          <w:lang w:val="es-MX" w:eastAsia="es-ES"/>
        </w:rPr>
        <w:t xml:space="preserve"> por violación al principio de subsidiaridad del Sistema Interamericano (fórmula de la 4ª instancia); </w:t>
      </w:r>
      <w:r w:rsidRPr="00470C7C">
        <w:rPr>
          <w:rFonts w:eastAsia="Batang" w:cs="Times"/>
          <w:b/>
          <w:noProof/>
          <w:szCs w:val="24"/>
          <w:lang w:val="es-MX" w:eastAsia="es-ES"/>
        </w:rPr>
        <w:t>G</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materiae</w:t>
      </w:r>
      <w:r w:rsidRPr="00470C7C">
        <w:rPr>
          <w:rFonts w:eastAsia="Batang" w:cs="Times"/>
          <w:noProof/>
          <w:szCs w:val="24"/>
          <w:lang w:val="es-MX" w:eastAsia="es-ES"/>
        </w:rPr>
        <w:t xml:space="preserve"> relativa a presuntas violaciones de la prohibición de tráfico de personas; </w:t>
      </w:r>
      <w:r w:rsidRPr="00470C7C">
        <w:rPr>
          <w:rFonts w:eastAsia="Batang" w:cs="Times"/>
          <w:b/>
          <w:noProof/>
          <w:szCs w:val="24"/>
          <w:lang w:val="es-MX" w:eastAsia="es-ES"/>
        </w:rPr>
        <w:t>H</w:t>
      </w:r>
      <w:r w:rsidRPr="00470C7C">
        <w:rPr>
          <w:rFonts w:eastAsia="Batang" w:cs="Times"/>
          <w:noProof/>
          <w:szCs w:val="24"/>
          <w:lang w:val="es-MX" w:eastAsia="es-ES"/>
        </w:rPr>
        <w:t xml:space="preserve">. Incompetencia </w:t>
      </w:r>
      <w:r w:rsidRPr="00470C7C">
        <w:rPr>
          <w:rFonts w:eastAsia="Batang" w:cs="Times"/>
          <w:i/>
          <w:noProof/>
          <w:szCs w:val="24"/>
          <w:lang w:val="es-MX" w:eastAsia="es-ES"/>
        </w:rPr>
        <w:t>ratione materiae</w:t>
      </w:r>
      <w:r w:rsidRPr="00470C7C">
        <w:rPr>
          <w:rFonts w:eastAsia="Batang" w:cs="Times"/>
          <w:noProof/>
          <w:szCs w:val="24"/>
          <w:lang w:val="es-MX" w:eastAsia="es-ES"/>
        </w:rPr>
        <w:t xml:space="preserve"> sobre supuestas violaciones de derechos laborales; </w:t>
      </w:r>
      <w:r w:rsidRPr="00470C7C">
        <w:rPr>
          <w:rFonts w:eastAsia="Batang" w:cs="Times"/>
          <w:b/>
          <w:noProof/>
          <w:szCs w:val="24"/>
          <w:lang w:val="es-MX" w:eastAsia="es-ES"/>
        </w:rPr>
        <w:t>I</w:t>
      </w:r>
      <w:r w:rsidRPr="00470C7C">
        <w:rPr>
          <w:rFonts w:eastAsia="Batang" w:cs="Times"/>
          <w:noProof/>
          <w:szCs w:val="24"/>
          <w:lang w:val="es-MX" w:eastAsia="es-ES"/>
        </w:rPr>
        <w:t>. Falta de agotamiento previo de los recursos internos</w:t>
      </w:r>
      <w:r w:rsidR="00350AD5" w:rsidRPr="00470C7C">
        <w:rPr>
          <w:rFonts w:eastAsia="Batang" w:cs="Times"/>
          <w:noProof/>
          <w:szCs w:val="24"/>
          <w:lang w:val="es-MX" w:eastAsia="es-ES"/>
        </w:rPr>
        <w:t>;</w:t>
      </w:r>
      <w:r w:rsidRPr="00470C7C">
        <w:rPr>
          <w:rFonts w:eastAsia="Batang" w:cs="Times"/>
          <w:noProof/>
          <w:szCs w:val="24"/>
          <w:lang w:val="es-MX" w:eastAsia="es-ES"/>
        </w:rPr>
        <w:t xml:space="preserve"> y </w:t>
      </w:r>
      <w:r w:rsidRPr="00470C7C">
        <w:rPr>
          <w:rFonts w:eastAsia="Batang" w:cs="Times"/>
          <w:b/>
          <w:noProof/>
          <w:szCs w:val="24"/>
          <w:lang w:val="es-MX" w:eastAsia="es-ES"/>
        </w:rPr>
        <w:t>J</w:t>
      </w:r>
      <w:r w:rsidRPr="00470C7C">
        <w:rPr>
          <w:rFonts w:eastAsia="Batang" w:cs="Times"/>
          <w:noProof/>
          <w:szCs w:val="24"/>
          <w:lang w:val="es-MX" w:eastAsia="es-ES"/>
        </w:rPr>
        <w:t xml:space="preserve">. Prescripción de la petición ante la Comisión respecto de las pretensiones de reparación de daño moral y material. </w:t>
      </w:r>
    </w:p>
    <w:p w14:paraId="3A2D7AC4" w14:textId="77777777" w:rsidR="000A52D5" w:rsidRPr="00470C7C" w:rsidRDefault="000A52D5" w:rsidP="00140440">
      <w:pPr>
        <w:tabs>
          <w:tab w:val="clear" w:pos="4419"/>
          <w:tab w:val="clear" w:pos="8838"/>
        </w:tabs>
        <w:jc w:val="both"/>
        <w:rPr>
          <w:rFonts w:eastAsia="Batang" w:cs="Times"/>
          <w:noProof/>
          <w:szCs w:val="24"/>
          <w:lang w:eastAsia="es-ES"/>
        </w:rPr>
      </w:pPr>
    </w:p>
    <w:p w14:paraId="7DCB7649" w14:textId="77777777" w:rsidR="000A52D5" w:rsidRPr="00470C7C" w:rsidRDefault="000A52D5" w:rsidP="007F1767">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Posteriormente, en sus alegatos finales escritos</w:t>
      </w:r>
      <w:r w:rsidR="00275739" w:rsidRPr="00470C7C">
        <w:rPr>
          <w:rFonts w:eastAsia="Batang" w:cs="Times"/>
          <w:noProof/>
          <w:szCs w:val="24"/>
          <w:lang w:val="es-MX" w:eastAsia="es-ES"/>
        </w:rPr>
        <w:t>,</w:t>
      </w:r>
      <w:r w:rsidRPr="00470C7C">
        <w:rPr>
          <w:rFonts w:eastAsia="Batang" w:cs="Times"/>
          <w:noProof/>
          <w:szCs w:val="24"/>
          <w:lang w:val="es-MX" w:eastAsia="es-ES"/>
        </w:rPr>
        <w:t xml:space="preserve"> el Estado presentó una nueva excepción preliminar referente a</w:t>
      </w:r>
      <w:r w:rsidR="007F1767" w:rsidRPr="00470C7C">
        <w:rPr>
          <w:rFonts w:eastAsia="Batang" w:cs="Times"/>
          <w:noProof/>
          <w:szCs w:val="24"/>
          <w:lang w:val="es-MX" w:eastAsia="es-ES"/>
        </w:rPr>
        <w:t xml:space="preserve"> la</w:t>
      </w:r>
      <w:r w:rsidR="008E79CF" w:rsidRPr="00470C7C">
        <w:rPr>
          <w:rFonts w:eastAsia="Batang" w:cs="Times"/>
          <w:noProof/>
          <w:szCs w:val="24"/>
          <w:lang w:val="es-MX" w:eastAsia="es-ES"/>
        </w:rPr>
        <w:t xml:space="preserve"> supuesta</w:t>
      </w:r>
      <w:r w:rsidR="007F1767" w:rsidRPr="00470C7C">
        <w:rPr>
          <w:rFonts w:eastAsia="Batang" w:cs="Times"/>
          <w:noProof/>
          <w:szCs w:val="24"/>
          <w:lang w:val="es-MX" w:eastAsia="es-ES"/>
        </w:rPr>
        <w:t xml:space="preserve"> i</w:t>
      </w:r>
      <w:r w:rsidRPr="00470C7C">
        <w:rPr>
          <w:rFonts w:eastAsia="Batang" w:cs="Times"/>
          <w:noProof/>
          <w:szCs w:val="24"/>
          <w:lang w:val="es-MX" w:eastAsia="es-ES"/>
        </w:rPr>
        <w:t xml:space="preserve">ncompetencia </w:t>
      </w:r>
      <w:r w:rsidR="007F1767" w:rsidRPr="00470C7C">
        <w:rPr>
          <w:rFonts w:eastAsia="Batang" w:cs="Times"/>
          <w:noProof/>
          <w:szCs w:val="24"/>
          <w:lang w:val="es-MX" w:eastAsia="es-ES"/>
        </w:rPr>
        <w:t xml:space="preserve">de la Corte </w:t>
      </w:r>
      <w:r w:rsidRPr="00470C7C">
        <w:rPr>
          <w:rFonts w:eastAsia="Batang" w:cs="Times"/>
          <w:noProof/>
          <w:szCs w:val="24"/>
          <w:lang w:val="es-MX" w:eastAsia="es-ES"/>
        </w:rPr>
        <w:t xml:space="preserve">respecto de los actos de fiscalización </w:t>
      </w:r>
      <w:r w:rsidR="007F1767" w:rsidRPr="00470C7C">
        <w:rPr>
          <w:rFonts w:eastAsia="Batang" w:cs="Times"/>
          <w:noProof/>
          <w:szCs w:val="24"/>
          <w:lang w:val="es-MX" w:eastAsia="es-ES"/>
        </w:rPr>
        <w:t>llevados a cabo en</w:t>
      </w:r>
      <w:r w:rsidRPr="00470C7C">
        <w:rPr>
          <w:rFonts w:eastAsia="Batang" w:cs="Times"/>
          <w:noProof/>
          <w:szCs w:val="24"/>
          <w:lang w:val="es-MX" w:eastAsia="es-ES"/>
        </w:rPr>
        <w:t xml:space="preserve"> los años 1999 y 2002.</w:t>
      </w:r>
      <w:r w:rsidR="007F1767" w:rsidRPr="00470C7C">
        <w:rPr>
          <w:rFonts w:eastAsia="Batang" w:cs="Times"/>
          <w:noProof/>
          <w:szCs w:val="24"/>
          <w:lang w:val="es-MX" w:eastAsia="es-ES"/>
        </w:rPr>
        <w:t xml:space="preserve"> Esta excepción preliminar no será objeto de examen por haber sido presentada de forma </w:t>
      </w:r>
      <w:r w:rsidR="007F1767" w:rsidRPr="00470C7C">
        <w:rPr>
          <w:rFonts w:eastAsia="Batang" w:cs="Times"/>
          <w:bCs/>
          <w:noProof/>
          <w:szCs w:val="24"/>
          <w:lang w:eastAsia="es-ES"/>
        </w:rPr>
        <w:t>extemporánea.</w:t>
      </w:r>
    </w:p>
    <w:p w14:paraId="0185BA7F" w14:textId="77777777" w:rsidR="000A52D5" w:rsidRPr="00470C7C" w:rsidRDefault="000A52D5" w:rsidP="00140440">
      <w:pPr>
        <w:tabs>
          <w:tab w:val="clear" w:pos="4419"/>
          <w:tab w:val="clear" w:pos="8838"/>
        </w:tabs>
        <w:jc w:val="both"/>
        <w:rPr>
          <w:rFonts w:eastAsia="Batang" w:cs="Times"/>
          <w:noProof/>
          <w:szCs w:val="24"/>
          <w:lang w:eastAsia="es-ES"/>
        </w:rPr>
      </w:pPr>
    </w:p>
    <w:p w14:paraId="025043E0" w14:textId="77777777" w:rsidR="0090752B" w:rsidRPr="00470C7C" w:rsidRDefault="0090752B"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val="es-MX" w:eastAsia="es-ES"/>
        </w:rPr>
        <w:t xml:space="preserve">Para resolver las excepciones planteadas por el Estado, la Corte recuerda </w:t>
      </w:r>
      <w:r w:rsidRPr="00470C7C">
        <w:rPr>
          <w:rFonts w:eastAsia="Batang" w:cs="Times"/>
          <w:noProof/>
          <w:szCs w:val="24"/>
          <w:lang w:eastAsia="es-ES"/>
        </w:rPr>
        <w:t>que se considerarán como excepciones preliminares únicamente aquellos argumentos que tienen o podrían tener exclusivamente tal naturaleza</w:t>
      </w:r>
      <w:r w:rsidR="00181585" w:rsidRPr="00470C7C">
        <w:rPr>
          <w:rFonts w:eastAsia="Batang" w:cs="Times"/>
          <w:noProof/>
          <w:szCs w:val="24"/>
          <w:lang w:eastAsia="es-ES"/>
        </w:rPr>
        <w:t>,</w:t>
      </w:r>
      <w:r w:rsidRPr="00470C7C">
        <w:rPr>
          <w:rFonts w:eastAsia="Batang" w:cs="Times"/>
          <w:noProof/>
          <w:szCs w:val="24"/>
          <w:lang w:eastAsia="es-ES"/>
        </w:rPr>
        <w:t xml:space="preserve"> atendiendo a su contenido y finalidad, </w:t>
      </w:r>
      <w:r w:rsidRPr="00470C7C">
        <w:rPr>
          <w:rFonts w:eastAsia="Batang" w:cs="Times"/>
          <w:noProof/>
          <w:szCs w:val="24"/>
          <w:lang w:val="es-ES_tradnl" w:eastAsia="es-ES"/>
        </w:rPr>
        <w:t>es decir, que de resolverse favorablemente impedirían la continuación del procedimiento o el pronunciamiento sobre el fondo</w:t>
      </w:r>
      <w:r w:rsidRPr="00470C7C">
        <w:rPr>
          <w:rFonts w:eastAsia="Batang" w:cs="Times"/>
          <w:noProof/>
          <w:szCs w:val="24"/>
          <w:vertAlign w:val="superscript"/>
          <w:lang w:val="es-ES_tradnl" w:eastAsia="es-ES"/>
        </w:rPr>
        <w:footnoteReference w:id="18"/>
      </w:r>
      <w:r w:rsidRPr="00470C7C">
        <w:rPr>
          <w:rFonts w:eastAsia="Batang" w:cs="Times"/>
          <w:noProof/>
          <w:szCs w:val="24"/>
          <w:lang w:val="es-ES" w:eastAsia="es-ES"/>
        </w:rPr>
        <w:t xml:space="preserve">. Ha sido criterio reiterado de la Corte que por medio de una excepción preliminar se presentan </w:t>
      </w:r>
      <w:r w:rsidRPr="00470C7C">
        <w:rPr>
          <w:rFonts w:eastAsia="Batang" w:cs="Times"/>
          <w:noProof/>
          <w:szCs w:val="24"/>
          <w:lang w:val="es-ES_tradnl" w:eastAsia="es-ES"/>
        </w:rPr>
        <w:t>objeciones relacionadas con la admisibilidad de un caso o su competencia para conocer de un determinado asunto o parte de ello, ya sea en razón de la persona, materia, tiempo o lugar</w:t>
      </w:r>
      <w:r w:rsidRPr="00470C7C">
        <w:rPr>
          <w:rFonts w:eastAsia="Batang" w:cs="Times"/>
          <w:noProof/>
          <w:szCs w:val="24"/>
          <w:vertAlign w:val="superscript"/>
          <w:lang w:val="es-ES_tradnl" w:eastAsia="es-ES"/>
        </w:rPr>
        <w:footnoteReference w:id="19"/>
      </w:r>
      <w:r w:rsidRPr="00470C7C">
        <w:rPr>
          <w:rFonts w:eastAsia="Batang" w:cs="Times"/>
          <w:noProof/>
          <w:szCs w:val="24"/>
          <w:lang w:val="es-ES_tradnl" w:eastAsia="es-ES"/>
        </w:rPr>
        <w:t>.</w:t>
      </w:r>
    </w:p>
    <w:p w14:paraId="5C48A285" w14:textId="77777777" w:rsidR="0090752B" w:rsidRPr="00470C7C" w:rsidRDefault="0090752B" w:rsidP="00490523">
      <w:pPr>
        <w:pStyle w:val="Prrafodelista"/>
        <w:rPr>
          <w:rFonts w:eastAsia="Batang" w:cs="Times"/>
          <w:noProof/>
          <w:szCs w:val="24"/>
          <w:lang w:val="es-MX" w:eastAsia="es-ES"/>
        </w:rPr>
      </w:pPr>
    </w:p>
    <w:p w14:paraId="698FABDB"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val="es-MX" w:eastAsia="es-ES"/>
        </w:rPr>
        <w:t xml:space="preserve">A continuación, la Corte procederá a analizar las excepciones preliminares aludidas, en el orden en que fueron presentadas por el Estado. </w:t>
      </w:r>
    </w:p>
    <w:p w14:paraId="47C0D27D"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4B57EEC2" w14:textId="77777777" w:rsidR="000A52D5" w:rsidRPr="00470C7C" w:rsidRDefault="000A52D5" w:rsidP="008B0BCC">
      <w:pPr>
        <w:pStyle w:val="Ttulo2"/>
        <w:numPr>
          <w:ilvl w:val="0"/>
          <w:numId w:val="15"/>
        </w:numPr>
        <w:rPr>
          <w:rFonts w:eastAsia="Batang"/>
          <w:noProof/>
          <w:lang w:eastAsia="es-ES"/>
        </w:rPr>
      </w:pPr>
      <w:bookmarkStart w:id="44" w:name="_Toc464813888"/>
      <w:r w:rsidRPr="00470C7C">
        <w:rPr>
          <w:rFonts w:eastAsia="Batang"/>
          <w:noProof/>
          <w:lang w:eastAsia="es-ES"/>
        </w:rPr>
        <w:t>Alegada inadmisibilidad del sometimiento del caso a la Corte en virtud de la publicación del Informe de Fondo por parte de la Comisión</w:t>
      </w:r>
      <w:bookmarkEnd w:id="44"/>
    </w:p>
    <w:p w14:paraId="076F7128"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5954B57D" w14:textId="77777777" w:rsidR="000A52D5" w:rsidRPr="00470C7C" w:rsidRDefault="000A52D5" w:rsidP="000A20C1">
      <w:pPr>
        <w:pStyle w:val="Ttulo3"/>
        <w:rPr>
          <w:noProof/>
          <w:lang w:eastAsia="es-ES"/>
        </w:rPr>
      </w:pPr>
      <w:bookmarkStart w:id="45" w:name="_Toc460432962"/>
      <w:bookmarkStart w:id="46" w:name="_Toc460441893"/>
      <w:bookmarkStart w:id="47" w:name="_Toc462750713"/>
      <w:bookmarkStart w:id="48" w:name="_Toc462751037"/>
      <w:bookmarkStart w:id="49" w:name="_Toc464813889"/>
      <w:r w:rsidRPr="00470C7C">
        <w:rPr>
          <w:noProof/>
          <w:lang w:eastAsia="es-ES"/>
        </w:rPr>
        <w:t>A.1. Alegatos del Estado, observaciones de la Comisión y de los representantes</w:t>
      </w:r>
      <w:bookmarkEnd w:id="45"/>
      <w:bookmarkEnd w:id="46"/>
      <w:bookmarkEnd w:id="47"/>
      <w:bookmarkEnd w:id="48"/>
      <w:bookmarkEnd w:id="49"/>
    </w:p>
    <w:p w14:paraId="21C371D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61F27754"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indicó que el informe preliminar emitido por la Comisión no puede ser publicado por las partes o la Comisión. Además, adujo que el informe definitivo de la Comisión, contemplado en el artículo 50 de la Convención Americana,</w:t>
      </w:r>
      <w:r w:rsidR="00B54FB3" w:rsidRPr="00470C7C">
        <w:rPr>
          <w:rFonts w:eastAsia="Batang" w:cs="Times"/>
          <w:noProof/>
          <w:szCs w:val="24"/>
          <w:lang w:val="es-MX" w:eastAsia="es-ES"/>
        </w:rPr>
        <w:t xml:space="preserve"> </w:t>
      </w:r>
      <w:r w:rsidR="004D1879" w:rsidRPr="00470C7C">
        <w:rPr>
          <w:rFonts w:eastAsia="Batang" w:cs="Times"/>
          <w:noProof/>
          <w:szCs w:val="24"/>
          <w:lang w:val="es-MX" w:eastAsia="es-ES"/>
        </w:rPr>
        <w:t xml:space="preserve">solo </w:t>
      </w:r>
      <w:r w:rsidRPr="00470C7C">
        <w:rPr>
          <w:rFonts w:eastAsia="Batang" w:cs="Times"/>
          <w:noProof/>
          <w:szCs w:val="24"/>
          <w:lang w:val="es-MX" w:eastAsia="es-ES"/>
        </w:rPr>
        <w:t>puede ser publicado una vez transcurrido el plazo previsto para cumplir las medidas recomendadas o por votación de la mayoría absoluta de sus miembros. La publicación de ese informe definitivo constituye “la máxima sanción” que puede sufrir un Estado en términos del procedimiento ante la Comisión. El Estado afirmó que la Comisión ha</w:t>
      </w:r>
      <w:r w:rsidR="00C25313" w:rsidRPr="00470C7C">
        <w:rPr>
          <w:rFonts w:eastAsia="Batang" w:cs="Times"/>
          <w:noProof/>
          <w:szCs w:val="24"/>
          <w:lang w:val="es-MX" w:eastAsia="es-ES"/>
        </w:rPr>
        <w:t>bría</w:t>
      </w:r>
      <w:r w:rsidRPr="00470C7C">
        <w:rPr>
          <w:rFonts w:eastAsia="Batang" w:cs="Times"/>
          <w:noProof/>
          <w:szCs w:val="24"/>
          <w:lang w:val="es-MX" w:eastAsia="es-ES"/>
        </w:rPr>
        <w:t xml:space="preserve"> mantenido en su página web, desde antes de someter el presente caso ante la Corte, el texto completo del Informe de Admisibilidad y Fondo No. 169/2011 de 3 de noviembre de 2011, lo que implica la imposibilidad lógica de llevar el caso al conocimiento de este Tribunal, dado que la Convención autoriza a la Comisión emitir un informe definitivo y eventualmente publicarlo, o bien someterlo a la jurisdicción de la Corte, posibilidades que son excluyentes entre sí. </w:t>
      </w:r>
      <w:r w:rsidR="007B4B35" w:rsidRPr="00470C7C">
        <w:rPr>
          <w:rFonts w:eastAsia="Batang" w:cs="Times"/>
          <w:noProof/>
          <w:szCs w:val="24"/>
          <w:lang w:val="es-MX" w:eastAsia="es-ES"/>
        </w:rPr>
        <w:t>E</w:t>
      </w:r>
      <w:r w:rsidRPr="00470C7C">
        <w:rPr>
          <w:rFonts w:eastAsia="Batang" w:cs="Times"/>
          <w:noProof/>
          <w:szCs w:val="24"/>
          <w:lang w:val="es-MX" w:eastAsia="es-ES"/>
        </w:rPr>
        <w:t>l Estado consideró que la publicación del Informe de la Comisión sería violatoria de los artículos 50 y 51 de la Convención, por lo que solicitó la inadmisión del presente caso.</w:t>
      </w:r>
    </w:p>
    <w:p w14:paraId="2DD8BCE4"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6ED33577"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 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señaló que el alegato del Estado no constituye una excepción preliminar, pues no se refiere a cuestiones de competencia, ni a los requisitos de admisibilidad establecidos en la Convención. Además, indicó que el Informe emitido con base en el artículo 50 de la Convención, constituye un informe preliminar y de naturaleza confidencial, el cual puede dar lugar a dos acciones: someter el caso ante la Corte o proceder a su publicación;</w:t>
      </w:r>
      <w:r w:rsidR="00976FE4" w:rsidRPr="00470C7C">
        <w:rPr>
          <w:rFonts w:eastAsia="Batang" w:cs="Times"/>
          <w:noProof/>
          <w:szCs w:val="24"/>
          <w:lang w:val="es-MX" w:eastAsia="es-ES"/>
        </w:rPr>
        <w:t xml:space="preserve"> pero una vez escogida una de las anteriores </w:t>
      </w:r>
      <w:r w:rsidR="002B7F4E" w:rsidRPr="00470C7C">
        <w:rPr>
          <w:rFonts w:eastAsia="Batang" w:cs="Times"/>
          <w:noProof/>
          <w:szCs w:val="24"/>
          <w:lang w:val="es-MX" w:eastAsia="es-ES"/>
        </w:rPr>
        <w:t>opciones</w:t>
      </w:r>
      <w:r w:rsidRPr="00470C7C">
        <w:rPr>
          <w:rFonts w:eastAsia="Batang" w:cs="Times"/>
          <w:noProof/>
          <w:szCs w:val="24"/>
          <w:lang w:val="es-MX" w:eastAsia="es-ES"/>
        </w:rPr>
        <w:t>, el Informe pierde su carácter inicial. La Comisión indicó que al llevar el asunto a la Corte, se publicó el Informe final (de Admisibilidad y Fondo) en su sitio web, según su práctica reiterada, hecho que no vulneró la Convención. Además, la Comisión observó que la cita del Estado, respecto a la publicación del Informe de Admisibilidad y Fondo antes de someter el caso ante la Corte, es un enlace electrónico con acceso el 10 de septiembre de 2015, en un momento posterior al sometimiento del caso. Finalmente, la Comisión señaló que el Estado no presentó ningún elemento probatorio sobre esa supuesta publicación indebida.</w:t>
      </w:r>
    </w:p>
    <w:p w14:paraId="37B710BD"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509FBE7"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eastAsia="es-ES"/>
        </w:rPr>
        <w:t xml:space="preserve">Los </w:t>
      </w:r>
      <w:r w:rsidRPr="00470C7C">
        <w:rPr>
          <w:rFonts w:eastAsia="Batang" w:cs="Times"/>
          <w:b/>
          <w:i/>
          <w:noProof/>
          <w:szCs w:val="24"/>
          <w:lang w:eastAsia="es-ES"/>
        </w:rPr>
        <w:t>representantes</w:t>
      </w:r>
      <w:r w:rsidRPr="00470C7C">
        <w:rPr>
          <w:rFonts w:eastAsia="Batang" w:cs="Times"/>
          <w:noProof/>
          <w:szCs w:val="24"/>
          <w:lang w:eastAsia="es-ES"/>
        </w:rPr>
        <w:t xml:space="preserve"> indicaron que el Estado no presentó ningún argumento en razón de persona, materia, tiempo o lugar que pudiera afectar la competencia de la Corte, por lo que solicitaron a la Corte desestimar esta excepción. Adicionalmente, señalaron que el Estado pretende presentar como excepción preliminar aspectos de trámite ante la Comisión. Finalmente, los representantes alegaron que la publicación del Informe</w:t>
      </w:r>
      <w:r w:rsidR="004F235B" w:rsidRPr="00470C7C">
        <w:rPr>
          <w:rFonts w:eastAsia="Batang" w:cs="Times"/>
          <w:noProof/>
          <w:szCs w:val="24"/>
          <w:lang w:eastAsia="es-ES"/>
        </w:rPr>
        <w:t xml:space="preserve"> de Fondo</w:t>
      </w:r>
      <w:r w:rsidRPr="00470C7C">
        <w:rPr>
          <w:rFonts w:eastAsia="Batang" w:cs="Times"/>
          <w:noProof/>
          <w:szCs w:val="24"/>
          <w:lang w:eastAsia="es-ES"/>
        </w:rPr>
        <w:t xml:space="preserve"> no constituyó un error grave ni existe prohibición para publicarlo.</w:t>
      </w:r>
    </w:p>
    <w:p w14:paraId="6B118D34" w14:textId="77777777" w:rsidR="000A52D5" w:rsidRPr="00470C7C" w:rsidRDefault="000A52D5" w:rsidP="00140440">
      <w:pPr>
        <w:tabs>
          <w:tab w:val="clear" w:pos="4419"/>
          <w:tab w:val="clear" w:pos="8838"/>
        </w:tabs>
        <w:jc w:val="both"/>
        <w:rPr>
          <w:rFonts w:eastAsia="Batang" w:cs="Times"/>
          <w:noProof/>
          <w:szCs w:val="24"/>
          <w:lang w:eastAsia="es-ES"/>
        </w:rPr>
      </w:pPr>
    </w:p>
    <w:p w14:paraId="1B62FE40" w14:textId="77777777" w:rsidR="000A52D5" w:rsidRPr="00470C7C" w:rsidRDefault="000A52D5" w:rsidP="000A20C1">
      <w:pPr>
        <w:pStyle w:val="Ttulo3"/>
        <w:rPr>
          <w:noProof/>
          <w:lang w:eastAsia="es-ES"/>
        </w:rPr>
      </w:pPr>
      <w:bookmarkStart w:id="50" w:name="_Toc460432963"/>
      <w:bookmarkStart w:id="51" w:name="_Toc460441894"/>
      <w:bookmarkStart w:id="52" w:name="_Toc462750714"/>
      <w:bookmarkStart w:id="53" w:name="_Toc462751038"/>
      <w:bookmarkStart w:id="54" w:name="_Toc464813890"/>
      <w:r w:rsidRPr="00470C7C">
        <w:rPr>
          <w:noProof/>
          <w:lang w:eastAsia="es-ES"/>
        </w:rPr>
        <w:t>A.2. Consideraciones de la Corte</w:t>
      </w:r>
      <w:bookmarkEnd w:id="50"/>
      <w:bookmarkEnd w:id="51"/>
      <w:bookmarkEnd w:id="52"/>
      <w:bookmarkEnd w:id="53"/>
      <w:bookmarkEnd w:id="54"/>
    </w:p>
    <w:p w14:paraId="3FC0A88E" w14:textId="77777777" w:rsidR="000A52D5" w:rsidRPr="00470C7C" w:rsidRDefault="000A52D5" w:rsidP="00140440">
      <w:pPr>
        <w:tabs>
          <w:tab w:val="clear" w:pos="4419"/>
          <w:tab w:val="clear" w:pos="8838"/>
        </w:tabs>
        <w:jc w:val="both"/>
        <w:rPr>
          <w:rFonts w:eastAsia="Batang" w:cs="Times"/>
          <w:noProof/>
          <w:szCs w:val="24"/>
          <w:lang w:eastAsia="es-ES"/>
        </w:rPr>
      </w:pPr>
    </w:p>
    <w:p w14:paraId="5D0F181D"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val="es-MX" w:eastAsia="es-ES"/>
        </w:rPr>
        <w:t xml:space="preserve">Es interpretación </w:t>
      </w:r>
      <w:r w:rsidR="00191500" w:rsidRPr="00470C7C">
        <w:rPr>
          <w:rFonts w:eastAsia="Batang" w:cs="Times"/>
          <w:noProof/>
          <w:szCs w:val="24"/>
          <w:lang w:val="es-MX" w:eastAsia="es-ES"/>
        </w:rPr>
        <w:t xml:space="preserve">constante </w:t>
      </w:r>
      <w:r w:rsidRPr="00470C7C">
        <w:rPr>
          <w:rFonts w:eastAsia="Batang" w:cs="Times"/>
          <w:noProof/>
          <w:szCs w:val="24"/>
          <w:lang w:val="es-MX" w:eastAsia="es-ES"/>
        </w:rPr>
        <w:t xml:space="preserve">de este Tribunal que los artículos 50 y 51 de la Convención aluden </w:t>
      </w:r>
      <w:r w:rsidR="00191500" w:rsidRPr="00470C7C">
        <w:rPr>
          <w:rFonts w:eastAsia="Batang" w:cs="Times"/>
          <w:noProof/>
          <w:szCs w:val="24"/>
          <w:lang w:val="es-MX" w:eastAsia="es-ES"/>
        </w:rPr>
        <w:t xml:space="preserve">a </w:t>
      </w:r>
      <w:r w:rsidRPr="00470C7C">
        <w:rPr>
          <w:rFonts w:eastAsia="Batang" w:cs="Times"/>
          <w:noProof/>
          <w:szCs w:val="24"/>
          <w:lang w:val="es-MX" w:eastAsia="es-ES"/>
        </w:rPr>
        <w:t>dos informes</w:t>
      </w:r>
      <w:r w:rsidR="00191500" w:rsidRPr="00470C7C">
        <w:rPr>
          <w:rFonts w:eastAsia="Batang" w:cs="Times"/>
          <w:noProof/>
          <w:szCs w:val="24"/>
          <w:lang w:val="es-MX" w:eastAsia="es-ES"/>
        </w:rPr>
        <w:t xml:space="preserve"> distintos</w:t>
      </w:r>
      <w:r w:rsidRPr="00470C7C">
        <w:rPr>
          <w:rFonts w:eastAsia="Batang" w:cs="Times"/>
          <w:noProof/>
          <w:szCs w:val="24"/>
          <w:lang w:val="es-MX" w:eastAsia="es-ES"/>
        </w:rPr>
        <w:t>, el primero identificado como informe preliminar</w:t>
      </w:r>
      <w:r w:rsidR="00970A16" w:rsidRPr="00470C7C">
        <w:rPr>
          <w:rFonts w:eastAsia="Batang" w:cs="Times"/>
          <w:noProof/>
          <w:szCs w:val="24"/>
          <w:lang w:val="es-MX" w:eastAsia="es-ES"/>
        </w:rPr>
        <w:t>,</w:t>
      </w:r>
      <w:r w:rsidRPr="00470C7C">
        <w:rPr>
          <w:rFonts w:eastAsia="Batang" w:cs="Times"/>
          <w:noProof/>
          <w:szCs w:val="24"/>
          <w:lang w:val="es-MX" w:eastAsia="es-ES"/>
        </w:rPr>
        <w:t xml:space="preserve"> y el segundo como definitivo. Cada uno tiene distinta naturaleza, al corresponder a etapas</w:t>
      </w:r>
      <w:r w:rsidR="007B4B35" w:rsidRPr="00470C7C">
        <w:rPr>
          <w:rFonts w:eastAsia="Batang" w:cs="Times"/>
          <w:noProof/>
          <w:szCs w:val="24"/>
          <w:lang w:val="es-MX" w:eastAsia="es-ES"/>
        </w:rPr>
        <w:t xml:space="preserve"> distintas</w:t>
      </w:r>
      <w:r w:rsidRPr="00470C7C">
        <w:rPr>
          <w:rFonts w:eastAsia="Batang" w:cs="Times"/>
          <w:noProof/>
          <w:szCs w:val="24"/>
          <w:vertAlign w:val="superscript"/>
          <w:lang w:val="es-MX" w:eastAsia="es-ES"/>
        </w:rPr>
        <w:footnoteReference w:id="20"/>
      </w:r>
      <w:r w:rsidRPr="00470C7C">
        <w:rPr>
          <w:rFonts w:eastAsia="Batang" w:cs="Times"/>
          <w:noProof/>
          <w:szCs w:val="24"/>
          <w:lang w:val="es-MX" w:eastAsia="es-ES"/>
        </w:rPr>
        <w:t>.</w:t>
      </w:r>
    </w:p>
    <w:p w14:paraId="271D0A25"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01AFFB7" w14:textId="77777777" w:rsidR="000A52D5" w:rsidRPr="00470C7C" w:rsidRDefault="000A52D5"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val="es-MX" w:eastAsia="es-ES"/>
        </w:rPr>
        <w:t xml:space="preserve">El informe preliminar responde a la primera etapa del procedimiento y está previsto en el artículo 50 de la Convención, el cual dispone que la Comisión, si </w:t>
      </w:r>
      <w:r w:rsidRPr="00470C7C">
        <w:rPr>
          <w:rFonts w:eastAsia="Batang" w:cs="Times"/>
          <w:noProof/>
          <w:szCs w:val="24"/>
          <w:lang w:val="es-ES" w:eastAsia="es-ES"/>
        </w:rPr>
        <w:t>no llegare a una solución, redactará un informe en el que expondrá los hechos y sus conclusiones, mismo que transmitirá al Estado interesado. Este documento es de carácter preliminar, por lo que el informe se transmitirá con calidad de reservado al Estado a efecto de que adopte las proposiciones y recomendaciones de la Comisión y solucione el problema planteado. La calidad de preliminar y reservado del documento hacen que el Estado no tenga la facultad de publicarlo, por lo que, en observancia a los principios de igualdad y equilibrio procesal de las partes, es razonable considerar que la Comisión tampoco se encuentra en posibilidad material y jurídica de publicar ese informe preliminar</w:t>
      </w:r>
      <w:r w:rsidRPr="00470C7C">
        <w:rPr>
          <w:rFonts w:eastAsia="Batang" w:cs="Times"/>
          <w:noProof/>
          <w:szCs w:val="24"/>
          <w:vertAlign w:val="superscript"/>
          <w:lang w:val="es-ES" w:eastAsia="es-ES"/>
        </w:rPr>
        <w:footnoteReference w:id="21"/>
      </w:r>
      <w:r w:rsidRPr="00470C7C">
        <w:rPr>
          <w:rFonts w:eastAsia="Batang" w:cs="Times"/>
          <w:noProof/>
          <w:szCs w:val="24"/>
          <w:lang w:val="es-ES" w:eastAsia="es-ES"/>
        </w:rPr>
        <w:t xml:space="preserve">.  </w:t>
      </w:r>
    </w:p>
    <w:p w14:paraId="46D0D3E4" w14:textId="77777777" w:rsidR="000A52D5" w:rsidRPr="00470C7C" w:rsidRDefault="000A52D5" w:rsidP="00140440">
      <w:pPr>
        <w:tabs>
          <w:tab w:val="clear" w:pos="4419"/>
          <w:tab w:val="clear" w:pos="8838"/>
        </w:tabs>
        <w:jc w:val="both"/>
        <w:rPr>
          <w:rFonts w:eastAsia="Batang" w:cs="Times"/>
          <w:noProof/>
          <w:szCs w:val="24"/>
          <w:lang w:val="es-ES" w:eastAsia="es-ES"/>
        </w:rPr>
      </w:pPr>
    </w:p>
    <w:p w14:paraId="545DA572" w14:textId="77777777" w:rsidR="000A52D5" w:rsidRPr="00470C7C" w:rsidRDefault="000A52D5"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val="es-ES" w:eastAsia="es-ES"/>
        </w:rPr>
        <w:t>Una vez transcurrido un plazo de tres meses, si el asunto no ha sido solucionado por el Estado al cual se ha dirigido el informe preliminar, atendiendo las proposiciones formuladas en el mismo, la Comisión está facultada dentro de dicho período a decidir si somete el caso a la Corte o si realiza la publicación del Informe de acuerdo al artículo 51</w:t>
      </w:r>
      <w:r w:rsidRPr="00470C7C">
        <w:rPr>
          <w:rFonts w:eastAsia="Batang" w:cs="Times"/>
          <w:noProof/>
          <w:szCs w:val="24"/>
          <w:vertAlign w:val="superscript"/>
          <w:lang w:val="es-ES" w:eastAsia="es-ES"/>
        </w:rPr>
        <w:footnoteReference w:id="22"/>
      </w:r>
      <w:r w:rsidRPr="00470C7C">
        <w:rPr>
          <w:rFonts w:eastAsia="Batang" w:cs="Times"/>
          <w:noProof/>
          <w:szCs w:val="24"/>
          <w:lang w:val="es-ES" w:eastAsia="es-ES"/>
        </w:rPr>
        <w:t xml:space="preserve">. </w:t>
      </w:r>
    </w:p>
    <w:p w14:paraId="27A0FB87" w14:textId="77777777" w:rsidR="000A52D5" w:rsidRPr="00470C7C" w:rsidRDefault="000A52D5" w:rsidP="00140440">
      <w:pPr>
        <w:tabs>
          <w:tab w:val="clear" w:pos="4419"/>
          <w:tab w:val="clear" w:pos="8838"/>
        </w:tabs>
        <w:jc w:val="both"/>
        <w:rPr>
          <w:rFonts w:eastAsia="Batang" w:cs="Times"/>
          <w:noProof/>
          <w:szCs w:val="24"/>
          <w:lang w:val="es-ES" w:eastAsia="es-ES"/>
        </w:rPr>
      </w:pPr>
    </w:p>
    <w:p w14:paraId="65DE4035" w14:textId="77777777" w:rsidR="000A52D5" w:rsidRPr="00470C7C" w:rsidRDefault="000A52D5"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val="es-ES" w:eastAsia="es-ES"/>
        </w:rPr>
        <w:t xml:space="preserve">En ese sentido, el Informe previsto en el artículo 50 puede ser publicado, siempre que ello suceda después de la presentación del caso a la Corte. Esto en razón de que en ese momento del procedimiento el Estado ya </w:t>
      </w:r>
      <w:r w:rsidR="001410E6" w:rsidRPr="00470C7C">
        <w:rPr>
          <w:rFonts w:eastAsia="Batang" w:cs="Times"/>
          <w:noProof/>
          <w:szCs w:val="24"/>
          <w:lang w:val="es-ES" w:eastAsia="es-ES"/>
        </w:rPr>
        <w:t>conoce</w:t>
      </w:r>
      <w:r w:rsidRPr="00470C7C">
        <w:rPr>
          <w:rFonts w:eastAsia="Batang" w:cs="Times"/>
          <w:noProof/>
          <w:szCs w:val="24"/>
          <w:lang w:val="es-ES" w:eastAsia="es-ES"/>
        </w:rPr>
        <w:t xml:space="preserve"> de su contenido y tuvo la oportunidad para cumplir las recomendaciones. Así, no se puede considerar vulnerado el principio de equilibrio procesal entre las partes.</w:t>
      </w:r>
      <w:r w:rsidR="007B4B35" w:rsidRPr="00470C7C">
        <w:rPr>
          <w:rFonts w:eastAsia="Batang" w:cs="Times"/>
          <w:noProof/>
          <w:szCs w:val="24"/>
          <w:lang w:val="es-ES" w:eastAsia="es-ES"/>
        </w:rPr>
        <w:t xml:space="preserve"> Esa ha sido la práctica reiterada de la Comisión por muchos años</w:t>
      </w:r>
      <w:r w:rsidR="004D425F" w:rsidRPr="00470C7C">
        <w:rPr>
          <w:rFonts w:eastAsia="Batang" w:cs="Times"/>
          <w:noProof/>
          <w:szCs w:val="24"/>
          <w:lang w:val="es-ES" w:eastAsia="es-ES"/>
        </w:rPr>
        <w:t>, en particular desde la reforma de</w:t>
      </w:r>
      <w:r w:rsidR="004F235B" w:rsidRPr="00470C7C">
        <w:rPr>
          <w:rFonts w:eastAsia="Batang" w:cs="Times"/>
          <w:noProof/>
          <w:szCs w:val="24"/>
          <w:lang w:val="es-ES" w:eastAsia="es-ES"/>
        </w:rPr>
        <w:t xml:space="preserve"> su</w:t>
      </w:r>
      <w:r w:rsidR="004D425F" w:rsidRPr="00470C7C">
        <w:rPr>
          <w:rFonts w:eastAsia="Batang" w:cs="Times"/>
          <w:noProof/>
          <w:szCs w:val="24"/>
          <w:lang w:val="es-ES" w:eastAsia="es-ES"/>
        </w:rPr>
        <w:t xml:space="preserve"> Reglamento del año 2009</w:t>
      </w:r>
      <w:r w:rsidR="007B4B35" w:rsidRPr="00470C7C">
        <w:rPr>
          <w:rFonts w:eastAsia="Batang" w:cs="Times"/>
          <w:noProof/>
          <w:szCs w:val="24"/>
          <w:lang w:val="es-ES" w:eastAsia="es-ES"/>
        </w:rPr>
        <w:t xml:space="preserve">. </w:t>
      </w:r>
    </w:p>
    <w:p w14:paraId="1A522D1D" w14:textId="77777777" w:rsidR="000A52D5" w:rsidRPr="00470C7C" w:rsidRDefault="000A52D5" w:rsidP="00140440">
      <w:pPr>
        <w:tabs>
          <w:tab w:val="clear" w:pos="4419"/>
          <w:tab w:val="clear" w:pos="8838"/>
        </w:tabs>
        <w:jc w:val="both"/>
        <w:rPr>
          <w:rFonts w:eastAsia="Batang" w:cs="Times"/>
          <w:noProof/>
          <w:szCs w:val="24"/>
          <w:lang w:val="es-ES" w:eastAsia="es-ES"/>
        </w:rPr>
      </w:pPr>
    </w:p>
    <w:p w14:paraId="5D996EAD"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En el presente caso, el Estado </w:t>
      </w:r>
      <w:r w:rsidR="003D4FF7" w:rsidRPr="00470C7C">
        <w:rPr>
          <w:rFonts w:eastAsia="Batang" w:cs="Times"/>
          <w:noProof/>
          <w:szCs w:val="24"/>
          <w:lang w:val="es-MX" w:eastAsia="es-ES"/>
        </w:rPr>
        <w:t xml:space="preserve">afirmó que la Comisión publicó el </w:t>
      </w:r>
      <w:r w:rsidRPr="00470C7C">
        <w:rPr>
          <w:rFonts w:eastAsia="Batang" w:cs="Times"/>
          <w:noProof/>
          <w:szCs w:val="24"/>
          <w:lang w:val="es-MX" w:eastAsia="es-ES"/>
        </w:rPr>
        <w:t>Informe de Admisibilidad y Fondo No. 169/2011</w:t>
      </w:r>
      <w:r w:rsidR="003D4FF7" w:rsidRPr="00470C7C">
        <w:rPr>
          <w:rFonts w:eastAsia="Batang" w:cs="Times"/>
          <w:noProof/>
          <w:szCs w:val="24"/>
          <w:lang w:val="es-MX" w:eastAsia="es-ES"/>
        </w:rPr>
        <w:t xml:space="preserve"> antes de su sometimiento a la Corte. </w:t>
      </w:r>
      <w:r w:rsidR="00F84A93" w:rsidRPr="00470C7C">
        <w:rPr>
          <w:rFonts w:eastAsia="Batang" w:cs="Times"/>
          <w:noProof/>
          <w:szCs w:val="24"/>
          <w:lang w:val="es-MX" w:eastAsia="es-ES"/>
        </w:rPr>
        <w:t>L</w:t>
      </w:r>
      <w:r w:rsidRPr="00470C7C">
        <w:rPr>
          <w:rFonts w:eastAsia="Batang" w:cs="Times"/>
          <w:noProof/>
          <w:szCs w:val="24"/>
          <w:lang w:val="es-MX" w:eastAsia="es-ES"/>
        </w:rPr>
        <w:t xml:space="preserve">a Comisión señaló que </w:t>
      </w:r>
      <w:r w:rsidR="00F84A93" w:rsidRPr="00470C7C">
        <w:rPr>
          <w:rFonts w:eastAsia="Batang" w:cs="Times"/>
          <w:noProof/>
          <w:szCs w:val="24"/>
          <w:lang w:val="es-MX" w:eastAsia="es-ES"/>
        </w:rPr>
        <w:t xml:space="preserve">lo </w:t>
      </w:r>
      <w:r w:rsidRPr="00470C7C">
        <w:rPr>
          <w:rFonts w:eastAsia="Batang" w:cs="Times"/>
          <w:noProof/>
          <w:szCs w:val="24"/>
          <w:lang w:val="es-MX" w:eastAsia="es-ES"/>
        </w:rPr>
        <w:t xml:space="preserve">publicó en su página web el 10 de septiembre de 2015, </w:t>
      </w:r>
      <w:r w:rsidR="00F84A93" w:rsidRPr="00470C7C">
        <w:rPr>
          <w:rFonts w:eastAsia="Batang" w:cs="Times"/>
          <w:noProof/>
          <w:szCs w:val="24"/>
          <w:lang w:val="es-MX" w:eastAsia="es-ES"/>
        </w:rPr>
        <w:t xml:space="preserve">con posterioridad </w:t>
      </w:r>
      <w:r w:rsidRPr="00470C7C">
        <w:rPr>
          <w:rFonts w:eastAsia="Batang" w:cs="Times"/>
          <w:noProof/>
          <w:szCs w:val="24"/>
          <w:lang w:val="es-MX" w:eastAsia="es-ES"/>
        </w:rPr>
        <w:t>al sometimiento del asunto a la jurisdicción de la  Corte, realizado el 12 de marzo de 2015</w:t>
      </w:r>
      <w:r w:rsidR="003D4FF7" w:rsidRPr="00470C7C">
        <w:rPr>
          <w:rFonts w:eastAsia="Batang" w:cs="Times"/>
          <w:noProof/>
          <w:szCs w:val="24"/>
          <w:lang w:val="es-MX" w:eastAsia="es-ES"/>
        </w:rPr>
        <w:t>, y presentó prueba de ello</w:t>
      </w:r>
      <w:r w:rsidRPr="00470C7C">
        <w:rPr>
          <w:rFonts w:eastAsia="Batang" w:cs="Times"/>
          <w:noProof/>
          <w:szCs w:val="24"/>
          <w:lang w:val="es-MX" w:eastAsia="es-ES"/>
        </w:rPr>
        <w:t>.</w:t>
      </w:r>
      <w:r w:rsidR="00C278B7" w:rsidRPr="00470C7C">
        <w:rPr>
          <w:rFonts w:eastAsia="Batang" w:cs="Times"/>
          <w:noProof/>
          <w:szCs w:val="24"/>
          <w:lang w:val="es-MX" w:eastAsia="es-ES"/>
        </w:rPr>
        <w:t xml:space="preserve"> </w:t>
      </w:r>
      <w:r w:rsidR="00F84A93" w:rsidRPr="00470C7C">
        <w:rPr>
          <w:rFonts w:eastAsia="Batang" w:cs="Times"/>
          <w:noProof/>
          <w:szCs w:val="24"/>
          <w:lang w:val="es-MX" w:eastAsia="es-ES"/>
        </w:rPr>
        <w:t>E</w:t>
      </w:r>
      <w:r w:rsidR="00246E8D" w:rsidRPr="00470C7C">
        <w:rPr>
          <w:rFonts w:eastAsia="Batang" w:cs="Times"/>
          <w:noProof/>
          <w:szCs w:val="24"/>
          <w:lang w:val="es-MX" w:eastAsia="es-ES"/>
        </w:rPr>
        <w:t>l Estado</w:t>
      </w:r>
      <w:r w:rsidR="00123606" w:rsidRPr="00470C7C">
        <w:rPr>
          <w:rFonts w:eastAsia="Batang" w:cs="Times"/>
          <w:noProof/>
          <w:szCs w:val="24"/>
          <w:lang w:val="es-MX" w:eastAsia="es-ES"/>
        </w:rPr>
        <w:t xml:space="preserve"> </w:t>
      </w:r>
      <w:r w:rsidR="002B7F4E" w:rsidRPr="00470C7C">
        <w:rPr>
          <w:rFonts w:eastAsia="Batang" w:cs="Times"/>
          <w:noProof/>
          <w:szCs w:val="24"/>
          <w:lang w:val="es-MX" w:eastAsia="es-ES"/>
        </w:rPr>
        <w:t>no demostró</w:t>
      </w:r>
      <w:r w:rsidR="00C278B7" w:rsidRPr="00470C7C">
        <w:rPr>
          <w:rFonts w:eastAsia="Batang" w:cs="Times"/>
          <w:noProof/>
          <w:szCs w:val="24"/>
          <w:lang w:val="es-MX" w:eastAsia="es-ES"/>
        </w:rPr>
        <w:t xml:space="preserve"> su afirmación relativa a que la publicación del Informe del presente caso se dio de forma distinta a lo expuesto por la Comisión o de manera contraria a lo establecido en la Convención Americana.</w:t>
      </w:r>
    </w:p>
    <w:p w14:paraId="6237C514"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10906F21"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En vista de lo anterior, la Corte </w:t>
      </w:r>
      <w:r w:rsidR="00191500" w:rsidRPr="00470C7C">
        <w:rPr>
          <w:rFonts w:eastAsia="Batang" w:cs="Times"/>
          <w:noProof/>
          <w:szCs w:val="24"/>
          <w:lang w:val="es-MX" w:eastAsia="es-ES"/>
        </w:rPr>
        <w:t xml:space="preserve">considera que </w:t>
      </w:r>
      <w:r w:rsidR="00123606" w:rsidRPr="00470C7C">
        <w:rPr>
          <w:rFonts w:eastAsia="Batang" w:cs="Times"/>
          <w:noProof/>
          <w:szCs w:val="24"/>
          <w:lang w:val="es-MX" w:eastAsia="es-ES"/>
        </w:rPr>
        <w:t xml:space="preserve">el alegato del Estado es improcedente. </w:t>
      </w:r>
    </w:p>
    <w:p w14:paraId="1003F6D2" w14:textId="77777777" w:rsidR="00544C53" w:rsidRPr="00470C7C" w:rsidRDefault="00544C53" w:rsidP="00140440">
      <w:pPr>
        <w:tabs>
          <w:tab w:val="clear" w:pos="4419"/>
          <w:tab w:val="clear" w:pos="8838"/>
        </w:tabs>
        <w:jc w:val="both"/>
        <w:rPr>
          <w:rFonts w:eastAsia="Batang" w:cs="Times"/>
          <w:noProof/>
          <w:szCs w:val="24"/>
          <w:u w:val="single"/>
          <w:lang w:eastAsia="es-ES"/>
        </w:rPr>
      </w:pPr>
    </w:p>
    <w:p w14:paraId="032081C0" w14:textId="77777777" w:rsidR="000A52D5" w:rsidRPr="00470C7C" w:rsidRDefault="000A52D5" w:rsidP="008B0BCC">
      <w:pPr>
        <w:pStyle w:val="Ttulo2"/>
        <w:numPr>
          <w:ilvl w:val="0"/>
          <w:numId w:val="15"/>
        </w:numPr>
        <w:rPr>
          <w:rFonts w:eastAsia="Batang"/>
          <w:noProof/>
          <w:lang w:eastAsia="es-ES"/>
        </w:rPr>
      </w:pPr>
      <w:bookmarkStart w:id="55" w:name="_Toc464813891"/>
      <w:r w:rsidRPr="00470C7C">
        <w:rPr>
          <w:rFonts w:eastAsia="Batang"/>
          <w:noProof/>
          <w:lang w:eastAsia="es-ES"/>
        </w:rPr>
        <w:t>Alegada incompetencia ratione personae respecto de las presuntas víctimas</w:t>
      </w:r>
      <w:bookmarkEnd w:id="55"/>
    </w:p>
    <w:p w14:paraId="111E63B7" w14:textId="77777777" w:rsidR="000A52D5" w:rsidRPr="00470C7C" w:rsidRDefault="000A52D5" w:rsidP="00140440">
      <w:pPr>
        <w:tabs>
          <w:tab w:val="clear" w:pos="4419"/>
          <w:tab w:val="clear" w:pos="8838"/>
        </w:tabs>
        <w:jc w:val="both"/>
        <w:rPr>
          <w:rFonts w:eastAsia="Batang" w:cs="Times"/>
          <w:b/>
          <w:noProof/>
          <w:szCs w:val="24"/>
          <w:lang w:eastAsia="es-ES"/>
        </w:rPr>
      </w:pPr>
      <w:r w:rsidRPr="00470C7C">
        <w:rPr>
          <w:rFonts w:eastAsia="Batang" w:cs="Times"/>
          <w:b/>
          <w:noProof/>
          <w:szCs w:val="24"/>
          <w:lang w:eastAsia="es-ES"/>
        </w:rPr>
        <w:t xml:space="preserve"> </w:t>
      </w:r>
    </w:p>
    <w:p w14:paraId="55E42977"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eastAsia="es-ES"/>
        </w:rPr>
        <w:t>A continuación, se indicarán e</w:t>
      </w:r>
      <w:r w:rsidRPr="00470C7C">
        <w:rPr>
          <w:rFonts w:eastAsia="Batang" w:cs="Times"/>
          <w:noProof/>
          <w:szCs w:val="24"/>
          <w:lang w:val="es-MX" w:eastAsia="es-ES"/>
        </w:rPr>
        <w:t>n primer lugar los alegatos del Estado</w:t>
      </w:r>
      <w:r w:rsidR="00C278B7" w:rsidRPr="00470C7C">
        <w:rPr>
          <w:rFonts w:eastAsia="Batang" w:cs="Times"/>
          <w:noProof/>
          <w:szCs w:val="24"/>
          <w:lang w:val="es-MX" w:eastAsia="es-ES"/>
        </w:rPr>
        <w:t xml:space="preserve"> sobre </w:t>
      </w:r>
      <w:r w:rsidR="005862BF" w:rsidRPr="00470C7C">
        <w:rPr>
          <w:rFonts w:eastAsia="Batang" w:cs="Times"/>
          <w:noProof/>
          <w:szCs w:val="24"/>
          <w:lang w:val="es-MX" w:eastAsia="es-ES"/>
        </w:rPr>
        <w:t>las excepciones relacionadas a presuntas víctimas: i) identificadas y representadas; ii) sin comprobación de representación; iii) sin poder de representación; iv) sin relación con los hechos del caso; v) con identidad distinta o falta de debida representación por familiares, y vi) que no fueron mencionadas en el Informe de Fondo.</w:t>
      </w:r>
      <w:r w:rsidRPr="00470C7C">
        <w:rPr>
          <w:rFonts w:eastAsia="Batang" w:cs="Times"/>
          <w:noProof/>
          <w:szCs w:val="24"/>
          <w:lang w:val="es-MX" w:eastAsia="es-ES"/>
        </w:rPr>
        <w:t xml:space="preserve"> </w:t>
      </w:r>
      <w:r w:rsidR="005862BF" w:rsidRPr="00470C7C">
        <w:rPr>
          <w:rFonts w:eastAsia="Batang" w:cs="Times"/>
          <w:noProof/>
          <w:szCs w:val="24"/>
          <w:lang w:val="es-MX" w:eastAsia="es-ES"/>
        </w:rPr>
        <w:t>E</w:t>
      </w:r>
      <w:r w:rsidRPr="00470C7C">
        <w:rPr>
          <w:rFonts w:eastAsia="Batang" w:cs="Times"/>
          <w:noProof/>
          <w:szCs w:val="24"/>
          <w:lang w:val="es-MX" w:eastAsia="es-ES"/>
        </w:rPr>
        <w:t>n segundo lugar</w:t>
      </w:r>
      <w:r w:rsidR="005862BF" w:rsidRPr="00470C7C">
        <w:rPr>
          <w:rFonts w:eastAsia="Batang" w:cs="Times"/>
          <w:noProof/>
          <w:szCs w:val="24"/>
          <w:lang w:val="es-MX" w:eastAsia="es-ES"/>
        </w:rPr>
        <w:t>, la Corte reseñará</w:t>
      </w:r>
      <w:r w:rsidRPr="00470C7C">
        <w:rPr>
          <w:rFonts w:eastAsia="Batang" w:cs="Times"/>
          <w:noProof/>
          <w:szCs w:val="24"/>
          <w:lang w:val="es-MX" w:eastAsia="es-ES"/>
        </w:rPr>
        <w:t xml:space="preserve"> las observaciones de la Comisión y de los representantes. Posteriormente se realizará el análisis correspondiente. </w:t>
      </w:r>
    </w:p>
    <w:p w14:paraId="2D179DBD" w14:textId="77777777" w:rsidR="000A52D5" w:rsidRPr="00470C7C" w:rsidRDefault="000A52D5" w:rsidP="00140440">
      <w:pPr>
        <w:tabs>
          <w:tab w:val="clear" w:pos="4419"/>
          <w:tab w:val="clear" w:pos="8838"/>
        </w:tabs>
        <w:jc w:val="both"/>
        <w:rPr>
          <w:rFonts w:eastAsia="Batang" w:cs="Times"/>
          <w:i/>
          <w:noProof/>
          <w:szCs w:val="24"/>
          <w:lang w:val="es-MX" w:eastAsia="es-ES"/>
        </w:rPr>
      </w:pPr>
    </w:p>
    <w:p w14:paraId="7E0B1786" w14:textId="77777777" w:rsidR="000A52D5" w:rsidRPr="00470C7C" w:rsidRDefault="000A52D5" w:rsidP="000A20C1">
      <w:pPr>
        <w:pStyle w:val="Ttulo3"/>
        <w:rPr>
          <w:noProof/>
          <w:lang w:eastAsia="es-ES"/>
        </w:rPr>
      </w:pPr>
      <w:bookmarkStart w:id="56" w:name="_Toc460432965"/>
      <w:bookmarkStart w:id="57" w:name="_Toc460441896"/>
      <w:bookmarkStart w:id="58" w:name="_Toc462750716"/>
      <w:bookmarkStart w:id="59" w:name="_Toc462751040"/>
      <w:bookmarkStart w:id="60" w:name="_Toc464813892"/>
      <w:r w:rsidRPr="00470C7C">
        <w:rPr>
          <w:noProof/>
          <w:lang w:eastAsia="es-ES"/>
        </w:rPr>
        <w:t>B.1. Alegatos del Estado</w:t>
      </w:r>
      <w:bookmarkEnd w:id="56"/>
      <w:bookmarkEnd w:id="57"/>
      <w:bookmarkEnd w:id="58"/>
      <w:bookmarkEnd w:id="59"/>
      <w:bookmarkEnd w:id="60"/>
    </w:p>
    <w:p w14:paraId="0A9274E8" w14:textId="77777777" w:rsidR="000A52D5" w:rsidRPr="00470C7C" w:rsidRDefault="000A52D5" w:rsidP="00140440">
      <w:pPr>
        <w:tabs>
          <w:tab w:val="clear" w:pos="4419"/>
          <w:tab w:val="clear" w:pos="8838"/>
        </w:tabs>
        <w:jc w:val="both"/>
        <w:rPr>
          <w:rFonts w:eastAsia="Batang" w:cs="Times"/>
          <w:noProof/>
          <w:szCs w:val="24"/>
          <w:lang w:eastAsia="es-ES"/>
        </w:rPr>
      </w:pPr>
    </w:p>
    <w:p w14:paraId="2F9B9A42" w14:textId="77777777" w:rsidR="000A52D5" w:rsidRPr="00470C7C" w:rsidRDefault="000A52D5" w:rsidP="00217CA8">
      <w:pPr>
        <w:numPr>
          <w:ilvl w:val="0"/>
          <w:numId w:val="10"/>
        </w:numPr>
        <w:tabs>
          <w:tab w:val="clear" w:pos="4419"/>
          <w:tab w:val="clear" w:pos="8838"/>
        </w:tabs>
        <w:jc w:val="both"/>
        <w:rPr>
          <w:rFonts w:eastAsia="Batang" w:cs="Times"/>
          <w:i/>
          <w:noProof/>
          <w:szCs w:val="24"/>
          <w:lang w:eastAsia="es-ES"/>
        </w:rPr>
      </w:pPr>
      <w:r w:rsidRPr="00470C7C">
        <w:rPr>
          <w:rFonts w:eastAsia="Batang" w:cs="Times"/>
          <w:i/>
          <w:noProof/>
          <w:szCs w:val="24"/>
          <w:lang w:eastAsia="es-ES"/>
        </w:rPr>
        <w:t>Presuntas víctimas identificadas y representadas</w:t>
      </w:r>
    </w:p>
    <w:p w14:paraId="7F79B5BB" w14:textId="77777777" w:rsidR="000A52D5" w:rsidRPr="00470C7C" w:rsidRDefault="000A52D5" w:rsidP="00140440">
      <w:pPr>
        <w:tabs>
          <w:tab w:val="clear" w:pos="4419"/>
          <w:tab w:val="clear" w:pos="8838"/>
        </w:tabs>
        <w:jc w:val="both"/>
        <w:rPr>
          <w:rFonts w:eastAsia="Batang" w:cs="Times"/>
          <w:noProof/>
          <w:szCs w:val="24"/>
          <w:lang w:eastAsia="es-ES"/>
        </w:rPr>
      </w:pPr>
    </w:p>
    <w:p w14:paraId="7B3DCC61"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 xml:space="preserve">El </w:t>
      </w:r>
      <w:r w:rsidRPr="00470C7C">
        <w:rPr>
          <w:rFonts w:eastAsia="Batang" w:cs="Times"/>
          <w:b/>
          <w:i/>
          <w:noProof/>
          <w:szCs w:val="24"/>
          <w:lang w:eastAsia="es-ES"/>
        </w:rPr>
        <w:t>Estado</w:t>
      </w:r>
      <w:r w:rsidRPr="00470C7C">
        <w:rPr>
          <w:rFonts w:eastAsia="Batang" w:cs="Times"/>
          <w:noProof/>
          <w:szCs w:val="24"/>
          <w:lang w:eastAsia="es-ES"/>
        </w:rPr>
        <w:t xml:space="preserve"> alegó que los representantes</w:t>
      </w:r>
      <w:r w:rsidR="00B54FB3" w:rsidRPr="00470C7C">
        <w:rPr>
          <w:rFonts w:eastAsia="Batang" w:cs="Times"/>
          <w:noProof/>
          <w:szCs w:val="24"/>
          <w:lang w:eastAsia="es-ES"/>
        </w:rPr>
        <w:t xml:space="preserve"> </w:t>
      </w:r>
      <w:r w:rsidR="004D1879" w:rsidRPr="00470C7C">
        <w:rPr>
          <w:rFonts w:eastAsia="Batang" w:cs="Times"/>
          <w:noProof/>
          <w:szCs w:val="24"/>
          <w:lang w:eastAsia="es-ES"/>
        </w:rPr>
        <w:t xml:space="preserve">solo </w:t>
      </w:r>
      <w:r w:rsidRPr="00470C7C">
        <w:rPr>
          <w:rFonts w:eastAsia="Batang" w:cs="Times"/>
          <w:noProof/>
          <w:szCs w:val="24"/>
          <w:lang w:eastAsia="es-ES"/>
        </w:rPr>
        <w:t>acreditaron los poderes de 33 presuntas víctimas que supuestamente fueron encontradas en la Hacienda Brasil Verde en el año 2000</w:t>
      </w:r>
      <w:r w:rsidRPr="00470C7C">
        <w:rPr>
          <w:rFonts w:eastAsia="Batang" w:cs="Times"/>
          <w:noProof/>
          <w:szCs w:val="24"/>
          <w:vertAlign w:val="superscript"/>
          <w:lang w:eastAsia="es-ES"/>
        </w:rPr>
        <w:footnoteReference w:id="23"/>
      </w:r>
      <w:r w:rsidRPr="00470C7C">
        <w:rPr>
          <w:rFonts w:eastAsia="Batang" w:cs="Times"/>
          <w:noProof/>
          <w:szCs w:val="24"/>
          <w:lang w:eastAsia="es-ES"/>
        </w:rPr>
        <w:t>. Además, señaló que la Corte debe analizar los hechos del caso solamente en relación con las presuntas víctimas correctamente representadas, y con aquellas listadas en el Informe de Admisibilidad y Fondo No. 169/11 debidamente identificadas y relacionadas con los hechos ocurridos en esa Hacienda. El Estado hizo notar también que los representantes no mencionaron en su escrito el nombre de Francisco das Chagas Bastos Sousa, pero se presentó un poder en su nombre; y que no se presentó poder o documento equivalente por las presuntas vícti</w:t>
      </w:r>
      <w:r w:rsidR="009C0555" w:rsidRPr="00470C7C">
        <w:rPr>
          <w:rFonts w:eastAsia="Batang" w:cs="Times"/>
          <w:noProof/>
          <w:szCs w:val="24"/>
          <w:lang w:eastAsia="es-ES"/>
        </w:rPr>
        <w:t xml:space="preserve">mas o por los familiares de </w:t>
      </w:r>
      <w:r w:rsidR="00200C04" w:rsidRPr="00470C7C">
        <w:rPr>
          <w:rFonts w:eastAsia="Batang" w:cs="Times"/>
          <w:noProof/>
          <w:szCs w:val="24"/>
          <w:lang w:eastAsia="es-ES"/>
        </w:rPr>
        <w:t xml:space="preserve">Luis Ferreira </w:t>
      </w:r>
      <w:r w:rsidR="00867094" w:rsidRPr="00470C7C">
        <w:rPr>
          <w:rFonts w:eastAsia="Batang" w:cs="Times"/>
          <w:noProof/>
          <w:szCs w:val="24"/>
          <w:lang w:eastAsia="es-ES"/>
        </w:rPr>
        <w:t>da Cruz</w:t>
      </w:r>
      <w:r w:rsidRPr="00470C7C">
        <w:rPr>
          <w:rFonts w:eastAsia="Batang" w:cs="Times"/>
          <w:noProof/>
          <w:szCs w:val="24"/>
          <w:lang w:eastAsia="es-ES"/>
        </w:rPr>
        <w:t>, presumiblemente víctima de desaparición forzada.</w:t>
      </w:r>
    </w:p>
    <w:p w14:paraId="0CD6926A" w14:textId="77777777" w:rsidR="000A52D5" w:rsidRPr="00470C7C" w:rsidRDefault="000A52D5" w:rsidP="00140440">
      <w:pPr>
        <w:tabs>
          <w:tab w:val="clear" w:pos="4419"/>
          <w:tab w:val="clear" w:pos="8838"/>
        </w:tabs>
        <w:jc w:val="both"/>
        <w:rPr>
          <w:rFonts w:eastAsia="Batang" w:cs="Times"/>
          <w:i/>
          <w:noProof/>
          <w:szCs w:val="24"/>
          <w:lang w:eastAsia="es-ES"/>
        </w:rPr>
      </w:pPr>
    </w:p>
    <w:p w14:paraId="1EBB92A6" w14:textId="77777777" w:rsidR="000A52D5" w:rsidRPr="00470C7C" w:rsidRDefault="000A52D5" w:rsidP="00217CA8">
      <w:pPr>
        <w:numPr>
          <w:ilvl w:val="0"/>
          <w:numId w:val="10"/>
        </w:numPr>
        <w:tabs>
          <w:tab w:val="clear" w:pos="4419"/>
          <w:tab w:val="clear" w:pos="8838"/>
        </w:tabs>
        <w:jc w:val="both"/>
        <w:rPr>
          <w:rFonts w:eastAsia="Batang" w:cs="Times"/>
          <w:i/>
          <w:noProof/>
          <w:szCs w:val="24"/>
          <w:lang w:eastAsia="es-ES"/>
        </w:rPr>
      </w:pPr>
      <w:r w:rsidRPr="00470C7C">
        <w:rPr>
          <w:rFonts w:eastAsia="Batang" w:cs="Times"/>
          <w:i/>
          <w:noProof/>
          <w:szCs w:val="24"/>
          <w:lang w:eastAsia="es-ES"/>
        </w:rPr>
        <w:t>Presuntas víctimas sin comprobación de la representación</w:t>
      </w:r>
    </w:p>
    <w:p w14:paraId="1CF5AF3E" w14:textId="77777777" w:rsidR="000A52D5" w:rsidRPr="00470C7C" w:rsidRDefault="000A52D5" w:rsidP="00140440">
      <w:pPr>
        <w:tabs>
          <w:tab w:val="clear" w:pos="4419"/>
          <w:tab w:val="clear" w:pos="8838"/>
        </w:tabs>
        <w:jc w:val="both"/>
        <w:rPr>
          <w:rFonts w:eastAsia="Batang" w:cs="Times"/>
          <w:noProof/>
          <w:szCs w:val="24"/>
          <w:lang w:eastAsia="es-ES"/>
        </w:rPr>
      </w:pPr>
    </w:p>
    <w:p w14:paraId="18509533"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El Estado expuso que los representantes de las presuntas víctimas deben presentar poder firmado por la presunta víctima o por su familiar, el cual debe identificar plenamente la parte que otorga el mandato de representación. Además, hizo notar que si bien los representantes cumplieron con los requisitos formales exigidos por la Corte al presentar los poderes, persisten problemas que dificultan la identificación de algunos nombres y algunas presuntas víctimas que supuestamente están representadas</w:t>
      </w:r>
      <w:r w:rsidRPr="00470C7C">
        <w:rPr>
          <w:rFonts w:eastAsia="Batang" w:cs="Times"/>
          <w:noProof/>
          <w:szCs w:val="24"/>
          <w:vertAlign w:val="superscript"/>
          <w:lang w:eastAsia="es-ES"/>
        </w:rPr>
        <w:footnoteReference w:id="24"/>
      </w:r>
      <w:r w:rsidRPr="00470C7C">
        <w:rPr>
          <w:rFonts w:eastAsia="Batang" w:cs="Times"/>
          <w:noProof/>
          <w:szCs w:val="24"/>
          <w:lang w:eastAsia="es-ES"/>
        </w:rPr>
        <w:t>.</w:t>
      </w:r>
    </w:p>
    <w:p w14:paraId="6678776D" w14:textId="77777777" w:rsidR="000A52D5" w:rsidRPr="00470C7C" w:rsidRDefault="000A52D5" w:rsidP="00140440">
      <w:pPr>
        <w:tabs>
          <w:tab w:val="clear" w:pos="4419"/>
          <w:tab w:val="clear" w:pos="8838"/>
        </w:tabs>
        <w:jc w:val="both"/>
        <w:rPr>
          <w:rFonts w:eastAsia="Batang" w:cs="Times"/>
          <w:i/>
          <w:noProof/>
          <w:szCs w:val="24"/>
          <w:lang w:val="es-MX" w:eastAsia="es-ES"/>
        </w:rPr>
      </w:pPr>
    </w:p>
    <w:p w14:paraId="368A8FC0" w14:textId="77777777" w:rsidR="000A52D5" w:rsidRPr="00470C7C" w:rsidRDefault="000A52D5" w:rsidP="00217CA8">
      <w:pPr>
        <w:numPr>
          <w:ilvl w:val="0"/>
          <w:numId w:val="10"/>
        </w:numPr>
        <w:tabs>
          <w:tab w:val="clear" w:pos="4419"/>
          <w:tab w:val="clear" w:pos="8838"/>
        </w:tabs>
        <w:jc w:val="both"/>
        <w:rPr>
          <w:rFonts w:eastAsia="Batang" w:cs="Times"/>
          <w:i/>
          <w:noProof/>
          <w:szCs w:val="24"/>
          <w:lang w:eastAsia="es-ES"/>
        </w:rPr>
      </w:pPr>
      <w:r w:rsidRPr="00470C7C">
        <w:rPr>
          <w:rFonts w:eastAsia="Batang" w:cs="Times"/>
          <w:i/>
          <w:noProof/>
          <w:szCs w:val="24"/>
          <w:lang w:eastAsia="es-ES"/>
        </w:rPr>
        <w:t>Presuntas víctimas</w:t>
      </w:r>
      <w:r w:rsidRPr="00470C7C">
        <w:rPr>
          <w:rFonts w:eastAsia="Batang" w:cs="Times"/>
          <w:i/>
          <w:noProof/>
          <w:szCs w:val="24"/>
          <w:lang w:val="es-MX" w:eastAsia="es-ES"/>
        </w:rPr>
        <w:t xml:space="preserve"> sin </w:t>
      </w:r>
      <w:r w:rsidRPr="00470C7C">
        <w:rPr>
          <w:rFonts w:eastAsia="Batang" w:cs="Times"/>
          <w:i/>
          <w:noProof/>
          <w:szCs w:val="24"/>
          <w:lang w:eastAsia="es-ES"/>
        </w:rPr>
        <w:t>poder de representación</w:t>
      </w:r>
    </w:p>
    <w:p w14:paraId="7CB99BF4" w14:textId="77777777" w:rsidR="000A52D5" w:rsidRPr="00470C7C" w:rsidRDefault="000A52D5" w:rsidP="00140440">
      <w:pPr>
        <w:tabs>
          <w:tab w:val="clear" w:pos="4419"/>
          <w:tab w:val="clear" w:pos="8838"/>
        </w:tabs>
        <w:jc w:val="both"/>
        <w:rPr>
          <w:rFonts w:eastAsia="Batang" w:cs="Times"/>
          <w:noProof/>
          <w:szCs w:val="24"/>
          <w:lang w:eastAsia="es-ES"/>
        </w:rPr>
      </w:pPr>
    </w:p>
    <w:p w14:paraId="77A0CC5C" w14:textId="77777777" w:rsidR="000A52D5" w:rsidRPr="00470C7C" w:rsidRDefault="000A52D5" w:rsidP="00140440">
      <w:pPr>
        <w:numPr>
          <w:ilvl w:val="0"/>
          <w:numId w:val="1"/>
        </w:numPr>
        <w:tabs>
          <w:tab w:val="clear" w:pos="4419"/>
          <w:tab w:val="clear" w:pos="8838"/>
        </w:tabs>
        <w:jc w:val="both"/>
        <w:rPr>
          <w:rFonts w:eastAsia="Batang" w:cs="Times"/>
          <w:b/>
          <w:noProof/>
          <w:szCs w:val="24"/>
          <w:lang w:eastAsia="es-ES"/>
        </w:rPr>
      </w:pPr>
      <w:r w:rsidRPr="00470C7C">
        <w:rPr>
          <w:rFonts w:eastAsia="Batang" w:cs="Times"/>
          <w:noProof/>
          <w:szCs w:val="24"/>
          <w:lang w:eastAsia="es-ES"/>
        </w:rPr>
        <w:t>El Estado afirmó que la Corte ha dispensado la exigencia de prueba de representación formal de presuntas víctimas en casos particulares</w:t>
      </w:r>
      <w:r w:rsidR="003A041C" w:rsidRPr="00470C7C">
        <w:rPr>
          <w:rFonts w:eastAsia="Batang" w:cs="Times"/>
          <w:noProof/>
          <w:szCs w:val="24"/>
          <w:lang w:eastAsia="es-ES"/>
        </w:rPr>
        <w:t>,</w:t>
      </w:r>
      <w:r w:rsidRPr="00470C7C">
        <w:rPr>
          <w:rFonts w:eastAsia="Batang" w:cs="Times"/>
          <w:noProof/>
          <w:szCs w:val="24"/>
          <w:lang w:eastAsia="es-ES"/>
        </w:rPr>
        <w:t xml:space="preserve"> pero que en el presente asunto no es aplicable ese criterio, ya que las presuntas víctimas no fueron ejecutadas ni existió desaparición forzada. Además, de los hechos no se pueden vislumbrar características especiales del grupo de presuntas víctimas que pudieran justificar la dispensa de la presentación de prueba de los poderes de representación. Asimismo, no sería razonable dispensar la exigencia de un mandato de representación ante la Corte, solo por la existencia de un amplio universo de presuntas víctimas, pues lo anterior generaría inseguridad jurídica y contrastaría con el análisis cuidadoso y equilibrado que la Corte ha hecho en casos anteriores.</w:t>
      </w:r>
    </w:p>
    <w:p w14:paraId="6ECCD4D6" w14:textId="77777777" w:rsidR="000A52D5" w:rsidRPr="00470C7C" w:rsidRDefault="000A52D5" w:rsidP="00140440">
      <w:pPr>
        <w:tabs>
          <w:tab w:val="clear" w:pos="4419"/>
          <w:tab w:val="clear" w:pos="8838"/>
        </w:tabs>
        <w:jc w:val="both"/>
        <w:rPr>
          <w:rFonts w:eastAsia="Batang" w:cs="Times"/>
          <w:i/>
          <w:noProof/>
          <w:szCs w:val="24"/>
          <w:lang w:eastAsia="es-ES"/>
        </w:rPr>
      </w:pPr>
    </w:p>
    <w:p w14:paraId="430E19D7" w14:textId="77777777" w:rsidR="000A52D5" w:rsidRPr="00470C7C" w:rsidRDefault="000A52D5" w:rsidP="00217CA8">
      <w:pPr>
        <w:numPr>
          <w:ilvl w:val="0"/>
          <w:numId w:val="10"/>
        </w:numPr>
        <w:tabs>
          <w:tab w:val="clear" w:pos="4419"/>
          <w:tab w:val="clear" w:pos="8838"/>
        </w:tabs>
        <w:jc w:val="both"/>
        <w:rPr>
          <w:rFonts w:eastAsia="Batang" w:cs="Times"/>
          <w:i/>
          <w:noProof/>
          <w:szCs w:val="24"/>
          <w:lang w:eastAsia="es-ES"/>
        </w:rPr>
      </w:pPr>
      <w:r w:rsidRPr="00470C7C">
        <w:rPr>
          <w:rFonts w:eastAsia="Batang" w:cs="Times"/>
          <w:i/>
          <w:noProof/>
          <w:szCs w:val="24"/>
          <w:lang w:eastAsia="es-ES"/>
        </w:rPr>
        <w:t>Presuntas víctimas sin relación con los hechos del caso</w:t>
      </w:r>
    </w:p>
    <w:p w14:paraId="0F022FF0" w14:textId="77777777" w:rsidR="000A52D5" w:rsidRPr="00470C7C" w:rsidRDefault="000A52D5" w:rsidP="00140440">
      <w:pPr>
        <w:tabs>
          <w:tab w:val="clear" w:pos="4419"/>
          <w:tab w:val="clear" w:pos="8838"/>
        </w:tabs>
        <w:jc w:val="both"/>
        <w:rPr>
          <w:rFonts w:eastAsia="Batang" w:cs="Times"/>
          <w:i/>
          <w:noProof/>
          <w:szCs w:val="24"/>
          <w:lang w:eastAsia="es-ES"/>
        </w:rPr>
      </w:pPr>
    </w:p>
    <w:p w14:paraId="61F5D411"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El Estado alegó que los representantes presentaron poderes de 12 supuestos trabajadores de la Hacienda Brasil Verde</w:t>
      </w:r>
      <w:r w:rsidRPr="00470C7C">
        <w:rPr>
          <w:rFonts w:eastAsia="Batang" w:cs="Times"/>
          <w:noProof/>
          <w:szCs w:val="24"/>
          <w:vertAlign w:val="superscript"/>
          <w:lang w:eastAsia="es-ES"/>
        </w:rPr>
        <w:footnoteReference w:id="25"/>
      </w:r>
      <w:r w:rsidRPr="00470C7C">
        <w:rPr>
          <w:rFonts w:eastAsia="Batang" w:cs="Times"/>
          <w:noProof/>
          <w:szCs w:val="24"/>
          <w:lang w:eastAsia="es-ES"/>
        </w:rPr>
        <w:t>, pero no hay prueba o indicio de que hayan sido empleados en dicha hacienda, a pesar de que sus nombres consten en el Informe de Admisibilidad y Fondo y en el informe relativo a la inspección realizada por el Grupo Especial de Inspección Móvil en marzo de 2000.</w:t>
      </w:r>
    </w:p>
    <w:p w14:paraId="2ED56DC3" w14:textId="77777777" w:rsidR="000A52D5" w:rsidRPr="00470C7C" w:rsidRDefault="000A52D5" w:rsidP="00140440">
      <w:pPr>
        <w:tabs>
          <w:tab w:val="clear" w:pos="4419"/>
          <w:tab w:val="clear" w:pos="8838"/>
        </w:tabs>
        <w:jc w:val="both"/>
        <w:rPr>
          <w:rFonts w:eastAsia="Batang" w:cs="Times"/>
          <w:noProof/>
          <w:szCs w:val="24"/>
          <w:lang w:eastAsia="es-ES"/>
        </w:rPr>
      </w:pPr>
    </w:p>
    <w:p w14:paraId="4CE0A6A9" w14:textId="77777777" w:rsidR="000A52D5" w:rsidRPr="00470C7C" w:rsidRDefault="000A52D5" w:rsidP="00217CA8">
      <w:pPr>
        <w:numPr>
          <w:ilvl w:val="0"/>
          <w:numId w:val="10"/>
        </w:numPr>
        <w:tabs>
          <w:tab w:val="clear" w:pos="4419"/>
          <w:tab w:val="clear" w:pos="8838"/>
        </w:tabs>
        <w:jc w:val="both"/>
        <w:rPr>
          <w:rFonts w:eastAsia="Batang" w:cs="Times"/>
          <w:i/>
          <w:noProof/>
          <w:szCs w:val="24"/>
          <w:lang w:eastAsia="es-ES"/>
        </w:rPr>
      </w:pPr>
      <w:r w:rsidRPr="00470C7C">
        <w:rPr>
          <w:rFonts w:eastAsia="Batang" w:cs="Times"/>
          <w:i/>
          <w:noProof/>
          <w:szCs w:val="24"/>
          <w:lang w:eastAsia="es-ES"/>
        </w:rPr>
        <w:t>Presuntas víctimas</w:t>
      </w:r>
      <w:r w:rsidRPr="00470C7C">
        <w:rPr>
          <w:rFonts w:eastAsia="Batang" w:cs="Times"/>
          <w:i/>
          <w:noProof/>
          <w:szCs w:val="24"/>
          <w:lang w:val="es-MX" w:eastAsia="es-ES"/>
        </w:rPr>
        <w:t xml:space="preserve"> con identidad distinta o sin debida representación de familiares</w:t>
      </w:r>
    </w:p>
    <w:p w14:paraId="61666C8C" w14:textId="77777777" w:rsidR="000A52D5" w:rsidRPr="00470C7C" w:rsidRDefault="000A52D5" w:rsidP="00140440">
      <w:pPr>
        <w:tabs>
          <w:tab w:val="clear" w:pos="4419"/>
          <w:tab w:val="clear" w:pos="8838"/>
        </w:tabs>
        <w:jc w:val="both"/>
        <w:rPr>
          <w:rFonts w:eastAsia="Batang" w:cs="Times"/>
          <w:i/>
          <w:noProof/>
          <w:szCs w:val="24"/>
          <w:lang w:eastAsia="es-ES"/>
        </w:rPr>
      </w:pPr>
    </w:p>
    <w:p w14:paraId="315F17D1"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El Estado señaló que existen dudas e inconsistencias en cuanto a la identidad de las víctimas representadas, pues los representantes mostraron información incompleta o imprecisa y los números de identificación son contradictorios. Además, requirió a los representantes la presentación de certificados de defunción de las presuntas víctimas ya fallecidas y la acreditación del vínculo de parentesco existente entre los supuestos familiares y las presuntas víctimas fallecidas.</w:t>
      </w:r>
    </w:p>
    <w:p w14:paraId="2821886A" w14:textId="77777777" w:rsidR="000A52D5" w:rsidRPr="00470C7C" w:rsidRDefault="000A52D5" w:rsidP="00140440">
      <w:pPr>
        <w:tabs>
          <w:tab w:val="clear" w:pos="4419"/>
          <w:tab w:val="clear" w:pos="8838"/>
        </w:tabs>
        <w:jc w:val="both"/>
        <w:rPr>
          <w:rFonts w:eastAsia="Batang" w:cs="Times"/>
          <w:i/>
          <w:noProof/>
          <w:szCs w:val="24"/>
          <w:lang w:eastAsia="es-ES"/>
        </w:rPr>
      </w:pPr>
    </w:p>
    <w:p w14:paraId="297B1C08" w14:textId="77777777" w:rsidR="000A52D5" w:rsidRPr="00470C7C" w:rsidRDefault="000A52D5" w:rsidP="00217CA8">
      <w:pPr>
        <w:numPr>
          <w:ilvl w:val="0"/>
          <w:numId w:val="10"/>
        </w:numPr>
        <w:tabs>
          <w:tab w:val="clear" w:pos="4419"/>
          <w:tab w:val="clear" w:pos="8838"/>
        </w:tabs>
        <w:jc w:val="both"/>
        <w:rPr>
          <w:rFonts w:eastAsia="Batang" w:cs="Times"/>
          <w:i/>
          <w:noProof/>
          <w:szCs w:val="24"/>
          <w:lang w:eastAsia="es-ES"/>
        </w:rPr>
      </w:pPr>
      <w:r w:rsidRPr="00470C7C">
        <w:rPr>
          <w:rFonts w:eastAsia="Batang" w:cs="Times"/>
          <w:i/>
          <w:noProof/>
          <w:szCs w:val="24"/>
          <w:lang w:eastAsia="es-ES"/>
        </w:rPr>
        <w:t>P</w:t>
      </w:r>
      <w:r w:rsidRPr="00470C7C">
        <w:rPr>
          <w:rFonts w:eastAsia="Batang" w:cs="Times"/>
          <w:i/>
          <w:noProof/>
          <w:szCs w:val="24"/>
          <w:lang w:val="es-MX" w:eastAsia="es-ES"/>
        </w:rPr>
        <w:t>resuntas víctimas que no fueron mencionadas en el Informe de Fondo</w:t>
      </w:r>
    </w:p>
    <w:p w14:paraId="72EF2A5B" w14:textId="77777777" w:rsidR="000A52D5" w:rsidRPr="00470C7C" w:rsidRDefault="000A52D5" w:rsidP="00140440">
      <w:pPr>
        <w:tabs>
          <w:tab w:val="clear" w:pos="4419"/>
          <w:tab w:val="clear" w:pos="8838"/>
        </w:tabs>
        <w:jc w:val="both"/>
        <w:rPr>
          <w:rFonts w:eastAsia="Batang" w:cs="Times"/>
          <w:noProof/>
          <w:szCs w:val="24"/>
          <w:lang w:eastAsia="es-ES"/>
        </w:rPr>
      </w:pPr>
    </w:p>
    <w:p w14:paraId="5C38E1E3"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 xml:space="preserve">Finalmente, el Estado indicó que la Corte no tiene competencia para conocer de los hechos relativos a las presuntas víctimas Francisco das Chagas Bastos Souza, José Francisco Furtado de Sousa, </w:t>
      </w:r>
      <w:r w:rsidR="00D60654" w:rsidRPr="00470C7C">
        <w:rPr>
          <w:rFonts w:eastAsia="Batang" w:cs="Times"/>
          <w:noProof/>
          <w:szCs w:val="24"/>
          <w:lang w:eastAsia="es-ES"/>
        </w:rPr>
        <w:t xml:space="preserve">Antônio </w:t>
      </w:r>
      <w:r w:rsidRPr="00470C7C">
        <w:rPr>
          <w:rFonts w:eastAsia="Batang" w:cs="Times"/>
          <w:noProof/>
          <w:szCs w:val="24"/>
          <w:lang w:eastAsia="es-ES"/>
        </w:rPr>
        <w:t>Pereira dos Santos y Francisco Pereira da Silva</w:t>
      </w:r>
      <w:r w:rsidR="005D1062" w:rsidRPr="00470C7C">
        <w:rPr>
          <w:rFonts w:eastAsia="Batang" w:cs="Times"/>
          <w:noProof/>
          <w:szCs w:val="24"/>
          <w:lang w:eastAsia="es-ES"/>
        </w:rPr>
        <w:t>,</w:t>
      </w:r>
      <w:r w:rsidRPr="00470C7C">
        <w:rPr>
          <w:rFonts w:eastAsia="Batang" w:cs="Times"/>
          <w:noProof/>
          <w:szCs w:val="24"/>
          <w:lang w:eastAsia="es-ES"/>
        </w:rPr>
        <w:t xml:space="preserve"> dado que no fueron mencionados en el Informe de Admisibilidad y Fondo No. 169/11. Además, señaló que</w:t>
      </w:r>
      <w:r w:rsidR="005D1062" w:rsidRPr="00470C7C">
        <w:rPr>
          <w:rFonts w:eastAsia="Batang" w:cs="Times"/>
          <w:noProof/>
          <w:szCs w:val="24"/>
          <w:lang w:eastAsia="es-ES"/>
        </w:rPr>
        <w:t>,</w:t>
      </w:r>
      <w:r w:rsidRPr="00470C7C">
        <w:rPr>
          <w:rFonts w:eastAsia="Batang" w:cs="Times"/>
          <w:noProof/>
          <w:szCs w:val="24"/>
          <w:lang w:eastAsia="es-ES"/>
        </w:rPr>
        <w:t xml:space="preserve"> en cuanto a José Francisco Furtado de Sousa, no existe motivo razonable para suponer que se trata de </w:t>
      </w:r>
      <w:r w:rsidR="009C0555" w:rsidRPr="00470C7C">
        <w:rPr>
          <w:rFonts w:eastAsia="Batang" w:cs="Times"/>
          <w:noProof/>
          <w:szCs w:val="24"/>
          <w:lang w:eastAsia="es-ES"/>
        </w:rPr>
        <w:t xml:space="preserve">Gonçalo </w:t>
      </w:r>
      <w:r w:rsidRPr="00470C7C">
        <w:rPr>
          <w:rFonts w:eastAsia="Batang" w:cs="Times"/>
          <w:noProof/>
          <w:szCs w:val="24"/>
          <w:lang w:eastAsia="es-ES"/>
        </w:rPr>
        <w:t xml:space="preserve">Luiz Furtado, indicado como víctima en el Informe de Fondo. </w:t>
      </w:r>
    </w:p>
    <w:p w14:paraId="0D3EB2FC" w14:textId="77777777" w:rsidR="000A52D5" w:rsidRPr="00470C7C" w:rsidRDefault="000A52D5" w:rsidP="00140440">
      <w:pPr>
        <w:tabs>
          <w:tab w:val="clear" w:pos="4419"/>
          <w:tab w:val="clear" w:pos="8838"/>
        </w:tabs>
        <w:jc w:val="both"/>
        <w:rPr>
          <w:rFonts w:eastAsia="Batang" w:cs="Times"/>
          <w:noProof/>
          <w:szCs w:val="24"/>
          <w:lang w:eastAsia="es-ES"/>
        </w:rPr>
      </w:pPr>
    </w:p>
    <w:p w14:paraId="39652824" w14:textId="77777777" w:rsidR="000A52D5" w:rsidRPr="00470C7C" w:rsidRDefault="000B2BFA"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eastAsia="es-ES"/>
        </w:rPr>
        <w:t>E</w:t>
      </w:r>
      <w:r w:rsidR="000A52D5" w:rsidRPr="00470C7C">
        <w:rPr>
          <w:rFonts w:eastAsia="Batang" w:cs="Times"/>
          <w:noProof/>
          <w:szCs w:val="24"/>
          <w:lang w:eastAsia="es-ES"/>
        </w:rPr>
        <w:t>l Estado solicitó a la Corte que ejerza su competencia</w:t>
      </w:r>
      <w:r w:rsidR="00B54FB3" w:rsidRPr="00470C7C">
        <w:rPr>
          <w:rFonts w:eastAsia="Batang" w:cs="Times"/>
          <w:noProof/>
          <w:szCs w:val="24"/>
          <w:lang w:eastAsia="es-ES"/>
        </w:rPr>
        <w:t xml:space="preserve"> </w:t>
      </w:r>
      <w:r w:rsidR="004D1879" w:rsidRPr="00470C7C">
        <w:rPr>
          <w:rFonts w:eastAsia="Batang" w:cs="Times"/>
          <w:noProof/>
          <w:szCs w:val="24"/>
          <w:lang w:eastAsia="es-ES"/>
        </w:rPr>
        <w:t xml:space="preserve">solo </w:t>
      </w:r>
      <w:r w:rsidR="000A52D5" w:rsidRPr="00470C7C">
        <w:rPr>
          <w:rFonts w:eastAsia="Batang" w:cs="Times"/>
          <w:noProof/>
          <w:szCs w:val="24"/>
          <w:lang w:eastAsia="es-ES"/>
        </w:rPr>
        <w:t xml:space="preserve">respecto de las </w:t>
      </w:r>
      <w:r w:rsidR="00C278B7" w:rsidRPr="00470C7C">
        <w:rPr>
          <w:rFonts w:eastAsia="Batang" w:cs="Times"/>
          <w:noProof/>
          <w:szCs w:val="24"/>
          <w:lang w:eastAsia="es-ES"/>
        </w:rPr>
        <w:t xml:space="preserve">18 </w:t>
      </w:r>
      <w:r w:rsidR="000A52D5" w:rsidRPr="00470C7C">
        <w:rPr>
          <w:rFonts w:eastAsia="Batang" w:cs="Times"/>
          <w:noProof/>
          <w:szCs w:val="24"/>
          <w:lang w:eastAsia="es-ES"/>
        </w:rPr>
        <w:t>presuntas víctimas “debidamente representadas, identificadas y relacionadas” en el Informe de Admisibilidad y Fondo No. 169/11</w:t>
      </w:r>
      <w:r w:rsidR="009C0555" w:rsidRPr="00470C7C">
        <w:rPr>
          <w:rStyle w:val="Refdenotaalpie"/>
          <w:rFonts w:eastAsia="Batang"/>
          <w:noProof/>
          <w:lang w:eastAsia="es-ES"/>
        </w:rPr>
        <w:footnoteReference w:id="26"/>
      </w:r>
      <w:r w:rsidR="009C0555" w:rsidRPr="00470C7C">
        <w:rPr>
          <w:rFonts w:eastAsia="Batang" w:cs="Times"/>
          <w:noProof/>
          <w:szCs w:val="24"/>
          <w:lang w:eastAsia="es-ES"/>
        </w:rPr>
        <w:t>.</w:t>
      </w:r>
      <w:r w:rsidR="000A52D5" w:rsidRPr="00470C7C">
        <w:rPr>
          <w:rFonts w:eastAsia="Batang" w:cs="Times"/>
          <w:noProof/>
          <w:szCs w:val="24"/>
          <w:lang w:eastAsia="es-ES"/>
        </w:rPr>
        <w:t xml:space="preserve"> </w:t>
      </w:r>
    </w:p>
    <w:p w14:paraId="78C1C890" w14:textId="77777777" w:rsidR="0079341A" w:rsidRPr="00470C7C" w:rsidRDefault="0079341A" w:rsidP="00140440">
      <w:pPr>
        <w:tabs>
          <w:tab w:val="clear" w:pos="4419"/>
          <w:tab w:val="clear" w:pos="8838"/>
        </w:tabs>
        <w:jc w:val="both"/>
        <w:rPr>
          <w:rFonts w:eastAsia="Batang" w:cs="Times"/>
          <w:i/>
          <w:noProof/>
          <w:szCs w:val="24"/>
          <w:lang w:val="es-ES" w:eastAsia="es-ES"/>
        </w:rPr>
      </w:pPr>
    </w:p>
    <w:p w14:paraId="3D383433" w14:textId="77777777" w:rsidR="000A52D5" w:rsidRPr="00470C7C" w:rsidRDefault="000A52D5" w:rsidP="000A20C1">
      <w:pPr>
        <w:pStyle w:val="Ttulo3"/>
        <w:rPr>
          <w:noProof/>
          <w:lang w:eastAsia="es-ES"/>
        </w:rPr>
      </w:pPr>
      <w:bookmarkStart w:id="61" w:name="_Toc460432966"/>
      <w:bookmarkStart w:id="62" w:name="_Toc460441897"/>
      <w:bookmarkStart w:id="63" w:name="_Toc462750717"/>
      <w:bookmarkStart w:id="64" w:name="_Toc462751041"/>
      <w:bookmarkStart w:id="65" w:name="_Toc464813893"/>
      <w:r w:rsidRPr="00470C7C">
        <w:rPr>
          <w:noProof/>
          <w:lang w:eastAsia="es-ES"/>
        </w:rPr>
        <w:t>B.2. Observaciones de la Comisión</w:t>
      </w:r>
      <w:bookmarkEnd w:id="61"/>
      <w:bookmarkEnd w:id="62"/>
      <w:bookmarkEnd w:id="63"/>
      <w:bookmarkEnd w:id="64"/>
      <w:bookmarkEnd w:id="65"/>
    </w:p>
    <w:p w14:paraId="303753FB" w14:textId="77777777" w:rsidR="000A52D5" w:rsidRPr="00470C7C" w:rsidRDefault="000A52D5" w:rsidP="00140440">
      <w:pPr>
        <w:tabs>
          <w:tab w:val="clear" w:pos="4419"/>
          <w:tab w:val="clear" w:pos="8838"/>
        </w:tabs>
        <w:jc w:val="both"/>
        <w:rPr>
          <w:rFonts w:eastAsia="Batang" w:cs="Times"/>
          <w:noProof/>
          <w:szCs w:val="24"/>
          <w:lang w:eastAsia="es-ES"/>
        </w:rPr>
      </w:pPr>
    </w:p>
    <w:p w14:paraId="559D9AA6"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La Comisión indicó que los alegatos del Estado deben considerarse improcedentes</w:t>
      </w:r>
      <w:r w:rsidR="00C4706E" w:rsidRPr="00470C7C">
        <w:rPr>
          <w:rFonts w:eastAsia="Batang" w:cs="Times"/>
          <w:noProof/>
          <w:szCs w:val="24"/>
          <w:lang w:eastAsia="es-ES"/>
        </w:rPr>
        <w:t>,</w:t>
      </w:r>
      <w:r w:rsidRPr="00470C7C">
        <w:rPr>
          <w:rFonts w:eastAsia="Batang" w:cs="Times"/>
          <w:noProof/>
          <w:szCs w:val="24"/>
          <w:lang w:eastAsia="es-ES"/>
        </w:rPr>
        <w:t xml:space="preserve"> pues corresponden a un aspecto de estudio del fondo del caso. Añadió que en el presente caso es aplicable el artículo 35.2 del Reglamento de la Corte, dado que las personas no incluidas en el Informe de Admisibilidad y Fondo no pueden quedar excluidas de la decisión de este Tribunal. </w:t>
      </w:r>
      <w:r w:rsidR="00565268" w:rsidRPr="00470C7C">
        <w:rPr>
          <w:rFonts w:eastAsia="Batang" w:cs="Times"/>
          <w:noProof/>
          <w:szCs w:val="24"/>
          <w:lang w:eastAsia="es-ES"/>
        </w:rPr>
        <w:t>L</w:t>
      </w:r>
      <w:r w:rsidRPr="00470C7C">
        <w:rPr>
          <w:rFonts w:eastAsia="Batang" w:cs="Times"/>
          <w:noProof/>
          <w:szCs w:val="24"/>
          <w:lang w:eastAsia="es-ES"/>
        </w:rPr>
        <w:t xml:space="preserve">a Comisión señaló que la Corte debe mantener un grado de flexibilidad, o bien ordenar la práctica de alguna diligencia para allegarse de la prueba que considerara pertinente para identificar el mayor número de víctimas, considerando que la falta de información completa sobre ellas obedece a la naturaleza del caso y a las omisiones del Estado durante las respectivas inspecciones de proporcionar documentación e información. </w:t>
      </w:r>
    </w:p>
    <w:p w14:paraId="1A42C3AC" w14:textId="77777777" w:rsidR="000A52D5" w:rsidRPr="00470C7C" w:rsidRDefault="000A52D5" w:rsidP="00140440">
      <w:pPr>
        <w:tabs>
          <w:tab w:val="clear" w:pos="4419"/>
          <w:tab w:val="clear" w:pos="8838"/>
        </w:tabs>
        <w:jc w:val="both"/>
        <w:rPr>
          <w:rFonts w:eastAsia="Batang" w:cs="Times"/>
          <w:noProof/>
          <w:szCs w:val="24"/>
          <w:lang w:eastAsia="es-ES"/>
        </w:rPr>
      </w:pPr>
    </w:p>
    <w:p w14:paraId="0E597082"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 xml:space="preserve">Además, la Comisión afirmó que el hecho de no contar con un poder de representación no puede constituir una razón suficiente para que una persona no sea identificada y declarada víctima en un caso individual, por lo que la Corte debería determinar si las presuntas víctimas que no otorgaron poder están razonablemente representadas por los representantes actuales, incluso para las etapas posteriores del proceso. Lo anterior, dado que los representantes de las </w:t>
      </w:r>
      <w:r w:rsidR="00350AD5" w:rsidRPr="00470C7C">
        <w:rPr>
          <w:rFonts w:eastAsia="Batang" w:cs="Times"/>
          <w:noProof/>
          <w:szCs w:val="24"/>
          <w:lang w:eastAsia="es-ES"/>
        </w:rPr>
        <w:t xml:space="preserve">presuntas </w:t>
      </w:r>
      <w:r w:rsidRPr="00470C7C">
        <w:rPr>
          <w:rFonts w:eastAsia="Batang" w:cs="Times"/>
          <w:noProof/>
          <w:szCs w:val="24"/>
          <w:lang w:eastAsia="es-ES"/>
        </w:rPr>
        <w:t xml:space="preserve">víctimas no han excluido deliberada o expresamente a personas respecto de </w:t>
      </w:r>
      <w:r w:rsidR="009C0D34" w:rsidRPr="00470C7C">
        <w:rPr>
          <w:rFonts w:eastAsia="Batang" w:cs="Times"/>
          <w:noProof/>
          <w:szCs w:val="24"/>
          <w:lang w:eastAsia="es-ES"/>
        </w:rPr>
        <w:t>quienes</w:t>
      </w:r>
      <w:r w:rsidRPr="00470C7C">
        <w:rPr>
          <w:rFonts w:eastAsia="Batang" w:cs="Times"/>
          <w:noProof/>
          <w:szCs w:val="24"/>
          <w:lang w:eastAsia="es-ES"/>
        </w:rPr>
        <w:t xml:space="preserve"> no tienen poder de representación.</w:t>
      </w:r>
    </w:p>
    <w:p w14:paraId="183DE898" w14:textId="77777777" w:rsidR="000A52D5" w:rsidRPr="00470C7C" w:rsidRDefault="000A52D5" w:rsidP="00140440">
      <w:pPr>
        <w:tabs>
          <w:tab w:val="clear" w:pos="4419"/>
          <w:tab w:val="clear" w:pos="8838"/>
        </w:tabs>
        <w:jc w:val="both"/>
        <w:rPr>
          <w:rFonts w:eastAsia="Batang" w:cs="Times"/>
          <w:i/>
          <w:noProof/>
          <w:szCs w:val="24"/>
          <w:lang w:eastAsia="es-ES"/>
        </w:rPr>
      </w:pPr>
    </w:p>
    <w:p w14:paraId="1A10DFFE"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 xml:space="preserve">Finalmente, la Comisión señaló que los alegatos del Estado no constituyen una excepción preliminar, pues la identificación de las víctimas se debería efectuar atendiendo el contexto del asunto, en términos de lo dispuesto en el artículo 35.2 del Reglamento de la Corte, así como a través de la adopción de medidas necesarias para garantizar la representación de todas las </w:t>
      </w:r>
      <w:r w:rsidR="00350AD5" w:rsidRPr="00470C7C">
        <w:rPr>
          <w:rFonts w:eastAsia="Batang" w:cs="Times"/>
          <w:noProof/>
          <w:szCs w:val="24"/>
          <w:lang w:eastAsia="es-ES"/>
        </w:rPr>
        <w:t xml:space="preserve">presuntas </w:t>
      </w:r>
      <w:r w:rsidRPr="00470C7C">
        <w:rPr>
          <w:rFonts w:eastAsia="Batang" w:cs="Times"/>
          <w:noProof/>
          <w:szCs w:val="24"/>
          <w:lang w:eastAsia="es-ES"/>
        </w:rPr>
        <w:t>víctimas posibles en el proceso interamericano.</w:t>
      </w:r>
    </w:p>
    <w:p w14:paraId="146DE5C6" w14:textId="77777777" w:rsidR="000A52D5" w:rsidRPr="00470C7C" w:rsidRDefault="000A52D5" w:rsidP="00140440">
      <w:pPr>
        <w:tabs>
          <w:tab w:val="clear" w:pos="4419"/>
          <w:tab w:val="clear" w:pos="8838"/>
        </w:tabs>
        <w:jc w:val="both"/>
        <w:rPr>
          <w:rFonts w:eastAsia="Batang" w:cs="Times"/>
          <w:i/>
          <w:noProof/>
          <w:szCs w:val="24"/>
          <w:lang w:eastAsia="es-ES"/>
        </w:rPr>
      </w:pPr>
    </w:p>
    <w:p w14:paraId="57148FE1" w14:textId="77777777" w:rsidR="000A52D5" w:rsidRPr="00470C7C" w:rsidRDefault="000A52D5" w:rsidP="000A20C1">
      <w:pPr>
        <w:pStyle w:val="Ttulo3"/>
        <w:rPr>
          <w:noProof/>
          <w:lang w:eastAsia="es-ES"/>
        </w:rPr>
      </w:pPr>
      <w:bookmarkStart w:id="66" w:name="_Toc460432967"/>
      <w:bookmarkStart w:id="67" w:name="_Toc460441898"/>
      <w:bookmarkStart w:id="68" w:name="_Toc462750718"/>
      <w:bookmarkStart w:id="69" w:name="_Toc462751042"/>
      <w:bookmarkStart w:id="70" w:name="_Toc464813894"/>
      <w:r w:rsidRPr="00470C7C">
        <w:rPr>
          <w:noProof/>
          <w:lang w:eastAsia="es-ES"/>
        </w:rPr>
        <w:t>B.3. Observaciones de los representantes</w:t>
      </w:r>
      <w:bookmarkEnd w:id="66"/>
      <w:bookmarkEnd w:id="67"/>
      <w:bookmarkEnd w:id="68"/>
      <w:bookmarkEnd w:id="69"/>
      <w:bookmarkEnd w:id="70"/>
    </w:p>
    <w:p w14:paraId="4AE0985C" w14:textId="77777777" w:rsidR="000A52D5" w:rsidRPr="00470C7C" w:rsidRDefault="000A52D5" w:rsidP="00140440">
      <w:pPr>
        <w:tabs>
          <w:tab w:val="clear" w:pos="4419"/>
          <w:tab w:val="clear" w:pos="8838"/>
        </w:tabs>
        <w:jc w:val="both"/>
        <w:rPr>
          <w:rFonts w:eastAsia="Batang" w:cs="Times"/>
          <w:noProof/>
          <w:szCs w:val="24"/>
          <w:lang w:eastAsia="es-ES"/>
        </w:rPr>
      </w:pPr>
    </w:p>
    <w:p w14:paraId="2541D14C"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Los representantes alegaron que</w:t>
      </w:r>
      <w:r w:rsidR="009C0D34" w:rsidRPr="00470C7C">
        <w:rPr>
          <w:rFonts w:eastAsia="Batang" w:cs="Times"/>
          <w:noProof/>
          <w:szCs w:val="24"/>
          <w:lang w:eastAsia="es-ES"/>
        </w:rPr>
        <w:t>,</w:t>
      </w:r>
      <w:r w:rsidRPr="00470C7C">
        <w:rPr>
          <w:rFonts w:eastAsia="Batang" w:cs="Times"/>
          <w:noProof/>
          <w:szCs w:val="24"/>
          <w:lang w:eastAsia="es-ES"/>
        </w:rPr>
        <w:t xml:space="preserve"> ante la complejidad del caso, la naturaleza masiva y colectiva de las violaciones, así como otros factores de contexto, resulta razonable aplicar lo dispuesto en el artículo 35.2 del Reglamento de la Corte, por lo que se debería hacer una identificación colectiva de </w:t>
      </w:r>
      <w:r w:rsidR="001A10D5" w:rsidRPr="00470C7C">
        <w:rPr>
          <w:rFonts w:eastAsia="Batang" w:cs="Times"/>
          <w:noProof/>
          <w:szCs w:val="24"/>
          <w:lang w:eastAsia="es-ES"/>
        </w:rPr>
        <w:t xml:space="preserve">todas </w:t>
      </w:r>
      <w:r w:rsidRPr="00470C7C">
        <w:rPr>
          <w:rFonts w:eastAsia="Batang" w:cs="Times"/>
          <w:noProof/>
          <w:szCs w:val="24"/>
          <w:lang w:eastAsia="es-ES"/>
        </w:rPr>
        <w:t xml:space="preserve">las </w:t>
      </w:r>
      <w:r w:rsidR="00350AD5" w:rsidRPr="00470C7C">
        <w:rPr>
          <w:rFonts w:eastAsia="Batang" w:cs="Times"/>
          <w:noProof/>
          <w:szCs w:val="24"/>
          <w:lang w:eastAsia="es-ES"/>
        </w:rPr>
        <w:t xml:space="preserve">presuntas </w:t>
      </w:r>
      <w:r w:rsidRPr="00470C7C">
        <w:rPr>
          <w:rFonts w:eastAsia="Batang" w:cs="Times"/>
          <w:noProof/>
          <w:szCs w:val="24"/>
          <w:lang w:eastAsia="es-ES"/>
        </w:rPr>
        <w:t>víctimas encontradas en las inspecciones de 1993, 1996, 1997 y 2000 en la Hacienda Brasil Verde.</w:t>
      </w:r>
    </w:p>
    <w:p w14:paraId="69071C36" w14:textId="77777777" w:rsidR="000A52D5" w:rsidRPr="00470C7C" w:rsidRDefault="000A52D5" w:rsidP="00140440">
      <w:pPr>
        <w:tabs>
          <w:tab w:val="clear" w:pos="4419"/>
          <w:tab w:val="clear" w:pos="8838"/>
        </w:tabs>
        <w:jc w:val="both"/>
        <w:rPr>
          <w:rFonts w:eastAsia="Batang" w:cs="Times"/>
          <w:noProof/>
          <w:szCs w:val="24"/>
          <w:lang w:eastAsia="es-ES"/>
        </w:rPr>
      </w:pPr>
    </w:p>
    <w:p w14:paraId="50D22805"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 xml:space="preserve">Además, señalaron que lograron identificar 49 </w:t>
      </w:r>
      <w:r w:rsidR="00350AD5" w:rsidRPr="00470C7C">
        <w:rPr>
          <w:rFonts w:eastAsia="Batang" w:cs="Times"/>
          <w:noProof/>
          <w:szCs w:val="24"/>
          <w:lang w:eastAsia="es-ES"/>
        </w:rPr>
        <w:t>personas</w:t>
      </w:r>
      <w:r w:rsidRPr="00470C7C">
        <w:rPr>
          <w:rFonts w:eastAsia="Batang" w:cs="Times"/>
          <w:noProof/>
          <w:szCs w:val="24"/>
          <w:lang w:eastAsia="es-ES"/>
        </w:rPr>
        <w:t xml:space="preserve"> de la inspección de 1993; 78 de la inspección de 1996; 93 de la visita de 1997 y 85 de la inspección de 2000. Indicaron que</w:t>
      </w:r>
      <w:r w:rsidR="001A10D5" w:rsidRPr="00470C7C">
        <w:rPr>
          <w:rFonts w:eastAsia="Batang" w:cs="Times"/>
          <w:noProof/>
          <w:szCs w:val="24"/>
          <w:lang w:eastAsia="es-ES"/>
        </w:rPr>
        <w:t>,</w:t>
      </w:r>
      <w:r w:rsidRPr="00470C7C">
        <w:rPr>
          <w:rFonts w:eastAsia="Batang" w:cs="Times"/>
          <w:noProof/>
          <w:szCs w:val="24"/>
          <w:lang w:eastAsia="es-ES"/>
        </w:rPr>
        <w:t xml:space="preserve"> en la medida de sus posibilidades</w:t>
      </w:r>
      <w:r w:rsidR="009C0D34" w:rsidRPr="00470C7C">
        <w:rPr>
          <w:rFonts w:eastAsia="Batang" w:cs="Times"/>
          <w:noProof/>
          <w:szCs w:val="24"/>
          <w:lang w:eastAsia="es-ES"/>
        </w:rPr>
        <w:t>,</w:t>
      </w:r>
      <w:r w:rsidRPr="00470C7C">
        <w:rPr>
          <w:rFonts w:eastAsia="Batang" w:cs="Times"/>
          <w:noProof/>
          <w:szCs w:val="24"/>
          <w:lang w:eastAsia="es-ES"/>
        </w:rPr>
        <w:t xml:space="preserve"> y a pesar de las dificultades existentes, se esforzaron en individualizar con nombres y apellidos al menos a todas de las cuales tuvieron acceso a sus documentos, sin perder de vista que han trascurrido 20 años desde que se hizo la primera inspección, lo que dificultó el contacto con </w:t>
      </w:r>
      <w:r w:rsidR="00350AD5" w:rsidRPr="00470C7C">
        <w:rPr>
          <w:rFonts w:eastAsia="Batang" w:cs="Times"/>
          <w:noProof/>
          <w:szCs w:val="24"/>
          <w:lang w:eastAsia="es-ES"/>
        </w:rPr>
        <w:t>el</w:t>
      </w:r>
      <w:r w:rsidRPr="00470C7C">
        <w:rPr>
          <w:rFonts w:eastAsia="Batang" w:cs="Times"/>
          <w:noProof/>
          <w:szCs w:val="24"/>
          <w:lang w:eastAsia="es-ES"/>
        </w:rPr>
        <w:t xml:space="preserve">las. Asimismo, indicaron que en la inspección de 2000 se verificó que la mayoría de las </w:t>
      </w:r>
      <w:r w:rsidR="00350AD5" w:rsidRPr="00470C7C">
        <w:rPr>
          <w:rFonts w:eastAsia="Batang" w:cs="Times"/>
          <w:noProof/>
          <w:szCs w:val="24"/>
          <w:lang w:eastAsia="es-ES"/>
        </w:rPr>
        <w:t xml:space="preserve">presuntas </w:t>
      </w:r>
      <w:r w:rsidRPr="00470C7C">
        <w:rPr>
          <w:rFonts w:eastAsia="Batang" w:cs="Times"/>
          <w:noProof/>
          <w:szCs w:val="24"/>
          <w:lang w:eastAsia="es-ES"/>
        </w:rPr>
        <w:t xml:space="preserve">víctimas eran analfabetas, provenían de zonas rurales, pocos tenían identificación oficial y se desplazaban continuamente para buscar sustento económico. </w:t>
      </w:r>
    </w:p>
    <w:p w14:paraId="295630F1" w14:textId="77777777" w:rsidR="000A52D5" w:rsidRPr="00470C7C" w:rsidRDefault="000A52D5" w:rsidP="00140440">
      <w:pPr>
        <w:tabs>
          <w:tab w:val="clear" w:pos="4419"/>
          <w:tab w:val="clear" w:pos="8838"/>
        </w:tabs>
        <w:jc w:val="both"/>
        <w:rPr>
          <w:rFonts w:eastAsia="Batang" w:cs="Times"/>
          <w:noProof/>
          <w:szCs w:val="24"/>
          <w:lang w:eastAsia="es-ES"/>
        </w:rPr>
      </w:pPr>
    </w:p>
    <w:p w14:paraId="6AA06151" w14:textId="77777777" w:rsidR="000A52D5" w:rsidRPr="00470C7C" w:rsidRDefault="000A52D5" w:rsidP="00140440">
      <w:pPr>
        <w:numPr>
          <w:ilvl w:val="0"/>
          <w:numId w:val="1"/>
        </w:numPr>
        <w:tabs>
          <w:tab w:val="clear" w:pos="4419"/>
          <w:tab w:val="clear" w:pos="8838"/>
        </w:tabs>
        <w:jc w:val="both"/>
        <w:rPr>
          <w:rFonts w:eastAsia="Batang" w:cs="Times"/>
          <w:b/>
          <w:noProof/>
          <w:szCs w:val="24"/>
          <w:lang w:eastAsia="es-ES"/>
        </w:rPr>
      </w:pPr>
      <w:r w:rsidRPr="00470C7C">
        <w:rPr>
          <w:rFonts w:eastAsia="Batang" w:cs="Times"/>
          <w:noProof/>
          <w:szCs w:val="24"/>
          <w:lang w:eastAsia="es-ES"/>
        </w:rPr>
        <w:t xml:space="preserve">Los representantes también señalaron que no es un requisito de la Convención Americana ni del Reglamento de la Comisión o de la Corte, que las presuntas víctimas cuenten con representación legal formal en el proceso interamericano. Por lo tanto, existen pocos formalismos para acceder a los mecanismos de protección. Además, indicaron que las presuntas víctimas pueden optar por representantes legales, pero que no es una obligación contar con ellos, siendo también innecesaria la representación con poderes específicos como ya ha definido la jurisprudencia de la Corte. </w:t>
      </w:r>
    </w:p>
    <w:p w14:paraId="25C2637A" w14:textId="77777777" w:rsidR="000A52D5" w:rsidRPr="00470C7C" w:rsidRDefault="000A52D5" w:rsidP="00140440">
      <w:pPr>
        <w:tabs>
          <w:tab w:val="clear" w:pos="4419"/>
          <w:tab w:val="clear" w:pos="8838"/>
        </w:tabs>
        <w:jc w:val="both"/>
        <w:rPr>
          <w:rFonts w:eastAsia="Batang" w:cs="Times"/>
          <w:noProof/>
          <w:szCs w:val="24"/>
          <w:lang w:eastAsia="es-ES"/>
        </w:rPr>
      </w:pPr>
    </w:p>
    <w:p w14:paraId="2D6F0D3F" w14:textId="77777777" w:rsidR="000A52D5" w:rsidRPr="00470C7C" w:rsidRDefault="000A52D5" w:rsidP="00140440">
      <w:pPr>
        <w:numPr>
          <w:ilvl w:val="0"/>
          <w:numId w:val="1"/>
        </w:numPr>
        <w:tabs>
          <w:tab w:val="clear" w:pos="4419"/>
          <w:tab w:val="clear" w:pos="8838"/>
        </w:tabs>
        <w:jc w:val="both"/>
        <w:rPr>
          <w:rFonts w:eastAsia="Batang" w:cs="Times"/>
          <w:b/>
          <w:noProof/>
          <w:szCs w:val="24"/>
          <w:lang w:eastAsia="es-ES"/>
        </w:rPr>
      </w:pPr>
      <w:r w:rsidRPr="00470C7C">
        <w:rPr>
          <w:rFonts w:eastAsia="Batang" w:cs="Times"/>
          <w:noProof/>
          <w:szCs w:val="24"/>
          <w:lang w:eastAsia="es-ES"/>
        </w:rPr>
        <w:t>Por otra parte, alegaron que debe tomarse en consideración la localización lejana de la Hacienda Brasil Verde y las dificultades de acceso hacia ella, la situación de exclusión, vulnerabilidad, analfabetismo y movilidad de las presuntas víctimas, y que éstas nunca se manifestaron contra la representación hecha en el proceso internacional. Finalmente, destacaron la jurisprudencia de la Corte en el sentido de que la lista de víctimas puede variar durante el trámite del proceso en ciertas circunstancias.</w:t>
      </w:r>
    </w:p>
    <w:p w14:paraId="185C0022" w14:textId="77777777" w:rsidR="000A52D5" w:rsidRPr="00470C7C" w:rsidRDefault="000A52D5" w:rsidP="00140440">
      <w:pPr>
        <w:tabs>
          <w:tab w:val="clear" w:pos="4419"/>
          <w:tab w:val="clear" w:pos="8838"/>
        </w:tabs>
        <w:jc w:val="both"/>
        <w:rPr>
          <w:rFonts w:eastAsia="Batang" w:cs="Times"/>
          <w:i/>
          <w:noProof/>
          <w:szCs w:val="24"/>
          <w:lang w:eastAsia="es-ES"/>
        </w:rPr>
      </w:pPr>
    </w:p>
    <w:p w14:paraId="1C7DCE74" w14:textId="77777777" w:rsidR="000A52D5" w:rsidRPr="00470C7C" w:rsidRDefault="000A52D5" w:rsidP="0079341A">
      <w:pPr>
        <w:pStyle w:val="Ttulo3"/>
        <w:rPr>
          <w:noProof/>
          <w:lang w:eastAsia="es-ES"/>
        </w:rPr>
      </w:pPr>
      <w:bookmarkStart w:id="71" w:name="_Toc460432968"/>
      <w:bookmarkStart w:id="72" w:name="_Toc460441899"/>
      <w:bookmarkStart w:id="73" w:name="_Toc462750719"/>
      <w:bookmarkStart w:id="74" w:name="_Toc462751043"/>
      <w:bookmarkStart w:id="75" w:name="_Toc464813895"/>
      <w:r w:rsidRPr="00470C7C">
        <w:rPr>
          <w:noProof/>
          <w:lang w:eastAsia="es-ES"/>
        </w:rPr>
        <w:t>B.4. Consideraciones de la Corte</w:t>
      </w:r>
      <w:bookmarkEnd w:id="71"/>
      <w:bookmarkEnd w:id="72"/>
      <w:bookmarkEnd w:id="73"/>
      <w:bookmarkEnd w:id="74"/>
      <w:bookmarkEnd w:id="75"/>
    </w:p>
    <w:p w14:paraId="2165F12A" w14:textId="77777777" w:rsidR="0079341A" w:rsidRPr="00470C7C" w:rsidRDefault="0079341A" w:rsidP="0079341A">
      <w:pPr>
        <w:rPr>
          <w:lang w:val="es-MX" w:eastAsia="es-ES"/>
        </w:rPr>
      </w:pPr>
    </w:p>
    <w:p w14:paraId="5EE19480" w14:textId="77777777" w:rsidR="000A52D5" w:rsidRPr="00470C7C" w:rsidRDefault="000A52D5" w:rsidP="00140440">
      <w:pPr>
        <w:numPr>
          <w:ilvl w:val="0"/>
          <w:numId w:val="1"/>
        </w:numPr>
        <w:tabs>
          <w:tab w:val="clear" w:pos="4419"/>
          <w:tab w:val="clear" w:pos="8838"/>
        </w:tabs>
        <w:jc w:val="both"/>
        <w:rPr>
          <w:rFonts w:eastAsia="Batang" w:cs="Times"/>
          <w:i/>
          <w:noProof/>
          <w:szCs w:val="24"/>
          <w:lang w:eastAsia="es-ES"/>
        </w:rPr>
      </w:pPr>
      <w:r w:rsidRPr="00470C7C">
        <w:rPr>
          <w:rFonts w:eastAsia="Batang" w:cs="Times"/>
          <w:noProof/>
          <w:szCs w:val="24"/>
          <w:lang w:eastAsia="es-ES"/>
        </w:rPr>
        <w:t>La Corte nota que el Estado expuso diversas excepciones preliminares contra la lista de 33 presuntas víctimas señaladas en el Informe de Admisibilidad y Fondo y consideró que</w:t>
      </w:r>
      <w:r w:rsidR="00B54FB3" w:rsidRPr="00470C7C">
        <w:rPr>
          <w:rFonts w:eastAsia="Batang" w:cs="Times"/>
          <w:noProof/>
          <w:szCs w:val="24"/>
          <w:lang w:eastAsia="es-ES"/>
        </w:rPr>
        <w:t xml:space="preserve"> </w:t>
      </w:r>
      <w:r w:rsidR="004D1879" w:rsidRPr="00470C7C">
        <w:rPr>
          <w:rFonts w:eastAsia="Batang" w:cs="Times"/>
          <w:noProof/>
          <w:szCs w:val="24"/>
          <w:lang w:eastAsia="es-ES"/>
        </w:rPr>
        <w:t xml:space="preserve">solo </w:t>
      </w:r>
      <w:r w:rsidRPr="00470C7C">
        <w:rPr>
          <w:rFonts w:eastAsia="Batang" w:cs="Times"/>
          <w:noProof/>
          <w:szCs w:val="24"/>
          <w:lang w:eastAsia="es-ES"/>
        </w:rPr>
        <w:t>18 presuntas víctimas est</w:t>
      </w:r>
      <w:r w:rsidR="00887FB4" w:rsidRPr="00470C7C">
        <w:rPr>
          <w:rFonts w:eastAsia="Batang" w:cs="Times"/>
          <w:noProof/>
          <w:szCs w:val="24"/>
          <w:lang w:eastAsia="es-ES"/>
        </w:rPr>
        <w:t>á</w:t>
      </w:r>
      <w:r w:rsidRPr="00470C7C">
        <w:rPr>
          <w:rFonts w:eastAsia="Batang" w:cs="Times"/>
          <w:noProof/>
          <w:szCs w:val="24"/>
          <w:lang w:eastAsia="es-ES"/>
        </w:rPr>
        <w:t xml:space="preserve">n debidamente representadas, identificadas y mencionadas en dicho Informe. </w:t>
      </w:r>
    </w:p>
    <w:p w14:paraId="0F0ACDD7" w14:textId="77777777" w:rsidR="000A52D5" w:rsidRPr="00470C7C" w:rsidRDefault="000A52D5" w:rsidP="00140440">
      <w:pPr>
        <w:tabs>
          <w:tab w:val="clear" w:pos="4419"/>
          <w:tab w:val="clear" w:pos="8838"/>
        </w:tabs>
        <w:jc w:val="both"/>
        <w:rPr>
          <w:rFonts w:eastAsia="Batang" w:cs="Times"/>
          <w:noProof/>
          <w:szCs w:val="24"/>
          <w:lang w:eastAsia="es-ES"/>
        </w:rPr>
      </w:pPr>
    </w:p>
    <w:p w14:paraId="2C8774B1" w14:textId="77777777" w:rsidR="00081BCB" w:rsidRPr="00470C7C" w:rsidRDefault="00081BCB" w:rsidP="00081BCB">
      <w:pPr>
        <w:numPr>
          <w:ilvl w:val="0"/>
          <w:numId w:val="1"/>
        </w:numPr>
        <w:tabs>
          <w:tab w:val="clear" w:pos="4419"/>
          <w:tab w:val="clear" w:pos="8838"/>
        </w:tabs>
        <w:jc w:val="both"/>
        <w:rPr>
          <w:rFonts w:eastAsia="Batang" w:cs="Times"/>
          <w:i/>
          <w:noProof/>
          <w:szCs w:val="24"/>
          <w:lang w:eastAsia="es-ES"/>
        </w:rPr>
      </w:pPr>
      <w:r w:rsidRPr="00470C7C">
        <w:rPr>
          <w:rFonts w:eastAsia="Batang" w:cs="Times"/>
          <w:noProof/>
          <w:szCs w:val="24"/>
          <w:lang w:eastAsia="es-ES"/>
        </w:rPr>
        <w:t>Por otro lado, la Corte recuerda que las víctimas deben estar señaladas en el escrito de sometimiento del caso y en el Informe de la Comisión. Sin embargo, ante su falta de señalamiento, en algunas ocasiones y debido a las particularidades de cada caso, la Corte ha considerado como presuntas víctimas a personas que no fueron alegadas como tal en la demanda, siempre y cuando se haya respetado el derecho de defensa de las partes y las presuntas víctimas guarden relación con los hechos descritos en el Informe de Fondo y con la prueba aportada ante la Corte</w:t>
      </w:r>
      <w:r w:rsidRPr="00470C7C">
        <w:rPr>
          <w:rFonts w:eastAsia="Batang" w:cs="Times"/>
          <w:noProof/>
          <w:szCs w:val="24"/>
          <w:vertAlign w:val="superscript"/>
          <w:lang w:val="en-US" w:eastAsia="es-ES"/>
        </w:rPr>
        <w:footnoteReference w:id="27"/>
      </w:r>
      <w:r w:rsidRPr="00470C7C">
        <w:rPr>
          <w:rFonts w:eastAsia="Batang" w:cs="Times"/>
          <w:noProof/>
          <w:szCs w:val="24"/>
          <w:lang w:eastAsia="es-ES"/>
        </w:rPr>
        <w:t>, tomando en cuenta además la magnitud de la violación</w:t>
      </w:r>
      <w:r w:rsidRPr="00470C7C">
        <w:rPr>
          <w:rFonts w:eastAsia="Batang" w:cs="Times"/>
          <w:noProof/>
          <w:szCs w:val="24"/>
          <w:vertAlign w:val="superscript"/>
          <w:lang w:eastAsia="es-ES"/>
        </w:rPr>
        <w:footnoteReference w:id="28"/>
      </w:r>
      <w:r w:rsidR="00E47E17" w:rsidRPr="00470C7C">
        <w:rPr>
          <w:rFonts w:eastAsia="Batang" w:cs="Times"/>
          <w:noProof/>
          <w:szCs w:val="24"/>
          <w:lang w:eastAsia="es-ES"/>
        </w:rPr>
        <w:t>.</w:t>
      </w:r>
    </w:p>
    <w:p w14:paraId="63947DFE" w14:textId="77777777" w:rsidR="00081BCB" w:rsidRPr="00470C7C" w:rsidRDefault="00081BCB" w:rsidP="00ED3AD0">
      <w:pPr>
        <w:tabs>
          <w:tab w:val="clear" w:pos="4419"/>
          <w:tab w:val="clear" w:pos="8838"/>
        </w:tabs>
        <w:jc w:val="both"/>
        <w:rPr>
          <w:rFonts w:eastAsia="Batang" w:cs="Times"/>
          <w:noProof/>
          <w:szCs w:val="24"/>
          <w:lang w:eastAsia="es-ES"/>
        </w:rPr>
      </w:pPr>
    </w:p>
    <w:p w14:paraId="52B2755B" w14:textId="77777777" w:rsidR="000A52D5" w:rsidRPr="00470C7C" w:rsidRDefault="000A52D5" w:rsidP="00140440">
      <w:pPr>
        <w:numPr>
          <w:ilvl w:val="0"/>
          <w:numId w:val="1"/>
        </w:numPr>
        <w:tabs>
          <w:tab w:val="clear" w:pos="4419"/>
          <w:tab w:val="clear" w:pos="8838"/>
        </w:tabs>
        <w:jc w:val="both"/>
        <w:rPr>
          <w:rFonts w:eastAsia="Batang" w:cs="Times"/>
          <w:noProof/>
          <w:szCs w:val="24"/>
          <w:lang w:eastAsia="es-ES"/>
        </w:rPr>
      </w:pPr>
      <w:r w:rsidRPr="00470C7C">
        <w:rPr>
          <w:rFonts w:eastAsia="Batang" w:cs="Times"/>
          <w:noProof/>
          <w:szCs w:val="24"/>
          <w:lang w:eastAsia="es-ES"/>
        </w:rPr>
        <w:t>Con relación a la identificación de las presuntas víctimas, la Corte recuerda que el artículo 35.2 de su Reglamento establece que cuando se justifique que no fue posible identificar algunas presuntas víctimas de los hechos del caso, por tratarse de casos de violaciones masivas o colectivas, el Tribunal decidirá en su oportunidad si las considera víctimas de acuerdo con la naturaleza de la violación</w:t>
      </w:r>
      <w:r w:rsidR="008D7855" w:rsidRPr="00470C7C">
        <w:rPr>
          <w:rStyle w:val="Refdenotaalpie"/>
          <w:rFonts w:eastAsia="Batang"/>
          <w:noProof/>
          <w:lang w:eastAsia="es-ES"/>
        </w:rPr>
        <w:footnoteReference w:id="29"/>
      </w:r>
      <w:r w:rsidRPr="00470C7C">
        <w:rPr>
          <w:rFonts w:eastAsia="Batang" w:cs="Times"/>
          <w:noProof/>
          <w:szCs w:val="24"/>
          <w:lang w:eastAsia="es-ES"/>
        </w:rPr>
        <w:t xml:space="preserve">. </w:t>
      </w:r>
    </w:p>
    <w:p w14:paraId="234CF61B"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5A8A3FAD" w14:textId="77777777" w:rsidR="000A52D5" w:rsidRPr="00470C7C" w:rsidRDefault="00947ED0" w:rsidP="00140440">
      <w:pPr>
        <w:numPr>
          <w:ilvl w:val="0"/>
          <w:numId w:val="1"/>
        </w:numPr>
        <w:tabs>
          <w:tab w:val="clear" w:pos="4419"/>
          <w:tab w:val="clear" w:pos="8838"/>
        </w:tabs>
        <w:jc w:val="both"/>
        <w:rPr>
          <w:rFonts w:eastAsia="Batang" w:cs="Times"/>
          <w:i/>
          <w:noProof/>
          <w:szCs w:val="24"/>
          <w:lang w:eastAsia="es-ES"/>
        </w:rPr>
      </w:pPr>
      <w:r w:rsidRPr="00470C7C">
        <w:rPr>
          <w:rFonts w:eastAsia="Batang" w:cs="Times"/>
          <w:noProof/>
          <w:szCs w:val="24"/>
          <w:lang w:val="es-ES" w:eastAsia="es-ES"/>
        </w:rPr>
        <w:t>De esta forma, la Corte ha evaluado la aplicación del artículo 35.2 del Reglamento con base en las características particulares de cada caso</w:t>
      </w:r>
      <w:r w:rsidRPr="00470C7C">
        <w:rPr>
          <w:rFonts w:eastAsia="Batang" w:cs="Times"/>
          <w:noProof/>
          <w:szCs w:val="24"/>
          <w:vertAlign w:val="superscript"/>
          <w:lang w:val="es-ES" w:eastAsia="es-ES"/>
        </w:rPr>
        <w:footnoteReference w:id="30"/>
      </w:r>
      <w:r w:rsidRPr="00470C7C">
        <w:rPr>
          <w:rFonts w:eastAsia="Batang" w:cs="Times"/>
          <w:noProof/>
          <w:szCs w:val="24"/>
          <w:lang w:val="es-ES" w:eastAsia="es-ES"/>
        </w:rPr>
        <w:t>, y ha aplicado el artículo 35.2 en casos masivos o colectivos con dificultades para identificar o contactar a todas las presuntas víctimas, por ejemplo, debido a la presencia de un conflicto armado</w:t>
      </w:r>
      <w:r w:rsidRPr="00470C7C">
        <w:rPr>
          <w:rFonts w:eastAsia="Batang" w:cs="Times"/>
          <w:noProof/>
          <w:szCs w:val="24"/>
          <w:vertAlign w:val="superscript"/>
          <w:lang w:val="es-ES" w:eastAsia="es-ES"/>
        </w:rPr>
        <w:footnoteReference w:id="31"/>
      </w:r>
      <w:r w:rsidRPr="00470C7C">
        <w:rPr>
          <w:rFonts w:eastAsia="Batang" w:cs="Times"/>
          <w:noProof/>
          <w:szCs w:val="24"/>
          <w:lang w:val="es-ES" w:eastAsia="es-ES"/>
        </w:rPr>
        <w:t>, el desplazamiento</w:t>
      </w:r>
      <w:r w:rsidRPr="00470C7C">
        <w:rPr>
          <w:rFonts w:eastAsia="Batang" w:cs="Times"/>
          <w:noProof/>
          <w:szCs w:val="24"/>
          <w:vertAlign w:val="superscript"/>
          <w:lang w:val="es-ES" w:eastAsia="es-ES"/>
        </w:rPr>
        <w:footnoteReference w:id="32"/>
      </w:r>
      <w:r w:rsidRPr="00470C7C">
        <w:rPr>
          <w:rFonts w:eastAsia="Batang" w:cs="Times"/>
          <w:noProof/>
          <w:szCs w:val="24"/>
          <w:lang w:val="es-ES" w:eastAsia="es-ES"/>
        </w:rPr>
        <w:t xml:space="preserve"> o la quema de los cuerpos de las presuntas víctimas</w:t>
      </w:r>
      <w:r w:rsidRPr="00470C7C">
        <w:rPr>
          <w:rFonts w:eastAsia="Batang" w:cs="Times"/>
          <w:noProof/>
          <w:szCs w:val="24"/>
          <w:vertAlign w:val="superscript"/>
          <w:lang w:val="es-ES" w:eastAsia="es-ES"/>
        </w:rPr>
        <w:footnoteReference w:id="33"/>
      </w:r>
      <w:r w:rsidRPr="00470C7C">
        <w:rPr>
          <w:rFonts w:eastAsia="Batang" w:cs="Times"/>
          <w:noProof/>
          <w:szCs w:val="24"/>
          <w:lang w:val="es-ES" w:eastAsia="es-ES"/>
        </w:rPr>
        <w:t>, o en casos en que familias enteras han sido desaparecidas, por lo que no habría nadie que pudiera hablar por ellos</w:t>
      </w:r>
      <w:r w:rsidRPr="00470C7C">
        <w:rPr>
          <w:rFonts w:eastAsia="Batang" w:cs="Times"/>
          <w:noProof/>
          <w:szCs w:val="24"/>
          <w:vertAlign w:val="superscript"/>
          <w:lang w:val="es-ES" w:eastAsia="es-ES"/>
        </w:rPr>
        <w:footnoteReference w:id="34"/>
      </w:r>
      <w:r w:rsidRPr="00470C7C">
        <w:rPr>
          <w:rFonts w:eastAsia="Batang" w:cs="Times"/>
          <w:noProof/>
          <w:szCs w:val="24"/>
          <w:lang w:val="es-ES" w:eastAsia="es-ES"/>
        </w:rPr>
        <w:t>. También ha tomado en cuenta la dificultad de acceder al área donde ocurrieron los hechos</w:t>
      </w:r>
      <w:r w:rsidRPr="00470C7C">
        <w:rPr>
          <w:rFonts w:eastAsia="Batang" w:cs="Times"/>
          <w:noProof/>
          <w:szCs w:val="24"/>
          <w:vertAlign w:val="superscript"/>
          <w:lang w:val="es-ES" w:eastAsia="es-ES"/>
        </w:rPr>
        <w:footnoteReference w:id="35"/>
      </w:r>
      <w:r w:rsidRPr="00470C7C">
        <w:rPr>
          <w:rFonts w:eastAsia="Batang" w:cs="Times"/>
          <w:noProof/>
          <w:szCs w:val="24"/>
          <w:lang w:val="es-ES" w:eastAsia="es-ES"/>
        </w:rPr>
        <w:t>, la falta de registros respecto de los habitantes del lugar</w:t>
      </w:r>
      <w:r w:rsidRPr="00470C7C">
        <w:rPr>
          <w:rFonts w:eastAsia="Batang" w:cs="Times"/>
          <w:noProof/>
          <w:szCs w:val="24"/>
          <w:vertAlign w:val="superscript"/>
          <w:lang w:val="es-ES" w:eastAsia="es-ES"/>
        </w:rPr>
        <w:footnoteReference w:id="36"/>
      </w:r>
      <w:r w:rsidRPr="00470C7C">
        <w:rPr>
          <w:rFonts w:eastAsia="Batang" w:cs="Times"/>
          <w:noProof/>
          <w:szCs w:val="24"/>
          <w:lang w:val="es-ES" w:eastAsia="es-ES"/>
        </w:rPr>
        <w:t xml:space="preserve"> y el transcurso del tiempo</w:t>
      </w:r>
      <w:r w:rsidRPr="00470C7C">
        <w:rPr>
          <w:rFonts w:eastAsia="Batang" w:cs="Times"/>
          <w:noProof/>
          <w:szCs w:val="24"/>
          <w:vertAlign w:val="superscript"/>
          <w:lang w:val="es-ES" w:eastAsia="es-ES"/>
        </w:rPr>
        <w:footnoteReference w:id="37"/>
      </w:r>
      <w:r w:rsidRPr="00470C7C">
        <w:rPr>
          <w:rFonts w:eastAsia="Batang" w:cs="Times"/>
          <w:noProof/>
          <w:szCs w:val="24"/>
          <w:lang w:val="es-ES" w:eastAsia="es-ES"/>
        </w:rPr>
        <w:t>, así como características particulares de las presuntas víctimas del caso, por ejemplo, cuando estas han conformado clanes familiares con nombres y apellidos similares</w:t>
      </w:r>
      <w:r w:rsidRPr="00470C7C">
        <w:rPr>
          <w:rFonts w:eastAsia="Batang" w:cs="Times"/>
          <w:noProof/>
          <w:szCs w:val="24"/>
          <w:vertAlign w:val="superscript"/>
          <w:lang w:val="es-ES" w:eastAsia="es-ES"/>
        </w:rPr>
        <w:footnoteReference w:id="38"/>
      </w:r>
      <w:r w:rsidRPr="00470C7C">
        <w:rPr>
          <w:rFonts w:eastAsia="Batang" w:cs="Times"/>
          <w:noProof/>
          <w:szCs w:val="24"/>
          <w:lang w:val="es-ES" w:eastAsia="es-ES"/>
        </w:rPr>
        <w:t>, o al tratarse de migrantes</w:t>
      </w:r>
      <w:r w:rsidRPr="00470C7C">
        <w:rPr>
          <w:rFonts w:eastAsia="Batang" w:cs="Times"/>
          <w:noProof/>
          <w:szCs w:val="24"/>
          <w:vertAlign w:val="superscript"/>
          <w:lang w:val="es-ES" w:eastAsia="es-ES"/>
        </w:rPr>
        <w:footnoteReference w:id="39"/>
      </w:r>
      <w:r w:rsidRPr="00470C7C">
        <w:rPr>
          <w:rFonts w:eastAsia="Batang" w:cs="Times"/>
          <w:noProof/>
          <w:szCs w:val="24"/>
          <w:lang w:val="es-ES" w:eastAsia="es-ES"/>
        </w:rPr>
        <w:t>. Igualmente, ha considerado la conducta del Estado, por ejemplo, cuando existen alegatos de que la falta de investigación contribuyó a la incompleta identificación de las presuntas víctimas</w:t>
      </w:r>
      <w:r w:rsidRPr="00470C7C">
        <w:rPr>
          <w:rFonts w:eastAsia="Batang" w:cs="Times"/>
          <w:noProof/>
          <w:szCs w:val="24"/>
          <w:vertAlign w:val="superscript"/>
          <w:lang w:val="es-ES" w:eastAsia="es-ES"/>
        </w:rPr>
        <w:footnoteReference w:id="40"/>
      </w:r>
      <w:r w:rsidRPr="00470C7C">
        <w:rPr>
          <w:rFonts w:eastAsia="Batang" w:cs="Times"/>
          <w:noProof/>
          <w:szCs w:val="24"/>
          <w:lang w:val="es-ES" w:eastAsia="es-ES"/>
        </w:rPr>
        <w:t>.</w:t>
      </w:r>
      <w:r w:rsidR="000A52D5" w:rsidRPr="00470C7C">
        <w:rPr>
          <w:rFonts w:eastAsia="Batang" w:cs="Times"/>
          <w:noProof/>
          <w:szCs w:val="24"/>
          <w:lang w:eastAsia="es-ES"/>
        </w:rPr>
        <w:t xml:space="preserve"> </w:t>
      </w:r>
    </w:p>
    <w:p w14:paraId="04B9AFD6"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629B4C01" w14:textId="77777777" w:rsidR="000A52D5" w:rsidRPr="00470C7C" w:rsidRDefault="007E118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eastAsia="es-ES"/>
        </w:rPr>
        <w:t>L</w:t>
      </w:r>
      <w:r w:rsidR="000A52D5" w:rsidRPr="00470C7C">
        <w:rPr>
          <w:rFonts w:eastAsia="Batang" w:cs="Times"/>
          <w:noProof/>
          <w:szCs w:val="24"/>
          <w:lang w:eastAsia="es-ES"/>
        </w:rPr>
        <w:t xml:space="preserve">a Corte nota que </w:t>
      </w:r>
      <w:r w:rsidR="00C34197" w:rsidRPr="00470C7C">
        <w:rPr>
          <w:rFonts w:eastAsia="Batang" w:cs="Times"/>
          <w:noProof/>
          <w:szCs w:val="24"/>
          <w:lang w:eastAsia="es-ES"/>
        </w:rPr>
        <w:t>la Comisión señ</w:t>
      </w:r>
      <w:r w:rsidR="00D119A4" w:rsidRPr="00470C7C">
        <w:rPr>
          <w:rFonts w:eastAsia="Batang" w:cs="Times"/>
          <w:noProof/>
          <w:szCs w:val="24"/>
          <w:lang w:eastAsia="es-ES"/>
        </w:rPr>
        <w:t xml:space="preserve">aló en su Informe de Fondo que no contaba con información sobre la identificación de la totalidad de las víctimas. En ese sentido, la Corte considera que </w:t>
      </w:r>
      <w:r w:rsidR="000A52D5" w:rsidRPr="00470C7C">
        <w:rPr>
          <w:rFonts w:eastAsia="Batang" w:cs="Times"/>
          <w:noProof/>
          <w:szCs w:val="24"/>
          <w:lang w:eastAsia="es-ES"/>
        </w:rPr>
        <w:t xml:space="preserve">los problemas planteados respecto de la identificación de la presuntas víctimas </w:t>
      </w:r>
      <w:r w:rsidRPr="00470C7C">
        <w:rPr>
          <w:rFonts w:eastAsia="Batang" w:cs="Times"/>
          <w:noProof/>
          <w:szCs w:val="24"/>
          <w:lang w:eastAsia="es-ES"/>
        </w:rPr>
        <w:t xml:space="preserve">en casos de violaciones colectivas, de acuerdo a lo contenido en el artículo 35.2 del Reglamento, </w:t>
      </w:r>
      <w:r w:rsidR="000A52D5" w:rsidRPr="00470C7C">
        <w:rPr>
          <w:rFonts w:eastAsia="Batang" w:cs="Times"/>
          <w:noProof/>
          <w:szCs w:val="24"/>
          <w:lang w:eastAsia="es-ES"/>
        </w:rPr>
        <w:t>pueden entenderse</w:t>
      </w:r>
      <w:r w:rsidR="00D119A4" w:rsidRPr="00470C7C">
        <w:rPr>
          <w:rFonts w:eastAsia="Batang" w:cs="Times"/>
          <w:noProof/>
          <w:szCs w:val="24"/>
          <w:lang w:eastAsia="es-ES"/>
        </w:rPr>
        <w:t>,</w:t>
      </w:r>
      <w:r w:rsidR="000A52D5" w:rsidRPr="00470C7C">
        <w:rPr>
          <w:rFonts w:eastAsia="Batang" w:cs="Times"/>
          <w:noProof/>
          <w:szCs w:val="24"/>
          <w:lang w:eastAsia="es-ES"/>
        </w:rPr>
        <w:t xml:space="preserve"> </w:t>
      </w:r>
      <w:r w:rsidRPr="00470C7C">
        <w:rPr>
          <w:rFonts w:eastAsia="Batang" w:cs="Times"/>
          <w:noProof/>
          <w:szCs w:val="24"/>
          <w:lang w:eastAsia="es-ES"/>
        </w:rPr>
        <w:t>en el presente caso</w:t>
      </w:r>
      <w:r w:rsidR="00D119A4" w:rsidRPr="00470C7C">
        <w:rPr>
          <w:rFonts w:eastAsia="Batang" w:cs="Times"/>
          <w:noProof/>
          <w:szCs w:val="24"/>
          <w:lang w:eastAsia="es-ES"/>
        </w:rPr>
        <w:t>,</w:t>
      </w:r>
      <w:r w:rsidRPr="00470C7C">
        <w:rPr>
          <w:rFonts w:eastAsia="Batang" w:cs="Times"/>
          <w:noProof/>
          <w:szCs w:val="24"/>
          <w:lang w:eastAsia="es-ES"/>
        </w:rPr>
        <w:t xml:space="preserve"> </w:t>
      </w:r>
      <w:r w:rsidR="000A52D5" w:rsidRPr="00470C7C">
        <w:rPr>
          <w:rFonts w:eastAsia="Batang" w:cs="Times"/>
          <w:noProof/>
          <w:szCs w:val="24"/>
          <w:lang w:eastAsia="es-ES"/>
        </w:rPr>
        <w:t xml:space="preserve">en razón de: i) el contexto del </w:t>
      </w:r>
      <w:r w:rsidR="00C278B7" w:rsidRPr="00470C7C">
        <w:rPr>
          <w:rFonts w:eastAsia="Batang" w:cs="Times"/>
          <w:noProof/>
          <w:szCs w:val="24"/>
          <w:lang w:eastAsia="es-ES"/>
        </w:rPr>
        <w:t xml:space="preserve">caso; </w:t>
      </w:r>
      <w:r w:rsidR="000A52D5" w:rsidRPr="00470C7C">
        <w:rPr>
          <w:rFonts w:eastAsia="Batang" w:cs="Times"/>
          <w:noProof/>
          <w:szCs w:val="24"/>
          <w:lang w:eastAsia="es-ES"/>
        </w:rPr>
        <w:t>ii) el tiempo de 20 años transcurrido; i</w:t>
      </w:r>
      <w:r w:rsidRPr="00470C7C">
        <w:rPr>
          <w:rFonts w:eastAsia="Batang" w:cs="Times"/>
          <w:noProof/>
          <w:szCs w:val="24"/>
          <w:lang w:eastAsia="es-ES"/>
        </w:rPr>
        <w:t>ii</w:t>
      </w:r>
      <w:r w:rsidR="000A52D5" w:rsidRPr="00470C7C">
        <w:rPr>
          <w:rFonts w:eastAsia="Batang" w:cs="Times"/>
          <w:noProof/>
          <w:szCs w:val="24"/>
          <w:lang w:eastAsia="es-ES"/>
        </w:rPr>
        <w:t xml:space="preserve">) la dificultad para contactar a las presuntas víctimas dada su condición de exclusión y vulnerabilidad, y </w:t>
      </w:r>
      <w:r w:rsidRPr="00470C7C">
        <w:rPr>
          <w:rFonts w:eastAsia="Batang" w:cs="Times"/>
          <w:noProof/>
          <w:szCs w:val="24"/>
          <w:lang w:eastAsia="es-ES"/>
        </w:rPr>
        <w:t>i</w:t>
      </w:r>
      <w:r w:rsidR="000A52D5" w:rsidRPr="00470C7C">
        <w:rPr>
          <w:rFonts w:eastAsia="Batang" w:cs="Times"/>
          <w:noProof/>
          <w:szCs w:val="24"/>
          <w:lang w:eastAsia="es-ES"/>
        </w:rPr>
        <w:t xml:space="preserve">v) algunos actos de omisión de registro atribuibles al Estado. </w:t>
      </w:r>
    </w:p>
    <w:p w14:paraId="7ABFA318" w14:textId="77777777" w:rsidR="000A52D5" w:rsidRPr="00470C7C" w:rsidRDefault="000A52D5" w:rsidP="00140440">
      <w:pPr>
        <w:tabs>
          <w:tab w:val="clear" w:pos="4419"/>
          <w:tab w:val="clear" w:pos="8838"/>
        </w:tabs>
        <w:jc w:val="both"/>
        <w:rPr>
          <w:rFonts w:eastAsia="Batang" w:cs="Times"/>
          <w:noProof/>
          <w:szCs w:val="24"/>
          <w:u w:val="single"/>
          <w:lang w:eastAsia="es-ES"/>
        </w:rPr>
      </w:pPr>
    </w:p>
    <w:p w14:paraId="24E0BCAB" w14:textId="77777777" w:rsidR="00834C2B" w:rsidRPr="00470C7C" w:rsidRDefault="000A52D5" w:rsidP="00834C2B">
      <w:pPr>
        <w:numPr>
          <w:ilvl w:val="0"/>
          <w:numId w:val="1"/>
        </w:numPr>
        <w:tabs>
          <w:tab w:val="clear" w:pos="4419"/>
          <w:tab w:val="clear" w:pos="8838"/>
        </w:tabs>
        <w:jc w:val="both"/>
        <w:rPr>
          <w:rFonts w:eastAsia="Batang" w:cs="Times"/>
          <w:i/>
          <w:noProof/>
          <w:szCs w:val="24"/>
          <w:lang w:eastAsia="es-ES"/>
        </w:rPr>
      </w:pPr>
      <w:r w:rsidRPr="00470C7C">
        <w:rPr>
          <w:rFonts w:eastAsia="Batang" w:cs="Times"/>
          <w:noProof/>
          <w:szCs w:val="24"/>
          <w:lang w:val="es-MX" w:eastAsia="es-ES"/>
        </w:rPr>
        <w:t>La Corte considera que las características específicas</w:t>
      </w:r>
      <w:r w:rsidRPr="00470C7C">
        <w:rPr>
          <w:rFonts w:eastAsia="Batang" w:cs="Times"/>
          <w:noProof/>
          <w:szCs w:val="24"/>
          <w:lang w:eastAsia="es-ES"/>
        </w:rPr>
        <w:t xml:space="preserve"> del presente asunto le permiten concluir que existen causas razonables que justifican el hecho de que el listado de presuntas víctimas incluido en el Informe de Admisibilidad y Fondo de la Comisión pueda tener eventuales inconsistencias tanto en la identificación plena de las </w:t>
      </w:r>
      <w:r w:rsidR="00350AD5" w:rsidRPr="00470C7C">
        <w:rPr>
          <w:rFonts w:eastAsia="Batang" w:cs="Times"/>
          <w:noProof/>
          <w:szCs w:val="24"/>
          <w:lang w:eastAsia="es-ES"/>
        </w:rPr>
        <w:t xml:space="preserve">presuntas </w:t>
      </w:r>
      <w:r w:rsidRPr="00470C7C">
        <w:rPr>
          <w:rFonts w:eastAsia="Batang" w:cs="Times"/>
          <w:noProof/>
          <w:szCs w:val="24"/>
          <w:lang w:eastAsia="es-ES"/>
        </w:rPr>
        <w:t xml:space="preserve">víctimas como en su representación. Por lo tanto, la Corte decide aplicar el artículo 35.2 de su Reglamento y en el estudio de fondo determinará las medidas conducentes al respecto y la identificación de las </w:t>
      </w:r>
      <w:r w:rsidR="00350AD5" w:rsidRPr="00470C7C">
        <w:rPr>
          <w:rFonts w:eastAsia="Batang" w:cs="Times"/>
          <w:noProof/>
          <w:szCs w:val="24"/>
          <w:lang w:eastAsia="es-ES"/>
        </w:rPr>
        <w:t xml:space="preserve">presuntas </w:t>
      </w:r>
      <w:r w:rsidRPr="00470C7C">
        <w:rPr>
          <w:rFonts w:eastAsia="Batang" w:cs="Times"/>
          <w:noProof/>
          <w:szCs w:val="24"/>
          <w:lang w:eastAsia="es-ES"/>
        </w:rPr>
        <w:t>víctimas de ser el caso.</w:t>
      </w:r>
      <w:r w:rsidRPr="00470C7C">
        <w:rPr>
          <w:rFonts w:eastAsia="Batang" w:cs="Times"/>
          <w:i/>
          <w:noProof/>
          <w:szCs w:val="24"/>
          <w:lang w:eastAsia="es-ES"/>
        </w:rPr>
        <w:t xml:space="preserve"> </w:t>
      </w:r>
      <w:r w:rsidRPr="00470C7C">
        <w:rPr>
          <w:rFonts w:eastAsia="Batang" w:cs="Times"/>
          <w:noProof/>
          <w:szCs w:val="24"/>
          <w:lang w:eastAsia="es-ES"/>
        </w:rPr>
        <w:t>En consecuencia, la Corte desestima las excepciones preliminares</w:t>
      </w:r>
      <w:r w:rsidR="0090752B" w:rsidRPr="00470C7C">
        <w:rPr>
          <w:rFonts w:eastAsia="Batang" w:cs="Times"/>
          <w:noProof/>
          <w:szCs w:val="24"/>
          <w:lang w:eastAsia="es-ES"/>
        </w:rPr>
        <w:t xml:space="preserve"> planteadas por el </w:t>
      </w:r>
      <w:r w:rsidR="00834C2B" w:rsidRPr="00470C7C">
        <w:rPr>
          <w:rFonts w:eastAsia="Batang" w:cs="Times"/>
          <w:noProof/>
          <w:szCs w:val="24"/>
          <w:lang w:eastAsia="es-ES"/>
        </w:rPr>
        <w:t>E</w:t>
      </w:r>
      <w:r w:rsidR="0090752B" w:rsidRPr="00470C7C">
        <w:rPr>
          <w:rFonts w:eastAsia="Batang" w:cs="Times"/>
          <w:noProof/>
          <w:szCs w:val="24"/>
          <w:lang w:eastAsia="es-ES"/>
        </w:rPr>
        <w:t>stado relacionadas con la identificación</w:t>
      </w:r>
      <w:r w:rsidR="00834C2B" w:rsidRPr="00470C7C">
        <w:rPr>
          <w:rFonts w:eastAsia="Batang" w:cs="Times"/>
          <w:noProof/>
          <w:szCs w:val="24"/>
          <w:lang w:eastAsia="es-ES"/>
        </w:rPr>
        <w:t xml:space="preserve"> y </w:t>
      </w:r>
      <w:r w:rsidR="0090752B" w:rsidRPr="00470C7C">
        <w:rPr>
          <w:rFonts w:eastAsia="Batang" w:cs="Times"/>
          <w:noProof/>
          <w:szCs w:val="24"/>
          <w:lang w:eastAsia="es-ES"/>
        </w:rPr>
        <w:t>representación de las presuntas víctimas</w:t>
      </w:r>
      <w:r w:rsidR="00834C2B" w:rsidRPr="00470C7C">
        <w:rPr>
          <w:rFonts w:eastAsia="Batang" w:cs="Times"/>
          <w:noProof/>
          <w:szCs w:val="24"/>
          <w:lang w:eastAsia="es-ES"/>
        </w:rPr>
        <w:t>, al igual que la falta de relación de algunas de las presuntas víctimas en el Informe de Fondo presentado por la Comisión.</w:t>
      </w:r>
    </w:p>
    <w:p w14:paraId="5CB2A3CB" w14:textId="77777777" w:rsidR="00834C2B" w:rsidRPr="00470C7C" w:rsidRDefault="00834C2B" w:rsidP="00490523">
      <w:pPr>
        <w:pStyle w:val="Prrafodelista"/>
        <w:rPr>
          <w:rFonts w:eastAsia="Batang" w:cs="Times"/>
          <w:noProof/>
          <w:szCs w:val="24"/>
          <w:lang w:eastAsia="es-ES"/>
        </w:rPr>
      </w:pPr>
    </w:p>
    <w:p w14:paraId="4C427B03" w14:textId="77777777" w:rsidR="000A52D5" w:rsidRPr="00470C7C" w:rsidRDefault="00834C2B" w:rsidP="00834C2B">
      <w:pPr>
        <w:numPr>
          <w:ilvl w:val="0"/>
          <w:numId w:val="1"/>
        </w:numPr>
        <w:tabs>
          <w:tab w:val="clear" w:pos="4419"/>
          <w:tab w:val="clear" w:pos="8838"/>
        </w:tabs>
        <w:jc w:val="both"/>
        <w:rPr>
          <w:rFonts w:eastAsia="Batang" w:cs="Times"/>
          <w:i/>
          <w:noProof/>
          <w:szCs w:val="24"/>
          <w:lang w:eastAsia="es-ES"/>
        </w:rPr>
      </w:pPr>
      <w:r w:rsidRPr="00470C7C">
        <w:rPr>
          <w:rFonts w:eastAsia="Batang" w:cs="Times"/>
          <w:noProof/>
          <w:szCs w:val="24"/>
          <w:lang w:eastAsia="es-ES"/>
        </w:rPr>
        <w:t>As</w:t>
      </w:r>
      <w:r w:rsidR="004019FE" w:rsidRPr="00470C7C">
        <w:rPr>
          <w:rFonts w:eastAsia="Batang" w:cs="Times"/>
          <w:noProof/>
          <w:szCs w:val="24"/>
          <w:lang w:eastAsia="es-ES"/>
        </w:rPr>
        <w:t>i</w:t>
      </w:r>
      <w:r w:rsidRPr="00470C7C">
        <w:rPr>
          <w:rFonts w:eastAsia="Batang" w:cs="Times"/>
          <w:noProof/>
          <w:szCs w:val="24"/>
          <w:lang w:eastAsia="es-ES"/>
        </w:rPr>
        <w:t xml:space="preserve">mismo, </w:t>
      </w:r>
      <w:r w:rsidR="00490523" w:rsidRPr="00470C7C">
        <w:rPr>
          <w:rFonts w:eastAsia="Batang" w:cs="Times"/>
          <w:noProof/>
          <w:szCs w:val="24"/>
          <w:lang w:eastAsia="es-ES"/>
        </w:rPr>
        <w:t xml:space="preserve">la </w:t>
      </w:r>
      <w:r w:rsidRPr="00470C7C">
        <w:rPr>
          <w:rFonts w:eastAsia="Batang" w:cs="Times"/>
          <w:noProof/>
          <w:szCs w:val="24"/>
          <w:lang w:eastAsia="es-ES"/>
        </w:rPr>
        <w:t>Corte considera</w:t>
      </w:r>
      <w:r w:rsidR="004019FE" w:rsidRPr="00470C7C">
        <w:rPr>
          <w:rFonts w:eastAsia="Batang" w:cs="Times"/>
          <w:noProof/>
          <w:szCs w:val="24"/>
          <w:lang w:eastAsia="es-ES"/>
        </w:rPr>
        <w:t>, sin perjuicio del análisis que se desarrollará más adelante respecto a la determinación de las presuntas víctimas (</w:t>
      </w:r>
      <w:r w:rsidR="004019FE" w:rsidRPr="00470C7C">
        <w:rPr>
          <w:rFonts w:eastAsia="Batang" w:cs="Times"/>
          <w:i/>
          <w:noProof/>
          <w:szCs w:val="24"/>
          <w:lang w:eastAsia="es-ES"/>
        </w:rPr>
        <w:t>infra</w:t>
      </w:r>
      <w:r w:rsidR="004019FE" w:rsidRPr="00470C7C">
        <w:rPr>
          <w:rFonts w:eastAsia="Batang" w:cs="Times"/>
          <w:noProof/>
          <w:szCs w:val="24"/>
          <w:lang w:eastAsia="es-ES"/>
        </w:rPr>
        <w:t xml:space="preserve"> párr. </w:t>
      </w:r>
      <w:r w:rsidR="0031158B" w:rsidRPr="00470C7C">
        <w:rPr>
          <w:rFonts w:eastAsia="Batang" w:cs="Times"/>
          <w:noProof/>
          <w:szCs w:val="24"/>
          <w:lang w:eastAsia="es-ES"/>
        </w:rPr>
        <w:t>189</w:t>
      </w:r>
      <w:r w:rsidR="004019FE" w:rsidRPr="00470C7C">
        <w:rPr>
          <w:rFonts w:eastAsia="Batang" w:cs="Times"/>
          <w:noProof/>
          <w:szCs w:val="24"/>
          <w:lang w:eastAsia="es-ES"/>
        </w:rPr>
        <w:t>),</w:t>
      </w:r>
      <w:r w:rsidRPr="00470C7C">
        <w:rPr>
          <w:rFonts w:eastAsia="Batang" w:cs="Times"/>
          <w:noProof/>
          <w:szCs w:val="24"/>
          <w:lang w:eastAsia="es-ES"/>
        </w:rPr>
        <w:t xml:space="preserve"> que el estudio de la prueba y los hechos relativos a la verificación de la relación de trabajo de las presuntas víctimas y la mencionada hacienda corresponde a un análisis de fondo del presente caso, por esa razón desestima la excepción preliminar relacionada con la supuesta falta de relación de algunas presuntas víctimas con los hechos del caso.</w:t>
      </w:r>
    </w:p>
    <w:p w14:paraId="2D75FAE2" w14:textId="77777777" w:rsidR="000A52D5" w:rsidRPr="00470C7C" w:rsidRDefault="000A52D5" w:rsidP="00140440">
      <w:pPr>
        <w:tabs>
          <w:tab w:val="clear" w:pos="4419"/>
          <w:tab w:val="clear" w:pos="8838"/>
        </w:tabs>
        <w:jc w:val="both"/>
        <w:rPr>
          <w:rFonts w:eastAsia="Batang" w:cs="Times"/>
          <w:noProof/>
          <w:szCs w:val="24"/>
          <w:lang w:eastAsia="es-ES"/>
        </w:rPr>
      </w:pPr>
    </w:p>
    <w:p w14:paraId="22266CF2" w14:textId="77777777" w:rsidR="000A52D5" w:rsidRPr="00470C7C" w:rsidRDefault="000A52D5" w:rsidP="008B0BCC">
      <w:pPr>
        <w:pStyle w:val="Ttulo2"/>
        <w:numPr>
          <w:ilvl w:val="0"/>
          <w:numId w:val="15"/>
        </w:numPr>
        <w:rPr>
          <w:rFonts w:eastAsia="Batang"/>
          <w:noProof/>
          <w:lang w:eastAsia="es-ES"/>
        </w:rPr>
      </w:pPr>
      <w:bookmarkStart w:id="76" w:name="_Toc464813896"/>
      <w:r w:rsidRPr="00470C7C">
        <w:rPr>
          <w:rFonts w:eastAsia="Batang"/>
          <w:noProof/>
          <w:lang w:eastAsia="es-ES"/>
        </w:rPr>
        <w:t>Alegada incompetencia ratione personae de violaciones en abstracto</w:t>
      </w:r>
      <w:bookmarkEnd w:id="76"/>
    </w:p>
    <w:p w14:paraId="372E4646"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54AB46A" w14:textId="77777777" w:rsidR="000A52D5" w:rsidRPr="00470C7C" w:rsidRDefault="000A52D5" w:rsidP="000A20C1">
      <w:pPr>
        <w:pStyle w:val="Ttulo3"/>
        <w:rPr>
          <w:noProof/>
          <w:lang w:eastAsia="es-ES"/>
        </w:rPr>
      </w:pPr>
      <w:bookmarkStart w:id="77" w:name="_Toc460432970"/>
      <w:bookmarkStart w:id="78" w:name="_Toc460441901"/>
      <w:bookmarkStart w:id="79" w:name="_Toc462750721"/>
      <w:bookmarkStart w:id="80" w:name="_Toc462751045"/>
      <w:bookmarkStart w:id="81" w:name="_Toc464813897"/>
      <w:r w:rsidRPr="00470C7C">
        <w:rPr>
          <w:noProof/>
          <w:lang w:eastAsia="es-ES"/>
        </w:rPr>
        <w:t xml:space="preserve">C.1. </w:t>
      </w:r>
      <w:r w:rsidR="00246E8D" w:rsidRPr="00470C7C">
        <w:rPr>
          <w:noProof/>
          <w:lang w:eastAsia="es-ES"/>
        </w:rPr>
        <w:t>Alegatos del Estado,</w:t>
      </w:r>
      <w:r w:rsidRPr="00470C7C">
        <w:rPr>
          <w:noProof/>
          <w:lang w:eastAsia="es-ES"/>
        </w:rPr>
        <w:t xml:space="preserve"> observaciones de la Comisión y de los representantes</w:t>
      </w:r>
      <w:bookmarkEnd w:id="77"/>
      <w:bookmarkEnd w:id="78"/>
      <w:bookmarkEnd w:id="79"/>
      <w:bookmarkEnd w:id="80"/>
      <w:bookmarkEnd w:id="81"/>
      <w:r w:rsidRPr="00470C7C">
        <w:rPr>
          <w:noProof/>
          <w:lang w:eastAsia="es-ES"/>
        </w:rPr>
        <w:t xml:space="preserve">  </w:t>
      </w:r>
    </w:p>
    <w:p w14:paraId="1DF7F6D7"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4CC54FA6"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indicó que es imperativo que el acto normativo cuestionado en un caso contencioso interfiera en la esfera de libertades al menos de un individuo específico, pues de no ser así la Corte es incompetente para valorar la compatibilidad de ese acto normativo con la Convención. En el caso particular, señaló que la Corte no es competente para conocer la petición de los representantes relativa a que se adopten medidas legislativas para evitar un retroceso en el combate al trabajo esclavo en Brasil. Lo anterior debido a que dicha petición está condicionada a que existan proyectos de ley que busquen reformar el artículo 149 del Código Penal, y dichos proyectos no han sido promulgados.</w:t>
      </w:r>
    </w:p>
    <w:p w14:paraId="488D8053" w14:textId="77777777" w:rsidR="000A52D5" w:rsidRPr="00470C7C" w:rsidRDefault="000A52D5" w:rsidP="00140440">
      <w:p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 </w:t>
      </w:r>
    </w:p>
    <w:p w14:paraId="7780D501"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observó que los representantes informaron a la Corte sobre las medidas legislativas que están siendo adoptadas en este momento; no en relación a las víctimas concretas de este caso, sino para contextualizar la relevancia actual de ese asunto e informar a la Corte sobre todos los elementos necesarios para que las eventuales medidas de no repetición que sean ordenadas estén de acuerdo y sean pertinentes a la situación actual existente en cuanto al trabajo esclavo, incluyendo el marco normativo. </w:t>
      </w:r>
    </w:p>
    <w:p w14:paraId="247873F0"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3C04794E"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manifestaron que solicitaron “como medida de reparación” que la Corte indique al Estado que se abstenga de tomar medidas legislativas que representen un retroceso en el combate al trabajo esclavo en Brasil, ya que actualmente existirían proyectos legislativos que pretenderían limitar el alcance del artículo 149 del Código Penal sobre formas análogas de esclavitud.</w:t>
      </w:r>
    </w:p>
    <w:p w14:paraId="12AE8B3E"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4D207E33" w14:textId="77777777" w:rsidR="000A52D5" w:rsidRPr="00470C7C" w:rsidRDefault="000A52D5" w:rsidP="000A20C1">
      <w:pPr>
        <w:pStyle w:val="Ttulo3"/>
        <w:rPr>
          <w:noProof/>
          <w:lang w:eastAsia="es-ES"/>
        </w:rPr>
      </w:pPr>
      <w:bookmarkStart w:id="82" w:name="_Toc460432971"/>
      <w:bookmarkStart w:id="83" w:name="_Toc460441902"/>
      <w:bookmarkStart w:id="84" w:name="_Toc462750722"/>
      <w:bookmarkStart w:id="85" w:name="_Toc462751046"/>
      <w:bookmarkStart w:id="86" w:name="_Toc464813898"/>
      <w:r w:rsidRPr="00470C7C">
        <w:rPr>
          <w:noProof/>
          <w:lang w:eastAsia="es-ES"/>
        </w:rPr>
        <w:t>C.2. Consideraciones de la Corte</w:t>
      </w:r>
      <w:bookmarkEnd w:id="82"/>
      <w:bookmarkEnd w:id="83"/>
      <w:bookmarkEnd w:id="84"/>
      <w:bookmarkEnd w:id="85"/>
      <w:bookmarkEnd w:id="86"/>
    </w:p>
    <w:p w14:paraId="7296389A" w14:textId="77777777" w:rsidR="000A52D5" w:rsidRPr="00470C7C" w:rsidRDefault="000A52D5" w:rsidP="00140440">
      <w:pPr>
        <w:tabs>
          <w:tab w:val="clear" w:pos="4419"/>
          <w:tab w:val="clear" w:pos="8838"/>
        </w:tabs>
        <w:jc w:val="both"/>
        <w:rPr>
          <w:rFonts w:eastAsia="Batang" w:cs="Times"/>
          <w:noProof/>
          <w:szCs w:val="24"/>
          <w:u w:val="single"/>
          <w:lang w:val="es-MX" w:eastAsia="es-ES"/>
        </w:rPr>
      </w:pPr>
    </w:p>
    <w:p w14:paraId="08065021" w14:textId="77777777" w:rsidR="000A52D5" w:rsidRPr="00470C7C" w:rsidRDefault="000A52D5"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val="es-ES" w:eastAsia="es-ES"/>
        </w:rPr>
        <w:t xml:space="preserve">La Corte constata que el argumento del Estado se refiere a una medida de reparación solicitada por los representantes, en el sentido de que la </w:t>
      </w:r>
      <w:r w:rsidRPr="00470C7C">
        <w:rPr>
          <w:rFonts w:eastAsia="Batang" w:cs="Times"/>
          <w:noProof/>
          <w:szCs w:val="24"/>
          <w:lang w:val="es-MX" w:eastAsia="es-ES"/>
        </w:rPr>
        <w:t>Corte ordene al Estado que se abstenga de tomar medidas legislativas que pudieran representar un retroceso en el combate al trabajo esclavo en Brasil</w:t>
      </w:r>
      <w:r w:rsidRPr="00470C7C">
        <w:rPr>
          <w:rFonts w:eastAsia="Batang" w:cs="Times"/>
          <w:noProof/>
          <w:szCs w:val="24"/>
          <w:lang w:val="es-ES" w:eastAsia="es-ES"/>
        </w:rPr>
        <w:t xml:space="preserve">. </w:t>
      </w:r>
      <w:r w:rsidR="001C28EF" w:rsidRPr="00470C7C">
        <w:rPr>
          <w:rFonts w:eastAsia="Batang" w:cs="Times"/>
          <w:noProof/>
          <w:szCs w:val="24"/>
          <w:lang w:val="es-ES" w:eastAsia="es-ES"/>
        </w:rPr>
        <w:t>L</w:t>
      </w:r>
      <w:r w:rsidRPr="00470C7C">
        <w:rPr>
          <w:rFonts w:eastAsia="Batang" w:cs="Times"/>
          <w:noProof/>
          <w:szCs w:val="24"/>
          <w:lang w:val="es-ES" w:eastAsia="es-ES"/>
        </w:rPr>
        <w:t>a Corte recuerda que para que una medida de reparación sea concedida, se requiere  la verificación de un nexo causal entre los hechos del caso, las violaciones declaradas, los daños acreditados y las medidas solicitadas</w:t>
      </w:r>
      <w:r w:rsidRPr="00470C7C">
        <w:rPr>
          <w:rFonts w:eastAsia="Batang" w:cs="Times"/>
          <w:noProof/>
          <w:szCs w:val="24"/>
          <w:vertAlign w:val="superscript"/>
          <w:lang w:val="es-ES" w:eastAsia="es-ES"/>
        </w:rPr>
        <w:footnoteReference w:id="41"/>
      </w:r>
      <w:r w:rsidRPr="00470C7C">
        <w:rPr>
          <w:rFonts w:eastAsia="Batang" w:cs="Times"/>
          <w:noProof/>
          <w:szCs w:val="24"/>
          <w:lang w:val="es-ES" w:eastAsia="es-ES"/>
        </w:rPr>
        <w:t>. En consecuencia, este Tribunal considera que no resulta posible analizar la excepción planteada por el Estado</w:t>
      </w:r>
      <w:r w:rsidR="00050992" w:rsidRPr="00470C7C">
        <w:rPr>
          <w:rFonts w:eastAsia="Batang" w:cs="Times"/>
          <w:noProof/>
          <w:szCs w:val="24"/>
          <w:lang w:val="es-ES" w:eastAsia="es-ES"/>
        </w:rPr>
        <w:t>,</w:t>
      </w:r>
      <w:r w:rsidRPr="00470C7C">
        <w:rPr>
          <w:rFonts w:eastAsia="Batang" w:cs="Times"/>
          <w:noProof/>
          <w:szCs w:val="24"/>
          <w:lang w:val="es-ES" w:eastAsia="es-ES"/>
        </w:rPr>
        <w:t xml:space="preserve"> pues la controversia planteada no es susceptible de ser resuelta de forma preliminar, sino que depende directamente del fondo del asunto</w:t>
      </w:r>
      <w:r w:rsidRPr="00470C7C">
        <w:rPr>
          <w:rFonts w:eastAsia="Batang" w:cs="Times"/>
          <w:noProof/>
          <w:szCs w:val="24"/>
          <w:vertAlign w:val="superscript"/>
          <w:lang w:val="es-ES" w:eastAsia="es-ES"/>
        </w:rPr>
        <w:footnoteReference w:id="42"/>
      </w:r>
      <w:r w:rsidRPr="00470C7C">
        <w:rPr>
          <w:rFonts w:eastAsia="Batang" w:cs="Times"/>
          <w:noProof/>
          <w:szCs w:val="24"/>
          <w:lang w:val="es-ES" w:eastAsia="es-ES"/>
        </w:rPr>
        <w:t xml:space="preserve">. </w:t>
      </w:r>
      <w:r w:rsidRPr="00470C7C">
        <w:rPr>
          <w:rFonts w:eastAsia="Batang" w:cs="Times"/>
          <w:bCs/>
          <w:noProof/>
          <w:szCs w:val="24"/>
          <w:lang w:val="es-ES" w:eastAsia="es-ES"/>
        </w:rPr>
        <w:t xml:space="preserve">Por tanto, la Corte desestima la excepción preliminar.  </w:t>
      </w:r>
    </w:p>
    <w:p w14:paraId="753CAFEB" w14:textId="77777777" w:rsidR="000A52D5" w:rsidRPr="00470C7C" w:rsidRDefault="000A52D5" w:rsidP="00140440">
      <w:pPr>
        <w:tabs>
          <w:tab w:val="clear" w:pos="4419"/>
          <w:tab w:val="clear" w:pos="8838"/>
        </w:tabs>
        <w:jc w:val="both"/>
        <w:rPr>
          <w:rFonts w:eastAsia="Batang" w:cs="Times"/>
          <w:b/>
          <w:noProof/>
          <w:szCs w:val="24"/>
          <w:lang w:val="es-ES" w:eastAsia="es-ES"/>
        </w:rPr>
      </w:pPr>
    </w:p>
    <w:p w14:paraId="3435B179" w14:textId="77777777" w:rsidR="00246E8D" w:rsidRPr="00470C7C" w:rsidRDefault="000A52D5" w:rsidP="008B0BCC">
      <w:pPr>
        <w:pStyle w:val="Ttulo2"/>
        <w:numPr>
          <w:ilvl w:val="0"/>
          <w:numId w:val="15"/>
        </w:numPr>
        <w:rPr>
          <w:rFonts w:eastAsia="Batang"/>
          <w:noProof/>
          <w:lang w:eastAsia="es-ES"/>
        </w:rPr>
      </w:pPr>
      <w:bookmarkStart w:id="87" w:name="_Toc464813899"/>
      <w:r w:rsidRPr="00470C7C">
        <w:rPr>
          <w:rFonts w:eastAsia="Batang"/>
          <w:noProof/>
          <w:lang w:eastAsia="es-ES"/>
        </w:rPr>
        <w:t>Alegada incompetencia ratione temporis respecto de hechos anteriores a la fecha de reconocimiento de la jurisdicción de la Corte</w:t>
      </w:r>
      <w:r w:rsidR="00246E8D" w:rsidRPr="00470C7C">
        <w:rPr>
          <w:rFonts w:eastAsia="Batang"/>
          <w:noProof/>
          <w:lang w:eastAsia="es-ES"/>
        </w:rPr>
        <w:t xml:space="preserve">, y </w:t>
      </w:r>
      <w:r w:rsidR="00350AD5" w:rsidRPr="00470C7C">
        <w:rPr>
          <w:rFonts w:eastAsia="Batang"/>
          <w:noProof/>
          <w:lang w:eastAsia="es-ES"/>
        </w:rPr>
        <w:t>a</w:t>
      </w:r>
      <w:r w:rsidR="00187158" w:rsidRPr="00470C7C">
        <w:rPr>
          <w:rFonts w:eastAsia="Batang"/>
          <w:noProof/>
          <w:lang w:eastAsia="es-ES"/>
        </w:rPr>
        <w:t>l</w:t>
      </w:r>
      <w:r w:rsidR="00246E8D" w:rsidRPr="00470C7C">
        <w:rPr>
          <w:rFonts w:eastAsia="Batang"/>
          <w:noProof/>
          <w:lang w:eastAsia="es-ES"/>
        </w:rPr>
        <w:t>egada incompetencia ratione temporis en cuanto a hechos anteriores a la adhesión a la Convención por el Estado</w:t>
      </w:r>
      <w:bookmarkEnd w:id="87"/>
    </w:p>
    <w:p w14:paraId="0AE64667" w14:textId="77777777" w:rsidR="000A52D5" w:rsidRPr="00470C7C" w:rsidRDefault="000A52D5" w:rsidP="00140440">
      <w:pPr>
        <w:tabs>
          <w:tab w:val="clear" w:pos="4419"/>
          <w:tab w:val="clear" w:pos="8838"/>
        </w:tabs>
        <w:jc w:val="both"/>
        <w:rPr>
          <w:rFonts w:eastAsia="Batang" w:cs="Times"/>
          <w:b/>
          <w:noProof/>
          <w:szCs w:val="24"/>
          <w:lang w:val="es-MX" w:eastAsia="es-ES"/>
        </w:rPr>
      </w:pPr>
    </w:p>
    <w:p w14:paraId="3F278FEC" w14:textId="77777777" w:rsidR="00C3479B" w:rsidRPr="00470C7C" w:rsidRDefault="00C3479B" w:rsidP="00140440">
      <w:pPr>
        <w:pStyle w:val="Prrafodelista"/>
        <w:numPr>
          <w:ilvl w:val="0"/>
          <w:numId w:val="1"/>
        </w:numPr>
        <w:rPr>
          <w:rFonts w:eastAsia="Batang" w:cs="Times"/>
          <w:noProof/>
          <w:szCs w:val="24"/>
          <w:lang w:val="es-MX" w:eastAsia="es-ES"/>
        </w:rPr>
      </w:pPr>
      <w:r w:rsidRPr="00470C7C">
        <w:rPr>
          <w:rFonts w:eastAsia="Batang" w:cs="Times"/>
          <w:noProof/>
          <w:szCs w:val="24"/>
          <w:lang w:val="es-MX" w:eastAsia="es-ES"/>
        </w:rPr>
        <w:t>La Corte analizará las dos excepciones preliminares del Estado sobre limitación temporal (</w:t>
      </w:r>
      <w:r w:rsidRPr="00470C7C">
        <w:rPr>
          <w:rFonts w:eastAsia="Batang" w:cs="Times"/>
          <w:i/>
          <w:noProof/>
          <w:szCs w:val="24"/>
          <w:lang w:val="es-MX" w:eastAsia="es-ES"/>
        </w:rPr>
        <w:t>ratione temporis</w:t>
      </w:r>
      <w:r w:rsidRPr="00470C7C">
        <w:rPr>
          <w:rFonts w:eastAsia="Batang" w:cs="Times"/>
          <w:noProof/>
          <w:szCs w:val="24"/>
          <w:lang w:val="es-MX" w:eastAsia="es-ES"/>
        </w:rPr>
        <w:t>) conjuntamente, pues se refieren a supuesto</w:t>
      </w:r>
      <w:r w:rsidR="00ED1101" w:rsidRPr="00470C7C">
        <w:rPr>
          <w:rFonts w:eastAsia="Batang" w:cs="Times"/>
          <w:noProof/>
          <w:szCs w:val="24"/>
          <w:lang w:val="es-MX" w:eastAsia="es-ES"/>
        </w:rPr>
        <w:t>s relacionados</w:t>
      </w:r>
      <w:r w:rsidRPr="00470C7C">
        <w:rPr>
          <w:rFonts w:eastAsia="Batang" w:cs="Times"/>
          <w:noProof/>
          <w:szCs w:val="24"/>
          <w:lang w:val="es-MX" w:eastAsia="es-ES"/>
        </w:rPr>
        <w:t xml:space="preserve"> y conllevan argumentos idénticos de parte tanto del Estado como de la Comisión y los representantes.</w:t>
      </w:r>
    </w:p>
    <w:p w14:paraId="6BC9148B" w14:textId="77777777" w:rsidR="00C3479B" w:rsidRPr="00470C7C" w:rsidRDefault="00C3479B" w:rsidP="00140440">
      <w:pPr>
        <w:pStyle w:val="Asuntodelcomentario"/>
        <w:tabs>
          <w:tab w:val="clear" w:pos="4419"/>
          <w:tab w:val="clear" w:pos="8838"/>
        </w:tabs>
        <w:jc w:val="both"/>
        <w:rPr>
          <w:rFonts w:eastAsia="Batang" w:cs="Times"/>
          <w:bCs w:val="0"/>
          <w:noProof/>
          <w:szCs w:val="24"/>
          <w:lang w:val="es-MX" w:eastAsia="es-ES"/>
        </w:rPr>
      </w:pPr>
    </w:p>
    <w:p w14:paraId="1C260119" w14:textId="77777777" w:rsidR="000A52D5" w:rsidRPr="00470C7C" w:rsidRDefault="000A52D5" w:rsidP="000A20C1">
      <w:pPr>
        <w:pStyle w:val="Ttulo3"/>
        <w:rPr>
          <w:noProof/>
          <w:lang w:eastAsia="es-ES"/>
        </w:rPr>
      </w:pPr>
      <w:bookmarkStart w:id="88" w:name="_Toc460432973"/>
      <w:bookmarkStart w:id="89" w:name="_Toc460441904"/>
      <w:bookmarkStart w:id="90" w:name="_Toc462750724"/>
      <w:bookmarkStart w:id="91" w:name="_Toc462751048"/>
      <w:bookmarkStart w:id="92" w:name="_Toc464813900"/>
      <w:r w:rsidRPr="00470C7C">
        <w:rPr>
          <w:noProof/>
          <w:lang w:eastAsia="es-ES"/>
        </w:rPr>
        <w:t xml:space="preserve">D.1. </w:t>
      </w:r>
      <w:r w:rsidR="00246E8D" w:rsidRPr="00470C7C">
        <w:rPr>
          <w:noProof/>
          <w:lang w:eastAsia="es-ES"/>
        </w:rPr>
        <w:t>Alegatos del Estado,</w:t>
      </w:r>
      <w:r w:rsidRPr="00470C7C">
        <w:rPr>
          <w:noProof/>
          <w:lang w:eastAsia="es-ES"/>
        </w:rPr>
        <w:t xml:space="preserve"> observaciones de la Comisión y de los representantes</w:t>
      </w:r>
      <w:bookmarkEnd w:id="88"/>
      <w:bookmarkEnd w:id="89"/>
      <w:bookmarkEnd w:id="90"/>
      <w:bookmarkEnd w:id="91"/>
      <w:bookmarkEnd w:id="92"/>
    </w:p>
    <w:p w14:paraId="7904E56F" w14:textId="77777777" w:rsidR="000A52D5" w:rsidRPr="00470C7C" w:rsidRDefault="000A52D5" w:rsidP="00140440">
      <w:pPr>
        <w:tabs>
          <w:tab w:val="clear" w:pos="4419"/>
          <w:tab w:val="clear" w:pos="8838"/>
        </w:tabs>
        <w:jc w:val="both"/>
        <w:rPr>
          <w:rFonts w:eastAsia="Batang" w:cs="Times"/>
          <w:b/>
          <w:noProof/>
          <w:szCs w:val="24"/>
          <w:lang w:val="es-MX" w:eastAsia="es-ES"/>
        </w:rPr>
      </w:pPr>
    </w:p>
    <w:p w14:paraId="4BE2CCDC"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indicó que formalizó su adhesión a la Convención Americana el 6 de noviembre de 1992 y reconoció la competencia de la Corte el 10 de diciembre de 1998 para hechos posteriores </w:t>
      </w:r>
      <w:r w:rsidR="00050992" w:rsidRPr="00470C7C">
        <w:rPr>
          <w:rFonts w:eastAsia="Batang" w:cs="Times"/>
          <w:noProof/>
          <w:szCs w:val="24"/>
          <w:lang w:val="es-MX" w:eastAsia="es-ES"/>
        </w:rPr>
        <w:t xml:space="preserve">a </w:t>
      </w:r>
      <w:r w:rsidRPr="00470C7C">
        <w:rPr>
          <w:rFonts w:eastAsia="Batang" w:cs="Times"/>
          <w:noProof/>
          <w:szCs w:val="24"/>
          <w:lang w:val="es-MX" w:eastAsia="es-ES"/>
        </w:rPr>
        <w:t xml:space="preserve">esa fecha. El Estado afirmó que la interpretación de la Comisión y de los representantes en relación </w:t>
      </w:r>
      <w:r w:rsidR="00050992" w:rsidRPr="00470C7C">
        <w:rPr>
          <w:rFonts w:eastAsia="Batang" w:cs="Times"/>
          <w:noProof/>
          <w:szCs w:val="24"/>
          <w:lang w:val="es-MX" w:eastAsia="es-ES"/>
        </w:rPr>
        <w:t>con</w:t>
      </w:r>
      <w:r w:rsidRPr="00470C7C">
        <w:rPr>
          <w:rFonts w:eastAsia="Batang" w:cs="Times"/>
          <w:noProof/>
          <w:szCs w:val="24"/>
          <w:lang w:val="es-MX" w:eastAsia="es-ES"/>
        </w:rPr>
        <w:t xml:space="preserve"> los hechos anteriores al reconocimiento de </w:t>
      </w:r>
      <w:r w:rsidR="00050992" w:rsidRPr="00470C7C">
        <w:rPr>
          <w:rFonts w:eastAsia="Batang" w:cs="Times"/>
          <w:noProof/>
          <w:szCs w:val="24"/>
          <w:lang w:val="es-MX" w:eastAsia="es-ES"/>
        </w:rPr>
        <w:t xml:space="preserve">la </w:t>
      </w:r>
      <w:r w:rsidRPr="00470C7C">
        <w:rPr>
          <w:rFonts w:eastAsia="Batang" w:cs="Times"/>
          <w:noProof/>
          <w:szCs w:val="24"/>
          <w:lang w:val="es-MX" w:eastAsia="es-ES"/>
        </w:rPr>
        <w:t>competencia de la Corte por parte de Brasil, viola el régimen especial de declaraciones con limitación de la competencia temporal previsto en el artículo 62.2 de la Convención, al no tomar en cuenta la soberanía del Estado y tratar de extender la jurisdicción de la Corte más allá de los límites declarados por dicho artículo. A consideración del Estado, la interpretación propuesta igualaría los efectos de todas las declaraciones de aceptación de la jurisdicción de la Corte, sean estas con o sin limitación temporal, lo que desconoce la voluntad de los Estados y los límites legítimamente impuestos por ellos al someterse a la jurisdicción de la Corte</w:t>
      </w:r>
      <w:r w:rsidR="00050992" w:rsidRPr="00470C7C">
        <w:rPr>
          <w:rFonts w:eastAsia="Batang" w:cs="Times"/>
          <w:noProof/>
          <w:szCs w:val="24"/>
          <w:lang w:val="es-MX" w:eastAsia="es-ES"/>
        </w:rPr>
        <w:t>,</w:t>
      </w:r>
      <w:r w:rsidRPr="00470C7C">
        <w:rPr>
          <w:rFonts w:eastAsia="Batang" w:cs="Times"/>
          <w:noProof/>
          <w:szCs w:val="24"/>
          <w:lang w:val="es-MX" w:eastAsia="es-ES"/>
        </w:rPr>
        <w:t xml:space="preserve"> salvo si los actos fueran continuados, lo que no ocurre en el presente caso.   </w:t>
      </w:r>
    </w:p>
    <w:p w14:paraId="56D9DF60"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7F5B3C57"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De acuerdo con el Estado, la Corte tiene competencia </w:t>
      </w:r>
      <w:r w:rsidRPr="00470C7C">
        <w:rPr>
          <w:rFonts w:eastAsia="Batang" w:cs="Times"/>
          <w:i/>
          <w:noProof/>
          <w:szCs w:val="24"/>
          <w:lang w:val="es-MX" w:eastAsia="es-ES"/>
        </w:rPr>
        <w:t>ratione temporis</w:t>
      </w:r>
      <w:r w:rsidR="00B54FB3" w:rsidRPr="00470C7C">
        <w:rPr>
          <w:rFonts w:eastAsia="Batang" w:cs="Times"/>
          <w:noProof/>
          <w:szCs w:val="24"/>
          <w:lang w:val="es-MX" w:eastAsia="es-ES"/>
        </w:rPr>
        <w:t xml:space="preserve"> </w:t>
      </w:r>
      <w:r w:rsidR="004D1879" w:rsidRPr="00470C7C">
        <w:rPr>
          <w:rFonts w:eastAsia="Batang" w:cs="Times"/>
          <w:noProof/>
          <w:szCs w:val="24"/>
          <w:lang w:val="es-MX" w:eastAsia="es-ES"/>
        </w:rPr>
        <w:t xml:space="preserve">solo </w:t>
      </w:r>
      <w:r w:rsidRPr="00470C7C">
        <w:rPr>
          <w:rFonts w:eastAsia="Batang" w:cs="Times"/>
          <w:noProof/>
          <w:szCs w:val="24"/>
          <w:lang w:val="es-MX" w:eastAsia="es-ES"/>
        </w:rPr>
        <w:t>para analizar las posibles violaciones relacionadas con hechos identificados en la inspección del año 2000, por ser los únicos posteriores al 10 de diciembre de 1998. En el mismo sentido, alegó que en cuanto a las posibles violaciones a los derechos de protección y garantías judiciales, la Corte</w:t>
      </w:r>
      <w:r w:rsidR="00B54FB3" w:rsidRPr="00470C7C">
        <w:rPr>
          <w:rFonts w:eastAsia="Batang" w:cs="Times"/>
          <w:noProof/>
          <w:szCs w:val="24"/>
          <w:lang w:val="es-MX" w:eastAsia="es-ES"/>
        </w:rPr>
        <w:t xml:space="preserve"> </w:t>
      </w:r>
      <w:r w:rsidR="004D1879" w:rsidRPr="00470C7C">
        <w:rPr>
          <w:rFonts w:eastAsia="Batang" w:cs="Times"/>
          <w:noProof/>
          <w:szCs w:val="24"/>
          <w:lang w:val="es-MX" w:eastAsia="es-ES"/>
        </w:rPr>
        <w:t xml:space="preserve">solo </w:t>
      </w:r>
      <w:r w:rsidRPr="00470C7C">
        <w:rPr>
          <w:rFonts w:eastAsia="Batang" w:cs="Times"/>
          <w:noProof/>
          <w:szCs w:val="24"/>
          <w:lang w:val="es-MX" w:eastAsia="es-ES"/>
        </w:rPr>
        <w:t>tendría competencia respecto de los procesos penales iniciados después de esa fecha y que constituyeran eventuales violaciones específicas y autónomas de denegación de justicia.</w:t>
      </w:r>
    </w:p>
    <w:p w14:paraId="6A26C6F8" w14:textId="77777777" w:rsidR="00246E8D" w:rsidRPr="00470C7C" w:rsidRDefault="00246E8D" w:rsidP="00140440">
      <w:pPr>
        <w:pStyle w:val="Prrafodelista"/>
        <w:contextualSpacing w:val="0"/>
        <w:rPr>
          <w:rFonts w:eastAsia="Batang" w:cs="Times"/>
          <w:noProof/>
          <w:szCs w:val="24"/>
          <w:lang w:val="es-MX" w:eastAsia="es-ES"/>
        </w:rPr>
      </w:pPr>
    </w:p>
    <w:p w14:paraId="6CAC118D" w14:textId="77777777" w:rsidR="00246E8D" w:rsidRPr="00470C7C" w:rsidRDefault="00246E8D"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Adicionalmente, el Estado alegó que la Corte debería declararse incompetente para conocer de supuestas violaciones sucedidas antes de 25 de septiembre de 1992</w:t>
      </w:r>
      <w:r w:rsidR="004E078C" w:rsidRPr="00470C7C">
        <w:rPr>
          <w:rFonts w:eastAsia="Batang" w:cs="Times"/>
          <w:noProof/>
          <w:szCs w:val="24"/>
          <w:lang w:val="es-MX" w:eastAsia="es-ES"/>
        </w:rPr>
        <w:t>,</w:t>
      </w:r>
      <w:r w:rsidRPr="00470C7C">
        <w:rPr>
          <w:rFonts w:eastAsia="Batang" w:cs="Times"/>
          <w:noProof/>
          <w:szCs w:val="24"/>
          <w:lang w:val="es-MX" w:eastAsia="es-ES"/>
        </w:rPr>
        <w:t xml:space="preserve"> </w:t>
      </w:r>
      <w:r w:rsidR="004E078C" w:rsidRPr="00470C7C">
        <w:rPr>
          <w:rFonts w:eastAsia="Batang" w:cs="Times"/>
          <w:noProof/>
          <w:szCs w:val="24"/>
          <w:lang w:val="es-MX" w:eastAsia="es-ES"/>
        </w:rPr>
        <w:t xml:space="preserve">fecha en que </w:t>
      </w:r>
      <w:r w:rsidRPr="00470C7C">
        <w:rPr>
          <w:rFonts w:eastAsia="Batang" w:cs="Times"/>
          <w:noProof/>
          <w:szCs w:val="24"/>
          <w:lang w:val="es-MX" w:eastAsia="es-ES"/>
        </w:rPr>
        <w:t xml:space="preserve">se adhirió a la Convención Americana, es decir, de los actos presuntamente violatorios de la Convención acontecidos del 21 de diciembre de 1988 al 18 de marzo de 1992. </w:t>
      </w:r>
    </w:p>
    <w:p w14:paraId="202A38EC"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ED68264"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señaló que al enviar el caso a la Corte especificó que</w:t>
      </w:r>
      <w:r w:rsidR="00B54FB3" w:rsidRPr="00470C7C">
        <w:rPr>
          <w:rFonts w:eastAsia="Batang" w:cs="Times"/>
          <w:noProof/>
          <w:szCs w:val="24"/>
          <w:lang w:val="es-MX" w:eastAsia="es-ES"/>
        </w:rPr>
        <w:t xml:space="preserve"> </w:t>
      </w:r>
      <w:r w:rsidR="004D1879" w:rsidRPr="00470C7C">
        <w:rPr>
          <w:rFonts w:eastAsia="Batang" w:cs="Times"/>
          <w:noProof/>
          <w:szCs w:val="24"/>
          <w:lang w:val="es-MX" w:eastAsia="es-ES"/>
        </w:rPr>
        <w:t xml:space="preserve">solo </w:t>
      </w:r>
      <w:r w:rsidRPr="00470C7C">
        <w:rPr>
          <w:rFonts w:eastAsia="Batang" w:cs="Times"/>
          <w:noProof/>
          <w:szCs w:val="24"/>
          <w:lang w:val="es-MX" w:eastAsia="es-ES"/>
        </w:rPr>
        <w:t xml:space="preserve">informaba sobre eventos que ocurrieron o continuaron sucediendo después del 10 de diciembre de 1998, fecha en que Brasil aceptó la competencia de la Corte. </w:t>
      </w:r>
      <w:r w:rsidR="00791544" w:rsidRPr="00470C7C">
        <w:rPr>
          <w:rFonts w:eastAsia="Batang" w:cs="Times"/>
          <w:noProof/>
          <w:szCs w:val="24"/>
          <w:lang w:val="es-MX" w:eastAsia="es-ES"/>
        </w:rPr>
        <w:t>C</w:t>
      </w:r>
      <w:r w:rsidRPr="00470C7C">
        <w:rPr>
          <w:rFonts w:eastAsia="Batang" w:cs="Times"/>
          <w:noProof/>
          <w:szCs w:val="24"/>
          <w:lang w:val="es-MX" w:eastAsia="es-ES"/>
        </w:rPr>
        <w:t xml:space="preserve">onsistirían en acciones y omisiones respecto de la situación de </w:t>
      </w:r>
      <w:r w:rsidR="001B63D0" w:rsidRPr="00470C7C">
        <w:rPr>
          <w:rFonts w:eastAsia="Batang" w:cs="Times"/>
          <w:noProof/>
          <w:szCs w:val="24"/>
          <w:lang w:val="es-MX" w:eastAsia="es-ES"/>
        </w:rPr>
        <w:t>trabajo forzoso</w:t>
      </w:r>
      <w:r w:rsidRPr="00470C7C">
        <w:rPr>
          <w:rFonts w:eastAsia="Batang" w:cs="Times"/>
          <w:noProof/>
          <w:szCs w:val="24"/>
          <w:lang w:val="es-MX" w:eastAsia="es-ES"/>
        </w:rPr>
        <w:t>, servidumbre por deudas y formas análogas a la esclavitud que</w:t>
      </w:r>
      <w:r w:rsidR="00791544" w:rsidRPr="00470C7C">
        <w:rPr>
          <w:rFonts w:eastAsia="Batang" w:cs="Times"/>
          <w:noProof/>
          <w:szCs w:val="24"/>
          <w:lang w:val="es-MX" w:eastAsia="es-ES"/>
        </w:rPr>
        <w:t>,</w:t>
      </w:r>
      <w:r w:rsidRPr="00470C7C">
        <w:rPr>
          <w:rFonts w:eastAsia="Batang" w:cs="Times"/>
          <w:noProof/>
          <w:szCs w:val="24"/>
          <w:lang w:val="es-MX" w:eastAsia="es-ES"/>
        </w:rPr>
        <w:t xml:space="preserve"> según el Informe de Fondo, fueron constatados a través de la fiscalización que tuvo lugar en el año 2000; así como las acciones y omisiones que condujeron a la impunidad de todos los hechos, situación que continuaba vigente al momento de la aceptación de la competencia de la Corte y posterior a ella, incluidas la desaparición de </w:t>
      </w:r>
      <w:r w:rsidR="008B075C" w:rsidRPr="00470C7C">
        <w:rPr>
          <w:rFonts w:eastAsia="Batang" w:cs="Times"/>
          <w:noProof/>
          <w:szCs w:val="24"/>
          <w:lang w:val="es-MX" w:eastAsia="es-ES"/>
        </w:rPr>
        <w:t>Iron Canuto da Silva</w:t>
      </w:r>
      <w:r w:rsidRPr="00470C7C">
        <w:rPr>
          <w:rFonts w:eastAsia="Batang" w:cs="Times"/>
          <w:noProof/>
          <w:szCs w:val="24"/>
          <w:lang w:val="es-MX" w:eastAsia="es-ES"/>
        </w:rPr>
        <w:t xml:space="preserve"> y </w:t>
      </w:r>
      <w:r w:rsidR="00200C04" w:rsidRPr="00470C7C">
        <w:rPr>
          <w:rFonts w:eastAsia="Batang" w:cs="Times"/>
          <w:noProof/>
          <w:szCs w:val="24"/>
          <w:lang w:val="es-MX" w:eastAsia="es-ES"/>
        </w:rPr>
        <w:t>Luis Ferreira da Cruz</w:t>
      </w:r>
      <w:r w:rsidRPr="00470C7C">
        <w:rPr>
          <w:rFonts w:eastAsia="Batang" w:cs="Times"/>
          <w:noProof/>
          <w:szCs w:val="24"/>
          <w:lang w:val="es-MX" w:eastAsia="es-ES"/>
        </w:rPr>
        <w:t>.</w:t>
      </w:r>
    </w:p>
    <w:p w14:paraId="5654E2D6"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118F018A"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indicaron que el Estado hace una interpretación errónea de la jurisprudencia de la Corte e ignora sus pronunciamientos previos en casos contenciosos contra Brasil, pues la Corte ya definió que</w:t>
      </w:r>
      <w:r w:rsidR="00791544" w:rsidRPr="00470C7C">
        <w:rPr>
          <w:rFonts w:eastAsia="Batang" w:cs="Times"/>
          <w:noProof/>
          <w:szCs w:val="24"/>
          <w:lang w:val="es-MX" w:eastAsia="es-ES"/>
        </w:rPr>
        <w:t>,</w:t>
      </w:r>
      <w:r w:rsidRPr="00470C7C">
        <w:rPr>
          <w:rFonts w:eastAsia="Batang" w:cs="Times"/>
          <w:noProof/>
          <w:szCs w:val="24"/>
          <w:lang w:val="es-MX" w:eastAsia="es-ES"/>
        </w:rPr>
        <w:t xml:space="preserve"> al determinar si tiene competencia para examinar un caso o un aspecto del mismo, debe considerar la fecha de reconocimiento de la competencia por parte del Estado, así como los términos en que fue dado. Además, los representantes alegaron que la Corte ha señalado que tiene competencia para analizar hechos violatorios que habiendo iniciado previamente a la fecha de reconocimiento de competencia de la Corte, hayan continuado o permanecido con posterioridad a</w:t>
      </w:r>
      <w:r w:rsidR="00B54FB3" w:rsidRPr="00470C7C">
        <w:rPr>
          <w:rFonts w:eastAsia="Batang" w:cs="Times"/>
          <w:noProof/>
          <w:szCs w:val="24"/>
          <w:lang w:val="es-MX" w:eastAsia="es-ES"/>
        </w:rPr>
        <w:t xml:space="preserve"> este</w:t>
      </w:r>
      <w:r w:rsidRPr="00470C7C">
        <w:rPr>
          <w:rFonts w:eastAsia="Batang" w:cs="Times"/>
          <w:noProof/>
          <w:szCs w:val="24"/>
          <w:lang w:val="es-MX" w:eastAsia="es-ES"/>
        </w:rPr>
        <w:t>.</w:t>
      </w:r>
    </w:p>
    <w:p w14:paraId="363ABDC9"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68F99C5"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representantes también alegaron que la desaparición forzada de </w:t>
      </w:r>
      <w:r w:rsidR="00200C04" w:rsidRPr="00470C7C">
        <w:rPr>
          <w:rFonts w:eastAsia="Batang" w:cs="Times"/>
          <w:noProof/>
          <w:szCs w:val="24"/>
          <w:lang w:val="es-MX" w:eastAsia="es-ES"/>
        </w:rPr>
        <w:t>Luis Ferreira da Cruz</w:t>
      </w:r>
      <w:r w:rsidRPr="00470C7C">
        <w:rPr>
          <w:rFonts w:eastAsia="Batang" w:cs="Times"/>
          <w:noProof/>
          <w:szCs w:val="24"/>
          <w:lang w:val="es-MX" w:eastAsia="es-ES"/>
        </w:rPr>
        <w:t>, acontecida en agosto de 1988, continuó después del 10 de diciembre de 1998 y se ha perpetuado hasta el presente, por lo que el Estado sigue incurriendo en responsabilidad internacional por omisión de su deber de garantía al no realizar acciones efectivas para encontrar a la presunta víctima.</w:t>
      </w:r>
    </w:p>
    <w:p w14:paraId="4E0AD48F" w14:textId="77777777" w:rsidR="00B13CD7" w:rsidRPr="00470C7C" w:rsidRDefault="00B13CD7" w:rsidP="00140440">
      <w:pPr>
        <w:pStyle w:val="Prrafodelista"/>
        <w:contextualSpacing w:val="0"/>
        <w:rPr>
          <w:rFonts w:eastAsia="Batang" w:cs="Times"/>
          <w:noProof/>
          <w:szCs w:val="24"/>
          <w:lang w:val="es-MX" w:eastAsia="es-ES"/>
        </w:rPr>
      </w:pPr>
    </w:p>
    <w:p w14:paraId="1089626B" w14:textId="77777777" w:rsidR="00B13CD7" w:rsidRPr="00470C7C" w:rsidRDefault="00B13CD7"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Adicionalmente, los representantes alegaron violaciones derivadas de la falta de investigación sobre trabajo esclavo y desapariciones forzadas en la Hacienda Brasil Verde con anterioridad a 1998. Indicaron que el Estado es responsable por la falta de investigación en cuanto a la denuncia por trabajo esclavo y desapariciones forzadas de 1988, reiterada en 1992, así como por las inspecciones de los años de 1989, 1993 y 1996, que evidenciaron la existencia de trabajo esclavo en la hacienda.</w:t>
      </w:r>
    </w:p>
    <w:p w14:paraId="01916F01"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435C1B75" w14:textId="77777777" w:rsidR="000A52D5" w:rsidRPr="00470C7C" w:rsidRDefault="000A52D5" w:rsidP="000A20C1">
      <w:pPr>
        <w:pStyle w:val="Ttulo3"/>
        <w:rPr>
          <w:noProof/>
          <w:lang w:eastAsia="es-ES"/>
        </w:rPr>
      </w:pPr>
      <w:bookmarkStart w:id="93" w:name="_Toc460432974"/>
      <w:bookmarkStart w:id="94" w:name="_Toc460441905"/>
      <w:bookmarkStart w:id="95" w:name="_Toc462750725"/>
      <w:bookmarkStart w:id="96" w:name="_Toc462751049"/>
      <w:bookmarkStart w:id="97" w:name="_Toc464813901"/>
      <w:r w:rsidRPr="00470C7C">
        <w:rPr>
          <w:noProof/>
          <w:lang w:eastAsia="es-ES"/>
        </w:rPr>
        <w:t>D.2. Consideraciones de la Corte</w:t>
      </w:r>
      <w:bookmarkEnd w:id="93"/>
      <w:bookmarkEnd w:id="94"/>
      <w:bookmarkEnd w:id="95"/>
      <w:bookmarkEnd w:id="96"/>
      <w:bookmarkEnd w:id="97"/>
    </w:p>
    <w:p w14:paraId="3F9623C8"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7DE79182" w14:textId="77777777" w:rsidR="000A52D5" w:rsidRPr="00470C7C" w:rsidRDefault="00335CCC" w:rsidP="00D1095F">
      <w:pPr>
        <w:numPr>
          <w:ilvl w:val="0"/>
          <w:numId w:val="1"/>
        </w:numPr>
        <w:tabs>
          <w:tab w:val="clear" w:pos="4419"/>
          <w:tab w:val="clear" w:pos="8838"/>
        </w:tabs>
        <w:jc w:val="both"/>
        <w:rPr>
          <w:rFonts w:eastAsia="Batang" w:cs="Times"/>
          <w:noProof/>
          <w:szCs w:val="24"/>
          <w:lang w:val="es-MX" w:eastAsia="es-ES"/>
        </w:rPr>
      </w:pPr>
      <w:r w:rsidRPr="00470C7C">
        <w:rPr>
          <w:szCs w:val="20"/>
        </w:rPr>
        <w:t>Brasil reconoció la competencia contenciosa de la Corte Interamericana el 10 de diciembre de 1998 y en su declaración indicó que el Tribunal tendría competencia respecto de “hechos posteriores” a dicho reconocimiento</w:t>
      </w:r>
      <w:r w:rsidRPr="00470C7C">
        <w:rPr>
          <w:rStyle w:val="Refdenotaalpie"/>
        </w:rPr>
        <w:footnoteReference w:id="43"/>
      </w:r>
      <w:r w:rsidRPr="00470C7C">
        <w:rPr>
          <w:szCs w:val="20"/>
        </w:rPr>
        <w:t>. Con base en lo anterior y en el principio de irretroactividad, la Corte no puede ejercer su competencia contenciosa para aplicar la Convención y declarar una violación a sus normas cuando los hechos alegados o la conducta del Estado que pudieran implicar su responsabilidad internacional son anteriores a dicho reconocimiento de la competencia</w:t>
      </w:r>
      <w:r w:rsidRPr="00470C7C">
        <w:rPr>
          <w:rStyle w:val="Refdenotaalpie"/>
        </w:rPr>
        <w:footnoteReference w:id="44"/>
      </w:r>
      <w:r w:rsidR="00F54C34" w:rsidRPr="00470C7C">
        <w:rPr>
          <w:rFonts w:eastAsia="Batang" w:cs="Times"/>
          <w:noProof/>
          <w:szCs w:val="24"/>
          <w:lang w:val="es-MX" w:eastAsia="es-ES"/>
        </w:rPr>
        <w:t>.</w:t>
      </w:r>
      <w:r w:rsidR="00D1095F" w:rsidRPr="00470C7C">
        <w:rPr>
          <w:rFonts w:eastAsia="Batang" w:cs="Times"/>
          <w:noProof/>
          <w:szCs w:val="24"/>
          <w:lang w:val="es-MX" w:eastAsia="es-ES"/>
        </w:rPr>
        <w:t xml:space="preserve"> </w:t>
      </w:r>
      <w:r w:rsidR="000A52D5" w:rsidRPr="00470C7C">
        <w:rPr>
          <w:rFonts w:eastAsia="Batang" w:cs="Times"/>
          <w:noProof/>
          <w:szCs w:val="24"/>
          <w:lang w:val="es-MX" w:eastAsia="es-ES"/>
        </w:rPr>
        <w:t>Por ello, quedan fuera de la competencia del Tribunal los hechos ocurridos antes de que Brasil reconociera la competencia contenciosa de la Corte</w:t>
      </w:r>
      <w:r w:rsidR="000A52D5" w:rsidRPr="00470C7C">
        <w:rPr>
          <w:rFonts w:eastAsia="Batang" w:cs="Times"/>
          <w:noProof/>
          <w:szCs w:val="24"/>
          <w:lang w:eastAsia="es-ES"/>
        </w:rPr>
        <w:t>.</w:t>
      </w:r>
    </w:p>
    <w:p w14:paraId="37C630F9" w14:textId="77777777" w:rsidR="000A52D5" w:rsidRPr="00470C7C" w:rsidRDefault="000A52D5" w:rsidP="00140440">
      <w:pPr>
        <w:tabs>
          <w:tab w:val="clear" w:pos="4419"/>
          <w:tab w:val="clear" w:pos="8838"/>
        </w:tabs>
        <w:jc w:val="both"/>
        <w:rPr>
          <w:rFonts w:eastAsia="Batang" w:cs="Times"/>
          <w:noProof/>
          <w:szCs w:val="24"/>
          <w:u w:val="single"/>
          <w:lang w:val="es-MX" w:eastAsia="es-ES"/>
        </w:rPr>
      </w:pPr>
    </w:p>
    <w:p w14:paraId="495186F7" w14:textId="77777777" w:rsidR="000A52D5" w:rsidRPr="00470C7C" w:rsidRDefault="008E79CF" w:rsidP="008E79CF">
      <w:pPr>
        <w:numPr>
          <w:ilvl w:val="0"/>
          <w:numId w:val="1"/>
        </w:numPr>
        <w:tabs>
          <w:tab w:val="clear" w:pos="4419"/>
          <w:tab w:val="clear" w:pos="8838"/>
        </w:tabs>
        <w:jc w:val="both"/>
        <w:rPr>
          <w:rFonts w:eastAsia="Batang" w:cs="Times"/>
          <w:noProof/>
          <w:szCs w:val="24"/>
          <w:lang w:eastAsia="es-ES"/>
        </w:rPr>
      </w:pPr>
      <w:r w:rsidRPr="00470C7C">
        <w:rPr>
          <w:spacing w:val="-3"/>
          <w:szCs w:val="20"/>
        </w:rPr>
        <w:t xml:space="preserve">Por otra parte, en su jurisprudencia constante este Tribunal ha establecido que los actos de carácter continuo o permanente </w:t>
      </w:r>
      <w:r w:rsidRPr="00470C7C">
        <w:rPr>
          <w:rStyle w:val="apple-style-span"/>
          <w:color w:val="000000"/>
          <w:szCs w:val="20"/>
        </w:rPr>
        <w:t xml:space="preserve">se extienden durante todo el tiempo en el cual el hecho continúa, manteniéndose su falta de conformidad con la obligación internacional. </w:t>
      </w:r>
      <w:r w:rsidRPr="00470C7C">
        <w:rPr>
          <w:szCs w:val="20"/>
        </w:rPr>
        <w:t xml:space="preserve">En concordancia con lo anterior, la Corte recuerda que el carácter continuo o permanente de la desaparición forzada de personas ha sido reconocido de manera reiterada por el Derecho Internacional de los Derechos Humanos, en el cual </w:t>
      </w:r>
      <w:r w:rsidRPr="00470C7C">
        <w:rPr>
          <w:szCs w:val="20"/>
          <w:lang w:val="es-MX"/>
        </w:rPr>
        <w:t>el acto de desaparición y su ejecución inician con la privación de la libertad de la persona y la subsiguiente falta de información sobre su destino, y permanece hasta tanto no se conozca el paradero de la persona desaparecida y los hechos no hayan sido esclarecidos</w:t>
      </w:r>
      <w:r w:rsidR="000A52D5" w:rsidRPr="00470C7C">
        <w:rPr>
          <w:rFonts w:eastAsia="Batang" w:cs="Times"/>
          <w:noProof/>
          <w:szCs w:val="24"/>
          <w:vertAlign w:val="superscript"/>
          <w:lang w:val="en-US" w:eastAsia="es-ES"/>
        </w:rPr>
        <w:footnoteReference w:id="45"/>
      </w:r>
      <w:r w:rsidR="000A52D5" w:rsidRPr="00470C7C">
        <w:rPr>
          <w:rFonts w:eastAsia="Batang" w:cs="Times"/>
          <w:noProof/>
          <w:szCs w:val="24"/>
          <w:lang w:eastAsia="es-ES"/>
        </w:rPr>
        <w:t xml:space="preserve">. </w:t>
      </w:r>
      <w:r w:rsidR="000A52D5" w:rsidRPr="00470C7C">
        <w:rPr>
          <w:rFonts w:eastAsia="Batang" w:cs="Times"/>
          <w:noProof/>
          <w:szCs w:val="24"/>
          <w:lang w:val="es-MX" w:eastAsia="es-ES"/>
        </w:rPr>
        <w:t xml:space="preserve">Por tanto, la Corte es competente para analizar la alegada desaparición forzada de </w:t>
      </w:r>
      <w:r w:rsidR="00200C04" w:rsidRPr="00470C7C">
        <w:rPr>
          <w:rFonts w:eastAsia="Batang" w:cs="Times"/>
          <w:noProof/>
          <w:szCs w:val="24"/>
          <w:lang w:val="es-MX" w:eastAsia="es-ES"/>
        </w:rPr>
        <w:t xml:space="preserve">Luis Ferreira </w:t>
      </w:r>
      <w:r w:rsidR="00701BB2" w:rsidRPr="00470C7C">
        <w:rPr>
          <w:rFonts w:eastAsia="Batang" w:cs="Times"/>
          <w:noProof/>
          <w:szCs w:val="24"/>
          <w:lang w:val="es-MX" w:eastAsia="es-ES"/>
        </w:rPr>
        <w:t xml:space="preserve">da Cruz </w:t>
      </w:r>
      <w:r w:rsidR="00B13CD7" w:rsidRPr="00470C7C">
        <w:rPr>
          <w:rFonts w:eastAsia="Batang" w:cs="Times"/>
          <w:noProof/>
          <w:szCs w:val="24"/>
          <w:lang w:val="es-MX" w:eastAsia="es-ES"/>
        </w:rPr>
        <w:t xml:space="preserve">e </w:t>
      </w:r>
      <w:r w:rsidR="008B075C" w:rsidRPr="00470C7C">
        <w:rPr>
          <w:rFonts w:eastAsia="Batang" w:cs="Times"/>
          <w:noProof/>
          <w:szCs w:val="24"/>
          <w:lang w:val="es-MX" w:eastAsia="es-ES"/>
        </w:rPr>
        <w:t>Iron Canuto da Silva</w:t>
      </w:r>
      <w:r w:rsidR="00B13CD7" w:rsidRPr="00470C7C">
        <w:rPr>
          <w:rFonts w:eastAsia="Batang" w:cs="Times"/>
          <w:noProof/>
          <w:szCs w:val="24"/>
          <w:lang w:val="es-MX" w:eastAsia="es-ES"/>
        </w:rPr>
        <w:t xml:space="preserve"> </w:t>
      </w:r>
      <w:r w:rsidR="000A52D5" w:rsidRPr="00470C7C">
        <w:rPr>
          <w:rFonts w:eastAsia="Batang" w:cs="Times"/>
          <w:noProof/>
          <w:szCs w:val="24"/>
          <w:lang w:val="es-MX" w:eastAsia="es-ES"/>
        </w:rPr>
        <w:t xml:space="preserve">a partir del reconocimiento de su competencia contenciosa efectuado por Brasil.  </w:t>
      </w:r>
    </w:p>
    <w:p w14:paraId="57B388A5" w14:textId="77777777" w:rsidR="000A52D5" w:rsidRPr="00470C7C" w:rsidRDefault="000A52D5" w:rsidP="00140440">
      <w:pPr>
        <w:tabs>
          <w:tab w:val="clear" w:pos="4419"/>
          <w:tab w:val="clear" w:pos="8838"/>
        </w:tabs>
        <w:jc w:val="both"/>
        <w:rPr>
          <w:rFonts w:eastAsia="Batang" w:cs="Times"/>
          <w:noProof/>
          <w:szCs w:val="24"/>
          <w:lang w:val="es-ES_tradnl" w:eastAsia="es-ES"/>
        </w:rPr>
      </w:pPr>
    </w:p>
    <w:p w14:paraId="1D8E16C2" w14:textId="77777777" w:rsidR="000A52D5" w:rsidRPr="00470C7C" w:rsidRDefault="000A52D5" w:rsidP="00140440">
      <w:pPr>
        <w:numPr>
          <w:ilvl w:val="0"/>
          <w:numId w:val="1"/>
        </w:numPr>
        <w:tabs>
          <w:tab w:val="clear" w:pos="4419"/>
          <w:tab w:val="clear" w:pos="8838"/>
        </w:tabs>
        <w:jc w:val="both"/>
        <w:rPr>
          <w:rFonts w:eastAsia="Batang" w:cs="Times"/>
          <w:noProof/>
          <w:szCs w:val="24"/>
          <w:lang w:val="es-ES_tradnl" w:eastAsia="es-ES"/>
        </w:rPr>
      </w:pPr>
      <w:r w:rsidRPr="00470C7C">
        <w:rPr>
          <w:rFonts w:eastAsia="Batang" w:cs="Times"/>
          <w:noProof/>
          <w:szCs w:val="24"/>
          <w:lang w:val="es-ES_tradnl" w:eastAsia="es-ES"/>
        </w:rPr>
        <w:t xml:space="preserve">Adicionalmente, el Tribunal puede examinar y pronunciarse sobre las demás violaciones alegadas que se funden en hechos que ocurrieron a partir del 10 de diciembre de 1998. Por lo anterior, la Corte tiene competencia para analizar los supuestos hechos y omisiones del Estado </w:t>
      </w:r>
      <w:r w:rsidR="0010513B" w:rsidRPr="00470C7C">
        <w:rPr>
          <w:rFonts w:eastAsia="Batang" w:cs="Times"/>
          <w:noProof/>
          <w:szCs w:val="24"/>
          <w:lang w:val="es-ES_tradnl" w:eastAsia="es-ES"/>
        </w:rPr>
        <w:t xml:space="preserve">que tuvieron lugar </w:t>
      </w:r>
      <w:r w:rsidR="00325360" w:rsidRPr="00470C7C">
        <w:rPr>
          <w:rFonts w:eastAsia="Batang" w:cs="Times"/>
          <w:noProof/>
          <w:szCs w:val="24"/>
          <w:lang w:val="es-ES_tradnl" w:eastAsia="es-ES"/>
        </w:rPr>
        <w:t xml:space="preserve">en las investigaciones y procesos </w:t>
      </w:r>
      <w:r w:rsidR="00BD7F63" w:rsidRPr="00470C7C">
        <w:rPr>
          <w:rFonts w:eastAsia="Batang" w:cs="Times"/>
          <w:noProof/>
          <w:szCs w:val="24"/>
          <w:lang w:val="es-ES_tradnl" w:eastAsia="es-ES"/>
        </w:rPr>
        <w:t>relacionados</w:t>
      </w:r>
      <w:r w:rsidR="00325360" w:rsidRPr="00470C7C">
        <w:rPr>
          <w:rFonts w:eastAsia="Batang" w:cs="Times"/>
          <w:noProof/>
          <w:szCs w:val="24"/>
          <w:lang w:val="es-ES_tradnl" w:eastAsia="es-ES"/>
        </w:rPr>
        <w:t xml:space="preserve"> a la inspección realizada en la Hacienda Brasil Verde </w:t>
      </w:r>
      <w:r w:rsidR="0010513B" w:rsidRPr="00470C7C">
        <w:rPr>
          <w:rFonts w:eastAsia="Batang" w:cs="Times"/>
          <w:noProof/>
          <w:szCs w:val="24"/>
          <w:lang w:val="es-ES_tradnl" w:eastAsia="es-ES"/>
        </w:rPr>
        <w:t>en 1997, ocurridos con posterioridad al reconocimiento por parte de Brasil de la competencia contenciosa del Tribunal</w:t>
      </w:r>
      <w:r w:rsidR="00A96B35" w:rsidRPr="00470C7C">
        <w:rPr>
          <w:rFonts w:eastAsia="Batang" w:cs="Times"/>
          <w:noProof/>
          <w:szCs w:val="24"/>
          <w:lang w:val="es-ES_tradnl" w:eastAsia="es-ES"/>
        </w:rPr>
        <w:t xml:space="preserve">, </w:t>
      </w:r>
      <w:r w:rsidR="00325360" w:rsidRPr="00470C7C">
        <w:rPr>
          <w:rFonts w:eastAsia="Batang" w:cs="Times"/>
          <w:noProof/>
          <w:szCs w:val="24"/>
          <w:lang w:val="es-ES_tradnl" w:eastAsia="es-ES"/>
        </w:rPr>
        <w:t>al igual que</w:t>
      </w:r>
      <w:r w:rsidR="000F2F35" w:rsidRPr="00470C7C">
        <w:rPr>
          <w:rFonts w:eastAsia="Batang" w:cs="Times"/>
          <w:noProof/>
          <w:szCs w:val="24"/>
          <w:lang w:val="es-ES_tradnl" w:eastAsia="es-ES"/>
        </w:rPr>
        <w:t xml:space="preserve"> los hechos relacionados </w:t>
      </w:r>
      <w:r w:rsidR="00325360" w:rsidRPr="00470C7C">
        <w:rPr>
          <w:rFonts w:eastAsia="Batang" w:cs="Times"/>
          <w:noProof/>
          <w:szCs w:val="24"/>
          <w:lang w:val="es-ES_tradnl" w:eastAsia="es-ES"/>
        </w:rPr>
        <w:t>con</w:t>
      </w:r>
      <w:r w:rsidR="000F2F35" w:rsidRPr="00470C7C">
        <w:rPr>
          <w:rFonts w:eastAsia="Batang" w:cs="Times"/>
          <w:noProof/>
          <w:szCs w:val="24"/>
          <w:lang w:val="es-ES_tradnl" w:eastAsia="es-ES"/>
        </w:rPr>
        <w:t xml:space="preserve"> la inspección </w:t>
      </w:r>
      <w:r w:rsidR="00325360" w:rsidRPr="00470C7C">
        <w:rPr>
          <w:rFonts w:eastAsia="Batang" w:cs="Times"/>
          <w:noProof/>
          <w:szCs w:val="24"/>
          <w:lang w:val="es-ES_tradnl" w:eastAsia="es-ES"/>
        </w:rPr>
        <w:t xml:space="preserve">realizada en el año 2000 </w:t>
      </w:r>
      <w:r w:rsidR="000F2F35" w:rsidRPr="00470C7C">
        <w:rPr>
          <w:rFonts w:eastAsia="Batang" w:cs="Times"/>
          <w:noProof/>
          <w:szCs w:val="24"/>
          <w:lang w:val="es-ES_tradnl" w:eastAsia="es-ES"/>
        </w:rPr>
        <w:t xml:space="preserve">y </w:t>
      </w:r>
      <w:r w:rsidR="00325360" w:rsidRPr="00470C7C">
        <w:rPr>
          <w:rFonts w:eastAsia="Batang" w:cs="Times"/>
          <w:noProof/>
          <w:szCs w:val="24"/>
          <w:lang w:val="es-ES_tradnl" w:eastAsia="es-ES"/>
        </w:rPr>
        <w:t>los procesos iniciados con posterioridad a esta</w:t>
      </w:r>
      <w:r w:rsidRPr="00470C7C">
        <w:rPr>
          <w:rFonts w:eastAsia="Batang" w:cs="Times"/>
          <w:noProof/>
          <w:szCs w:val="24"/>
          <w:lang w:val="es-ES_tradnl" w:eastAsia="es-ES"/>
        </w:rPr>
        <w:t xml:space="preserve">. Con base en lo anterior, </w:t>
      </w:r>
      <w:r w:rsidRPr="00470C7C">
        <w:rPr>
          <w:rFonts w:eastAsia="Batang" w:cs="Times"/>
          <w:noProof/>
          <w:szCs w:val="24"/>
          <w:lang w:eastAsia="es-ES"/>
        </w:rPr>
        <w:t>este Tribunal reafirma su jurisprudencia constante sobre ese tema y</w:t>
      </w:r>
      <w:r w:rsidRPr="00470C7C">
        <w:rPr>
          <w:rFonts w:eastAsia="Batang" w:cs="Times"/>
          <w:noProof/>
          <w:szCs w:val="24"/>
          <w:lang w:val="es-ES_tradnl" w:eastAsia="es-ES"/>
        </w:rPr>
        <w:t xml:space="preserve"> encuentra parcialmente fundada la excepción preliminar.</w:t>
      </w:r>
    </w:p>
    <w:p w14:paraId="6F0BCAC5"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326ECD8C" w14:textId="77777777" w:rsidR="000A52D5" w:rsidRPr="00470C7C" w:rsidRDefault="000A52D5" w:rsidP="008B0BCC">
      <w:pPr>
        <w:pStyle w:val="Ttulo2"/>
        <w:numPr>
          <w:ilvl w:val="0"/>
          <w:numId w:val="15"/>
        </w:numPr>
        <w:rPr>
          <w:rFonts w:eastAsia="Batang"/>
          <w:noProof/>
          <w:lang w:eastAsia="es-ES"/>
        </w:rPr>
      </w:pPr>
      <w:bookmarkStart w:id="98" w:name="_Toc464813902"/>
      <w:r w:rsidRPr="00470C7C">
        <w:rPr>
          <w:rFonts w:eastAsia="Batang"/>
          <w:noProof/>
          <w:lang w:eastAsia="es-ES"/>
        </w:rPr>
        <w:t>Alegada incompetencia ratione materiae por violación al principio de subsidiaridad del sistema interamericano</w:t>
      </w:r>
      <w:bookmarkEnd w:id="98"/>
      <w:r w:rsidRPr="00470C7C">
        <w:rPr>
          <w:rFonts w:eastAsia="Batang"/>
          <w:noProof/>
          <w:lang w:eastAsia="es-ES"/>
        </w:rPr>
        <w:t xml:space="preserve"> </w:t>
      </w:r>
    </w:p>
    <w:p w14:paraId="5FD02F9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50BE11B0" w14:textId="77777777" w:rsidR="000A52D5" w:rsidRPr="00470C7C" w:rsidRDefault="004E598D" w:rsidP="000A20C1">
      <w:pPr>
        <w:pStyle w:val="Ttulo3"/>
        <w:rPr>
          <w:noProof/>
          <w:lang w:eastAsia="es-ES"/>
        </w:rPr>
      </w:pPr>
      <w:bookmarkStart w:id="99" w:name="_Toc460432976"/>
      <w:bookmarkStart w:id="100" w:name="_Toc460441907"/>
      <w:bookmarkStart w:id="101" w:name="_Toc462750727"/>
      <w:bookmarkStart w:id="102" w:name="_Toc462751051"/>
      <w:bookmarkStart w:id="103" w:name="_Toc464813903"/>
      <w:r w:rsidRPr="00470C7C">
        <w:rPr>
          <w:noProof/>
          <w:lang w:eastAsia="es-ES"/>
        </w:rPr>
        <w:t>E</w:t>
      </w:r>
      <w:r w:rsidR="000A52D5" w:rsidRPr="00470C7C">
        <w:rPr>
          <w:noProof/>
          <w:lang w:eastAsia="es-ES"/>
        </w:rPr>
        <w:t xml:space="preserve">.1. </w:t>
      </w:r>
      <w:r w:rsidR="00246E8D" w:rsidRPr="00470C7C">
        <w:rPr>
          <w:noProof/>
          <w:lang w:eastAsia="es-ES"/>
        </w:rPr>
        <w:t>Alegatos del Estado,</w:t>
      </w:r>
      <w:r w:rsidR="000A52D5" w:rsidRPr="00470C7C">
        <w:rPr>
          <w:noProof/>
          <w:lang w:eastAsia="es-ES"/>
        </w:rPr>
        <w:t xml:space="preserve"> observaciones de la Comisión y de los representantes</w:t>
      </w:r>
      <w:bookmarkEnd w:id="99"/>
      <w:bookmarkEnd w:id="100"/>
      <w:bookmarkEnd w:id="101"/>
      <w:bookmarkEnd w:id="102"/>
      <w:bookmarkEnd w:id="103"/>
    </w:p>
    <w:p w14:paraId="26B96D5F"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32A5A696"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expuso que los recursos judiciales internos fueron debidamente </w:t>
      </w:r>
      <w:r w:rsidR="00ED1101" w:rsidRPr="00470C7C">
        <w:rPr>
          <w:rFonts w:eastAsia="Batang" w:cs="Times"/>
          <w:noProof/>
          <w:szCs w:val="24"/>
          <w:lang w:val="es-MX" w:eastAsia="es-ES"/>
        </w:rPr>
        <w:t>finiquitados</w:t>
      </w:r>
      <w:r w:rsidRPr="00470C7C">
        <w:rPr>
          <w:rFonts w:eastAsia="Batang" w:cs="Times"/>
          <w:noProof/>
          <w:szCs w:val="24"/>
          <w:lang w:val="es-MX" w:eastAsia="es-ES"/>
        </w:rPr>
        <w:t xml:space="preserve"> por las autoridades competentes y que el desacuerdo de los representantes sobre las conclusiones a las que </w:t>
      </w:r>
      <w:r w:rsidR="00ED1101" w:rsidRPr="00470C7C">
        <w:rPr>
          <w:rFonts w:eastAsia="Batang" w:cs="Times"/>
          <w:noProof/>
          <w:szCs w:val="24"/>
          <w:lang w:val="es-MX" w:eastAsia="es-ES"/>
        </w:rPr>
        <w:t xml:space="preserve">estas </w:t>
      </w:r>
      <w:r w:rsidRPr="00470C7C">
        <w:rPr>
          <w:rFonts w:eastAsia="Batang" w:cs="Times"/>
          <w:noProof/>
          <w:szCs w:val="24"/>
          <w:lang w:val="es-MX" w:eastAsia="es-ES"/>
        </w:rPr>
        <w:t>arribaron no es suficiente para acudir al sistema interamericano. Además, el Estado indicó que</w:t>
      </w:r>
      <w:r w:rsidR="00B54FB3" w:rsidRPr="00470C7C">
        <w:rPr>
          <w:rFonts w:eastAsia="Batang" w:cs="Times"/>
          <w:noProof/>
          <w:szCs w:val="24"/>
          <w:lang w:val="es-MX" w:eastAsia="es-ES"/>
        </w:rPr>
        <w:t xml:space="preserve"> solo</w:t>
      </w:r>
      <w:r w:rsidR="00701BB2" w:rsidRPr="00470C7C">
        <w:rPr>
          <w:rFonts w:eastAsia="Batang" w:cs="Times"/>
          <w:noProof/>
          <w:szCs w:val="24"/>
          <w:lang w:val="es-MX" w:eastAsia="es-ES"/>
        </w:rPr>
        <w:t xml:space="preserve"> </w:t>
      </w:r>
      <w:r w:rsidRPr="00470C7C">
        <w:rPr>
          <w:rFonts w:eastAsia="Batang" w:cs="Times"/>
          <w:noProof/>
          <w:szCs w:val="24"/>
          <w:lang w:val="es-MX" w:eastAsia="es-ES"/>
        </w:rPr>
        <w:t xml:space="preserve">en la hipótesis que el agotamiento del recurso interno no lleve a un juicio conclusivo de la autoridad competente sobre la existencia o no de una presunta violación se puede acudir al sistema interamericano. Señaló que de asumir competencia, la Corte estaría sustituyendo a las autoridades nacionales y actuando como una especie de “corte de apelaciones de cuarta instancia nacional”. Además, sostuvo que fueron interpuestos en distintos momentos diversos recursos internos y tramitados debidamente para investigar supuestas violaciones de derechos humanos contra trabajadores de la Hacienda Brasil Verde, y que todos ellos fueron instruidos y llevados a término por las autoridades competentes. </w:t>
      </w:r>
    </w:p>
    <w:p w14:paraId="17F49080"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1C584755"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Finalmente, el Estado indicó que hubo un adecuado funcionamiento de las instancias </w:t>
      </w:r>
      <w:r w:rsidR="00EB07FC" w:rsidRPr="00470C7C">
        <w:rPr>
          <w:rFonts w:eastAsia="Batang" w:cs="Times"/>
          <w:noProof/>
          <w:szCs w:val="24"/>
          <w:lang w:val="es-MX" w:eastAsia="es-ES"/>
        </w:rPr>
        <w:t xml:space="preserve">internas </w:t>
      </w:r>
      <w:r w:rsidRPr="00470C7C">
        <w:rPr>
          <w:rFonts w:eastAsia="Batang" w:cs="Times"/>
          <w:noProof/>
          <w:szCs w:val="24"/>
          <w:lang w:val="es-MX" w:eastAsia="es-ES"/>
        </w:rPr>
        <w:t>para la reparación por daños materiales sufridos por los trabajadores de la Hacienda Brasil Verde, y precisó que la Corte no tiene competencia para pronunciarse sobre la solicitud de reparación por daños materiales.</w:t>
      </w:r>
    </w:p>
    <w:p w14:paraId="01B550A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3E33F01"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señaló que correspondía a la Corte analizar en el fondo si los procesos internos constituyeron un medio idóneo y eficaz para alcanzar la protección judicial frente a los derechos violados, por lo que la alegación del Estado no podía ser resuelta como excepción preliminar.</w:t>
      </w:r>
    </w:p>
    <w:p w14:paraId="5FF4CF46"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4DC08CF7"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señalaron que para que opere la excepción preliminar de la cuarta instancia, es necesario que la representación de las víctimas solicite a la Corte hacer una revisión de las sentencias internas únicamente sobre la incorrecta apreciación de las pruebas, de los hechos o del derecho interno. Afirmaron que no han solicitado a la Corte la revisión de decisiones internas emitidas por los tribunales del Estado, sino que cuestionan la</w:t>
      </w:r>
      <w:r w:rsidR="0010513B" w:rsidRPr="00470C7C">
        <w:rPr>
          <w:rFonts w:eastAsia="Batang" w:cs="Times"/>
          <w:noProof/>
          <w:szCs w:val="24"/>
          <w:lang w:val="es-MX" w:eastAsia="es-ES"/>
        </w:rPr>
        <w:t>s</w:t>
      </w:r>
      <w:r w:rsidRPr="00470C7C">
        <w:rPr>
          <w:rFonts w:eastAsia="Batang" w:cs="Times"/>
          <w:noProof/>
          <w:szCs w:val="24"/>
          <w:lang w:val="es-MX" w:eastAsia="es-ES"/>
        </w:rPr>
        <w:t xml:space="preserve"> fallas de diferentes actores estatales que derivaron en violaciones al deber de protección judicial efectiva y garantías judiciales</w:t>
      </w:r>
      <w:r w:rsidR="0010513B" w:rsidRPr="00470C7C">
        <w:rPr>
          <w:rFonts w:eastAsia="Batang" w:cs="Times"/>
          <w:noProof/>
          <w:szCs w:val="24"/>
          <w:lang w:val="es-MX" w:eastAsia="es-ES"/>
        </w:rPr>
        <w:t>,</w:t>
      </w:r>
      <w:r w:rsidRPr="00470C7C">
        <w:rPr>
          <w:rFonts w:eastAsia="Batang" w:cs="Times"/>
          <w:noProof/>
          <w:szCs w:val="24"/>
          <w:lang w:val="es-MX" w:eastAsia="es-ES"/>
        </w:rPr>
        <w:t xml:space="preserve"> </w:t>
      </w:r>
      <w:r w:rsidR="0010513B" w:rsidRPr="00470C7C">
        <w:rPr>
          <w:rFonts w:eastAsia="Batang" w:cs="Times"/>
          <w:noProof/>
          <w:szCs w:val="24"/>
          <w:lang w:val="es-MX" w:eastAsia="es-ES"/>
        </w:rPr>
        <w:t xml:space="preserve">la </w:t>
      </w:r>
      <w:r w:rsidRPr="00470C7C">
        <w:rPr>
          <w:rFonts w:eastAsia="Batang" w:cs="Times"/>
          <w:noProof/>
          <w:szCs w:val="24"/>
          <w:lang w:val="es-MX" w:eastAsia="es-ES"/>
        </w:rPr>
        <w:t xml:space="preserve">falta de medidas idóneas y efectivas para prevenir la violación de derechos humanos de las víctimas, así como la </w:t>
      </w:r>
      <w:r w:rsidR="0010513B" w:rsidRPr="00470C7C">
        <w:rPr>
          <w:rFonts w:eastAsia="Batang" w:cs="Times"/>
          <w:noProof/>
          <w:szCs w:val="24"/>
          <w:lang w:val="es-MX" w:eastAsia="es-ES"/>
        </w:rPr>
        <w:t xml:space="preserve">ausencia de </w:t>
      </w:r>
      <w:r w:rsidRPr="00470C7C">
        <w:rPr>
          <w:rFonts w:eastAsia="Batang" w:cs="Times"/>
          <w:noProof/>
          <w:szCs w:val="24"/>
          <w:lang w:val="es-MX" w:eastAsia="es-ES"/>
        </w:rPr>
        <w:t xml:space="preserve">asistencia integral </w:t>
      </w:r>
      <w:r w:rsidR="0010513B" w:rsidRPr="00470C7C">
        <w:rPr>
          <w:rFonts w:eastAsia="Batang" w:cs="Times"/>
          <w:noProof/>
          <w:szCs w:val="24"/>
          <w:lang w:val="es-MX" w:eastAsia="es-ES"/>
        </w:rPr>
        <w:t>a</w:t>
      </w:r>
      <w:r w:rsidRPr="00470C7C">
        <w:rPr>
          <w:rFonts w:eastAsia="Batang" w:cs="Times"/>
          <w:noProof/>
          <w:szCs w:val="24"/>
          <w:lang w:val="es-MX" w:eastAsia="es-ES"/>
        </w:rPr>
        <w:t xml:space="preserve"> éstas, configurándose violaciones específicas a la Convención. </w:t>
      </w:r>
    </w:p>
    <w:p w14:paraId="6EECC614"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C77F21E"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Finalmente, los representantes señalaron que la Corte deberá analizar en el presente caso si</w:t>
      </w:r>
      <w:r w:rsidR="00724BEA" w:rsidRPr="00470C7C">
        <w:rPr>
          <w:rFonts w:eastAsia="Batang" w:cs="Times"/>
          <w:noProof/>
          <w:szCs w:val="24"/>
          <w:lang w:val="es-MX" w:eastAsia="es-ES"/>
        </w:rPr>
        <w:t>,</w:t>
      </w:r>
      <w:r w:rsidRPr="00470C7C">
        <w:rPr>
          <w:rFonts w:eastAsia="Batang" w:cs="Times"/>
          <w:noProof/>
          <w:szCs w:val="24"/>
          <w:lang w:val="es-MX" w:eastAsia="es-ES"/>
        </w:rPr>
        <w:t xml:space="preserve"> efectivamente</w:t>
      </w:r>
      <w:r w:rsidR="00724BEA" w:rsidRPr="00470C7C">
        <w:rPr>
          <w:rFonts w:eastAsia="Batang" w:cs="Times"/>
          <w:noProof/>
          <w:szCs w:val="24"/>
          <w:lang w:val="es-MX" w:eastAsia="es-ES"/>
        </w:rPr>
        <w:t>,</w:t>
      </w:r>
      <w:r w:rsidRPr="00470C7C">
        <w:rPr>
          <w:rFonts w:eastAsia="Batang" w:cs="Times"/>
          <w:noProof/>
          <w:szCs w:val="24"/>
          <w:lang w:val="es-MX" w:eastAsia="es-ES"/>
        </w:rPr>
        <w:t xml:space="preserve"> se configuraron violaciones a la protección judicial y a las garantías del debido proceso, incluyendo la valoración sobre las causas que llevaron al atraso en la investigación y a la eventual actualización de la prescripción, cuyo análisis corresponde al estudio de fondo.   </w:t>
      </w:r>
    </w:p>
    <w:p w14:paraId="70901E52" w14:textId="77777777" w:rsidR="000A52D5" w:rsidRPr="00470C7C" w:rsidRDefault="000A52D5" w:rsidP="00140440">
      <w:p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   </w:t>
      </w:r>
    </w:p>
    <w:p w14:paraId="63E81D2F" w14:textId="77777777" w:rsidR="000A52D5" w:rsidRPr="00470C7C" w:rsidRDefault="00DA56A4" w:rsidP="000A20C1">
      <w:pPr>
        <w:pStyle w:val="Ttulo3"/>
        <w:rPr>
          <w:noProof/>
          <w:lang w:eastAsia="es-ES"/>
        </w:rPr>
      </w:pPr>
      <w:bookmarkStart w:id="104" w:name="_Toc460432977"/>
      <w:bookmarkStart w:id="105" w:name="_Toc460441908"/>
      <w:bookmarkStart w:id="106" w:name="_Toc462750728"/>
      <w:bookmarkStart w:id="107" w:name="_Toc462751052"/>
      <w:bookmarkStart w:id="108" w:name="_Toc464813904"/>
      <w:r w:rsidRPr="00470C7C">
        <w:rPr>
          <w:noProof/>
          <w:lang w:eastAsia="es-ES"/>
        </w:rPr>
        <w:t>E</w:t>
      </w:r>
      <w:r w:rsidR="000A52D5" w:rsidRPr="00470C7C">
        <w:rPr>
          <w:noProof/>
          <w:lang w:eastAsia="es-ES"/>
        </w:rPr>
        <w:t>.2. Consideraciones de la Corte</w:t>
      </w:r>
      <w:bookmarkEnd w:id="104"/>
      <w:bookmarkEnd w:id="105"/>
      <w:bookmarkEnd w:id="106"/>
      <w:bookmarkEnd w:id="107"/>
      <w:bookmarkEnd w:id="108"/>
    </w:p>
    <w:p w14:paraId="5AB47568" w14:textId="77777777" w:rsidR="003C0330" w:rsidRPr="00470C7C" w:rsidRDefault="003C0330" w:rsidP="00140440">
      <w:pPr>
        <w:tabs>
          <w:tab w:val="clear" w:pos="4419"/>
          <w:tab w:val="clear" w:pos="8838"/>
        </w:tabs>
        <w:jc w:val="both"/>
        <w:rPr>
          <w:rFonts w:eastAsia="Batang" w:cs="Times"/>
          <w:noProof/>
          <w:szCs w:val="24"/>
          <w:lang w:val="es-ES_tradnl" w:eastAsia="es-ES"/>
        </w:rPr>
      </w:pPr>
    </w:p>
    <w:p w14:paraId="5808EEBF" w14:textId="77777777" w:rsidR="000A52D5" w:rsidRPr="00470C7C" w:rsidRDefault="000A52D5" w:rsidP="00140440">
      <w:pPr>
        <w:numPr>
          <w:ilvl w:val="0"/>
          <w:numId w:val="1"/>
        </w:numPr>
        <w:tabs>
          <w:tab w:val="clear" w:pos="4419"/>
          <w:tab w:val="clear" w:pos="8838"/>
        </w:tabs>
        <w:jc w:val="both"/>
        <w:rPr>
          <w:rFonts w:eastAsia="Batang" w:cs="Times"/>
          <w:noProof/>
          <w:szCs w:val="24"/>
          <w:lang w:val="es-ES_tradnl" w:eastAsia="es-ES"/>
        </w:rPr>
      </w:pPr>
      <w:r w:rsidRPr="00470C7C">
        <w:rPr>
          <w:rFonts w:eastAsia="Batang" w:cs="Times"/>
          <w:noProof/>
          <w:szCs w:val="24"/>
          <w:lang w:val="es-ES_tradnl" w:eastAsia="es-ES"/>
        </w:rPr>
        <w:t>El Tribunal ha establecido que la jurisdicción internacional tiene carácter coadyuvante y complementari</w:t>
      </w:r>
      <w:r w:rsidR="0010513B" w:rsidRPr="00470C7C">
        <w:rPr>
          <w:rFonts w:eastAsia="Batang" w:cs="Times"/>
          <w:noProof/>
          <w:szCs w:val="24"/>
          <w:lang w:val="es-ES_tradnl" w:eastAsia="es-ES"/>
        </w:rPr>
        <w:t>o</w:t>
      </w:r>
      <w:r w:rsidRPr="00470C7C">
        <w:rPr>
          <w:rFonts w:eastAsia="Batang" w:cs="Times"/>
          <w:noProof/>
          <w:szCs w:val="24"/>
          <w:vertAlign w:val="superscript"/>
          <w:lang w:val="es-ES_tradnl" w:eastAsia="es-ES"/>
        </w:rPr>
        <w:footnoteReference w:id="46"/>
      </w:r>
      <w:r w:rsidRPr="00470C7C">
        <w:rPr>
          <w:rFonts w:eastAsia="Batang" w:cs="Times"/>
          <w:noProof/>
          <w:szCs w:val="24"/>
          <w:lang w:val="es-ES_tradnl" w:eastAsia="es-ES"/>
        </w:rPr>
        <w:t>, razón por la cual no desempeña funciones de tribunal de “cuarta instancia”, ni es un tribunal de alzada o de apelación para dirimir los desacuerdos que tengan las partes sobre algunos alcances de la valoración de prueba o de la aplicación del derecho interno en aspectos que no estén directamente relacionados con el cumplimiento de obligaciones internacionales en derechos humanos</w:t>
      </w:r>
      <w:r w:rsidRPr="00470C7C">
        <w:rPr>
          <w:rFonts w:eastAsia="Batang" w:cs="Times"/>
          <w:noProof/>
          <w:szCs w:val="24"/>
          <w:vertAlign w:val="superscript"/>
          <w:lang w:val="es-ES_tradnl" w:eastAsia="es-ES"/>
        </w:rPr>
        <w:footnoteReference w:id="47"/>
      </w:r>
      <w:r w:rsidRPr="00470C7C">
        <w:rPr>
          <w:rFonts w:eastAsia="Batang" w:cs="Times"/>
          <w:noProof/>
          <w:szCs w:val="24"/>
          <w:lang w:val="es-ES_tradnl" w:eastAsia="es-ES"/>
        </w:rPr>
        <w:t>.</w:t>
      </w:r>
    </w:p>
    <w:p w14:paraId="69BBF8AA" w14:textId="77777777" w:rsidR="000A52D5" w:rsidRPr="00470C7C" w:rsidRDefault="000A52D5" w:rsidP="00140440">
      <w:pPr>
        <w:tabs>
          <w:tab w:val="clear" w:pos="4419"/>
          <w:tab w:val="clear" w:pos="8838"/>
        </w:tabs>
        <w:jc w:val="both"/>
        <w:rPr>
          <w:rFonts w:eastAsia="Batang" w:cs="Times"/>
          <w:noProof/>
          <w:szCs w:val="24"/>
          <w:lang w:val="es-ES_tradnl" w:eastAsia="es-ES"/>
        </w:rPr>
      </w:pPr>
    </w:p>
    <w:p w14:paraId="6B3F8572" w14:textId="77777777" w:rsidR="000A52D5" w:rsidRPr="00470C7C" w:rsidRDefault="000A52D5" w:rsidP="00140440">
      <w:pPr>
        <w:numPr>
          <w:ilvl w:val="0"/>
          <w:numId w:val="1"/>
        </w:numPr>
        <w:tabs>
          <w:tab w:val="clear" w:pos="4419"/>
          <w:tab w:val="clear" w:pos="8838"/>
        </w:tabs>
        <w:jc w:val="both"/>
        <w:rPr>
          <w:rFonts w:eastAsia="Batang" w:cs="Times"/>
          <w:noProof/>
          <w:szCs w:val="24"/>
          <w:lang w:val="es-ES_tradnl" w:eastAsia="es-ES"/>
        </w:rPr>
      </w:pPr>
      <w:r w:rsidRPr="00470C7C">
        <w:rPr>
          <w:rFonts w:eastAsia="Batang" w:cs="Times"/>
          <w:noProof/>
          <w:szCs w:val="24"/>
          <w:lang w:val="es-ES_tradnl" w:eastAsia="es-ES"/>
        </w:rPr>
        <w:t xml:space="preserve">La Corte recuerda que </w:t>
      </w:r>
      <w:r w:rsidRPr="00470C7C">
        <w:rPr>
          <w:rFonts w:eastAsia="Batang" w:cs="Times"/>
          <w:noProof/>
          <w:szCs w:val="24"/>
          <w:lang w:val="es-ES" w:eastAsia="es-ES"/>
        </w:rPr>
        <w:t xml:space="preserve">independientemente de que el Estado defina un planteamiento como “excepción preliminar”, </w:t>
      </w:r>
      <w:r w:rsidRPr="00470C7C">
        <w:rPr>
          <w:rFonts w:eastAsia="Batang" w:cs="Times"/>
          <w:noProof/>
          <w:szCs w:val="24"/>
          <w:lang w:val="es-ES_tradnl" w:eastAsia="es-ES"/>
        </w:rPr>
        <w:t xml:space="preserve">si al analizar tales planteamientos fuere necesario entrar a considerar previamente el fondo de un caso, </w:t>
      </w:r>
      <w:r w:rsidR="00EB07FC" w:rsidRPr="00470C7C">
        <w:rPr>
          <w:rFonts w:eastAsia="Batang" w:cs="Times"/>
          <w:noProof/>
          <w:szCs w:val="24"/>
          <w:lang w:val="es-ES_tradnl" w:eastAsia="es-ES"/>
        </w:rPr>
        <w:t>estos</w:t>
      </w:r>
      <w:r w:rsidRPr="00470C7C">
        <w:rPr>
          <w:rFonts w:eastAsia="Batang" w:cs="Times"/>
          <w:noProof/>
          <w:szCs w:val="24"/>
          <w:lang w:val="es-ES_tradnl" w:eastAsia="es-ES"/>
        </w:rPr>
        <w:t xml:space="preserve"> perderían su carácter preliminar y no podrían ser analizados como tales</w:t>
      </w:r>
      <w:r w:rsidRPr="00470C7C">
        <w:rPr>
          <w:rFonts w:eastAsia="Batang" w:cs="Times"/>
          <w:noProof/>
          <w:szCs w:val="24"/>
          <w:vertAlign w:val="superscript"/>
          <w:lang w:val="es-ES_tradnl" w:eastAsia="es-ES"/>
        </w:rPr>
        <w:footnoteReference w:id="48"/>
      </w:r>
      <w:r w:rsidRPr="00470C7C">
        <w:rPr>
          <w:rFonts w:eastAsia="Batang" w:cs="Times"/>
          <w:noProof/>
          <w:szCs w:val="24"/>
          <w:lang w:val="es-ES_tradnl" w:eastAsia="es-ES"/>
        </w:rPr>
        <w:t xml:space="preserve">. </w:t>
      </w:r>
    </w:p>
    <w:p w14:paraId="7EEF51A2" w14:textId="77777777" w:rsidR="003C0330" w:rsidRPr="00470C7C" w:rsidRDefault="003C0330" w:rsidP="00140440">
      <w:pPr>
        <w:tabs>
          <w:tab w:val="clear" w:pos="4419"/>
          <w:tab w:val="clear" w:pos="8838"/>
        </w:tabs>
        <w:jc w:val="both"/>
        <w:rPr>
          <w:rFonts w:eastAsia="Batang" w:cs="Times"/>
          <w:noProof/>
          <w:szCs w:val="24"/>
          <w:lang w:val="es-ES" w:eastAsia="es-ES"/>
        </w:rPr>
      </w:pPr>
    </w:p>
    <w:p w14:paraId="3E1BB15B" w14:textId="77777777" w:rsidR="000A52D5" w:rsidRPr="00470C7C" w:rsidRDefault="00EB07FC"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eastAsia="es-ES"/>
        </w:rPr>
        <w:t>E</w:t>
      </w:r>
      <w:r w:rsidR="003C0330" w:rsidRPr="00470C7C">
        <w:rPr>
          <w:rFonts w:eastAsia="Batang" w:cs="Times"/>
          <w:noProof/>
          <w:szCs w:val="24"/>
          <w:lang w:eastAsia="es-ES"/>
        </w:rPr>
        <w:t>sta Corte ha establecido que para que la excepción de cuarta instancia sea procedente, “</w:t>
      </w:r>
      <w:r w:rsidRPr="00470C7C">
        <w:rPr>
          <w:rFonts w:eastAsia="Batang" w:cs="Times"/>
          <w:noProof/>
          <w:szCs w:val="24"/>
          <w:lang w:eastAsia="es-ES"/>
        </w:rPr>
        <w:t xml:space="preserve">es </w:t>
      </w:r>
      <w:r w:rsidR="003C0330" w:rsidRPr="00470C7C">
        <w:rPr>
          <w:rFonts w:eastAsia="Batang" w:cs="Times"/>
          <w:noProof/>
          <w:szCs w:val="24"/>
          <w:lang w:eastAsia="es-ES"/>
        </w:rPr>
        <w:t>necesario que el solicitante busque que la Corte revise el fallo de un tribunal interno en virtud de su incorrecta apreciación de la prueba, los hechos o el derecho interno, sin que, a la vez, se alegue que tal fallo incurrió en una violación de tratados internacionales respecto de los que tenga competencia el Tribunal”. Además, este Tribunal ha establecido que</w:t>
      </w:r>
      <w:r w:rsidRPr="00470C7C">
        <w:rPr>
          <w:rFonts w:eastAsia="Batang" w:cs="Times"/>
          <w:noProof/>
          <w:szCs w:val="24"/>
          <w:lang w:eastAsia="es-ES"/>
        </w:rPr>
        <w:t>,</w:t>
      </w:r>
      <w:r w:rsidR="003C0330" w:rsidRPr="00470C7C">
        <w:rPr>
          <w:rFonts w:eastAsia="Batang" w:cs="Times"/>
          <w:noProof/>
          <w:szCs w:val="24"/>
          <w:lang w:eastAsia="es-ES"/>
        </w:rPr>
        <w:t xml:space="preserve"> al valorarse el cumplimiento de ciertas obligaciones internacionales</w:t>
      </w:r>
      <w:r w:rsidRPr="00470C7C">
        <w:rPr>
          <w:rFonts w:eastAsia="Batang" w:cs="Times"/>
          <w:noProof/>
          <w:szCs w:val="24"/>
          <w:lang w:eastAsia="es-ES"/>
        </w:rPr>
        <w:t>,</w:t>
      </w:r>
      <w:r w:rsidR="003C0330" w:rsidRPr="00470C7C">
        <w:rPr>
          <w:rFonts w:eastAsia="Batang" w:cs="Times"/>
          <w:noProof/>
          <w:szCs w:val="24"/>
          <w:lang w:eastAsia="es-ES"/>
        </w:rPr>
        <w:t xml:space="preserve"> puede darse una intrínseca interrelación entre el análisis de derecho internacional y de derecho interno. Por tanto, la determinación de si las actuaciones de órganos judiciales constituyen o no una violación de las obligaciones internacionales del Estado, puede conducir a que la Corte deba ocuparse de examinar los respectivos procesos internos para establecer su compatibilidad con la Convención Americana</w:t>
      </w:r>
      <w:r w:rsidR="003C0330" w:rsidRPr="00470C7C">
        <w:rPr>
          <w:rStyle w:val="Refdenotaalpie"/>
          <w:rFonts w:eastAsia="Batang"/>
          <w:noProof/>
          <w:lang w:eastAsia="es-ES"/>
        </w:rPr>
        <w:footnoteReference w:id="49"/>
      </w:r>
      <w:r w:rsidR="000A52D5" w:rsidRPr="00470C7C">
        <w:rPr>
          <w:rFonts w:eastAsia="Batang" w:cs="Times"/>
          <w:noProof/>
          <w:szCs w:val="24"/>
          <w:lang w:val="es-ES_tradnl" w:eastAsia="es-ES"/>
        </w:rPr>
        <w:t>.</w:t>
      </w:r>
    </w:p>
    <w:p w14:paraId="476FD37D" w14:textId="77777777" w:rsidR="000A52D5" w:rsidRPr="00470C7C" w:rsidRDefault="000A52D5" w:rsidP="00140440">
      <w:pPr>
        <w:tabs>
          <w:tab w:val="clear" w:pos="4419"/>
          <w:tab w:val="clear" w:pos="8838"/>
        </w:tabs>
        <w:jc w:val="both"/>
        <w:rPr>
          <w:rFonts w:eastAsia="Batang" w:cs="Times"/>
          <w:noProof/>
          <w:szCs w:val="24"/>
          <w:lang w:val="es-ES_tradnl" w:eastAsia="es-ES"/>
        </w:rPr>
      </w:pPr>
    </w:p>
    <w:p w14:paraId="28113DAD" w14:textId="77777777" w:rsidR="000A52D5" w:rsidRPr="00470C7C" w:rsidRDefault="000A52D5" w:rsidP="00140440">
      <w:pPr>
        <w:numPr>
          <w:ilvl w:val="0"/>
          <w:numId w:val="1"/>
        </w:numPr>
        <w:tabs>
          <w:tab w:val="clear" w:pos="4419"/>
          <w:tab w:val="clear" w:pos="8838"/>
        </w:tabs>
        <w:jc w:val="both"/>
        <w:rPr>
          <w:rFonts w:eastAsia="Batang" w:cs="Times"/>
          <w:noProof/>
          <w:szCs w:val="24"/>
          <w:lang w:val="es-ES_tradnl" w:eastAsia="es-ES"/>
        </w:rPr>
      </w:pPr>
      <w:r w:rsidRPr="00470C7C">
        <w:rPr>
          <w:rFonts w:eastAsia="Batang" w:cs="Times"/>
          <w:noProof/>
          <w:szCs w:val="24"/>
          <w:lang w:val="es-ES_tradnl" w:eastAsia="es-ES"/>
        </w:rPr>
        <w:t xml:space="preserve">En el presente </w:t>
      </w:r>
      <w:r w:rsidR="007105B1" w:rsidRPr="00470C7C">
        <w:rPr>
          <w:rFonts w:eastAsia="Batang" w:cs="Times"/>
          <w:noProof/>
          <w:szCs w:val="24"/>
          <w:lang w:val="es-ES_tradnl" w:eastAsia="es-ES"/>
        </w:rPr>
        <w:t>caso</w:t>
      </w:r>
      <w:r w:rsidR="00DD0300" w:rsidRPr="00470C7C">
        <w:rPr>
          <w:rFonts w:eastAsia="Batang" w:cs="Times"/>
          <w:noProof/>
          <w:szCs w:val="24"/>
          <w:lang w:val="es-ES_tradnl" w:eastAsia="es-ES"/>
        </w:rPr>
        <w:t xml:space="preserve"> </w:t>
      </w:r>
      <w:r w:rsidRPr="00470C7C">
        <w:rPr>
          <w:rFonts w:eastAsia="Batang" w:cs="Times"/>
          <w:noProof/>
          <w:szCs w:val="24"/>
          <w:lang w:val="es-ES_tradnl" w:eastAsia="es-ES"/>
        </w:rPr>
        <w:t>ni la Comisión ni los representantes han solicitado la revisión de decisiones internas relacionada</w:t>
      </w:r>
      <w:r w:rsidR="003E2627" w:rsidRPr="00470C7C">
        <w:rPr>
          <w:rFonts w:eastAsia="Batang" w:cs="Times"/>
          <w:noProof/>
          <w:szCs w:val="24"/>
          <w:lang w:val="es-ES_tradnl" w:eastAsia="es-ES"/>
        </w:rPr>
        <w:t>s</w:t>
      </w:r>
      <w:r w:rsidRPr="00470C7C">
        <w:rPr>
          <w:rFonts w:eastAsia="Batang" w:cs="Times"/>
          <w:noProof/>
          <w:szCs w:val="24"/>
          <w:lang w:val="es-ES_tradnl" w:eastAsia="es-ES"/>
        </w:rPr>
        <w:t xml:space="preserve"> con valoración de pruebas, de los hechos o la aplicación del derecho interno. La Corte considera que es objeto de estudio de fondo analizar</w:t>
      </w:r>
      <w:r w:rsidR="00C516FE" w:rsidRPr="00470C7C">
        <w:rPr>
          <w:rFonts w:eastAsia="Batang" w:cs="Times"/>
          <w:noProof/>
          <w:szCs w:val="24"/>
          <w:lang w:val="es-ES_tradnl" w:eastAsia="es-ES"/>
        </w:rPr>
        <w:t xml:space="preserve">, de conformidad con la Convención Americana y el derecho internacional, </w:t>
      </w:r>
      <w:r w:rsidR="00F06A18" w:rsidRPr="00470C7C">
        <w:rPr>
          <w:rFonts w:eastAsia="Batang" w:cs="Times"/>
          <w:noProof/>
          <w:szCs w:val="24"/>
          <w:lang w:val="es-ES_tradnl" w:eastAsia="es-ES"/>
        </w:rPr>
        <w:t>los</w:t>
      </w:r>
      <w:r w:rsidRPr="00470C7C">
        <w:rPr>
          <w:rFonts w:eastAsia="Batang" w:cs="Times"/>
          <w:noProof/>
          <w:szCs w:val="24"/>
          <w:lang w:val="es-ES_tradnl" w:eastAsia="es-ES"/>
        </w:rPr>
        <w:t xml:space="preserve"> alegatos </w:t>
      </w:r>
      <w:r w:rsidR="00F06A18" w:rsidRPr="00470C7C">
        <w:rPr>
          <w:rFonts w:eastAsia="Batang" w:cs="Times"/>
          <w:noProof/>
          <w:szCs w:val="24"/>
          <w:lang w:val="es-ES_tradnl" w:eastAsia="es-ES"/>
        </w:rPr>
        <w:t xml:space="preserve">estatales </w:t>
      </w:r>
      <w:r w:rsidRPr="00470C7C">
        <w:rPr>
          <w:rFonts w:eastAsia="Batang" w:cs="Times"/>
          <w:noProof/>
          <w:szCs w:val="24"/>
          <w:lang w:val="es-ES_tradnl" w:eastAsia="es-ES"/>
        </w:rPr>
        <w:t xml:space="preserve">respecto de si los procesos judiciales internos fueron idóneos y eficaces, y si los recursos fueron tramitados y resueltos debidamente. Asimismo, deberá analizarse en el fondo si el pago hecho por reparación de daños materiales fue suficiente y si existieron actos y omisiones violatorias de garantías de acceso a la justicia que pudieran generar responsabilidad internacional al Estado. Por lo anterior, la Corte desestima la presente excepción preliminar. </w:t>
      </w:r>
    </w:p>
    <w:p w14:paraId="3877D277" w14:textId="77777777" w:rsidR="000A52D5" w:rsidRPr="00470C7C" w:rsidRDefault="000A52D5" w:rsidP="00140440">
      <w:pPr>
        <w:tabs>
          <w:tab w:val="clear" w:pos="4419"/>
          <w:tab w:val="clear" w:pos="8838"/>
        </w:tabs>
        <w:jc w:val="both"/>
        <w:rPr>
          <w:rFonts w:eastAsia="Batang" w:cs="Times"/>
          <w:noProof/>
          <w:szCs w:val="24"/>
          <w:u w:val="single"/>
          <w:lang w:val="es-MX" w:eastAsia="es-ES"/>
        </w:rPr>
      </w:pPr>
    </w:p>
    <w:p w14:paraId="67D1F70B" w14:textId="77777777" w:rsidR="000A52D5" w:rsidRPr="00470C7C" w:rsidRDefault="000A52D5" w:rsidP="008B0BCC">
      <w:pPr>
        <w:pStyle w:val="Ttulo2"/>
        <w:numPr>
          <w:ilvl w:val="0"/>
          <w:numId w:val="15"/>
        </w:numPr>
        <w:rPr>
          <w:rFonts w:eastAsia="Batang"/>
          <w:noProof/>
          <w:lang w:eastAsia="es-ES"/>
        </w:rPr>
      </w:pPr>
      <w:bookmarkStart w:id="109" w:name="_Toc464813905"/>
      <w:r w:rsidRPr="00470C7C">
        <w:rPr>
          <w:rFonts w:eastAsia="Batang"/>
          <w:noProof/>
          <w:lang w:eastAsia="es-ES"/>
        </w:rPr>
        <w:t>Alegada incompetencia ratione materiae relativa a presuntas violaciones de la prohibición del tráfico de personas</w:t>
      </w:r>
      <w:bookmarkEnd w:id="109"/>
    </w:p>
    <w:p w14:paraId="7CFF5CB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6B943AF5" w14:textId="77777777" w:rsidR="000A52D5" w:rsidRPr="00470C7C" w:rsidRDefault="003D4561" w:rsidP="000A20C1">
      <w:pPr>
        <w:pStyle w:val="Ttulo3"/>
        <w:rPr>
          <w:noProof/>
          <w:lang w:eastAsia="es-ES"/>
        </w:rPr>
      </w:pPr>
      <w:bookmarkStart w:id="110" w:name="_Toc460432979"/>
      <w:bookmarkStart w:id="111" w:name="_Toc460441910"/>
      <w:bookmarkStart w:id="112" w:name="_Toc462750730"/>
      <w:bookmarkStart w:id="113" w:name="_Toc462751054"/>
      <w:bookmarkStart w:id="114" w:name="_Toc464813906"/>
      <w:r w:rsidRPr="00470C7C">
        <w:rPr>
          <w:noProof/>
          <w:lang w:eastAsia="es-ES"/>
        </w:rPr>
        <w:t>F</w:t>
      </w:r>
      <w:r w:rsidR="000A52D5" w:rsidRPr="00470C7C">
        <w:rPr>
          <w:noProof/>
          <w:lang w:eastAsia="es-ES"/>
        </w:rPr>
        <w:t xml:space="preserve">.1. </w:t>
      </w:r>
      <w:r w:rsidR="00246E8D" w:rsidRPr="00470C7C">
        <w:rPr>
          <w:noProof/>
          <w:lang w:eastAsia="es-ES"/>
        </w:rPr>
        <w:t>Alegatos del Estado,</w:t>
      </w:r>
      <w:r w:rsidR="000A52D5" w:rsidRPr="00470C7C">
        <w:rPr>
          <w:noProof/>
          <w:lang w:eastAsia="es-ES"/>
        </w:rPr>
        <w:t xml:space="preserve"> observaciones de la Comisión y de los representantes</w:t>
      </w:r>
      <w:bookmarkEnd w:id="110"/>
      <w:bookmarkEnd w:id="111"/>
      <w:bookmarkEnd w:id="112"/>
      <w:bookmarkEnd w:id="113"/>
      <w:bookmarkEnd w:id="114"/>
    </w:p>
    <w:p w14:paraId="30A6B3A1"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645ED40"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expuso que ni la Comisión ni la Corte tienen competencia para procesar peticiones individuales que aleguen la supuesta violación de compromisos internacionales asumidos por Brasil para prohibir el tráfico de personas, puesto que la competencia de la Corte se limita al examen de supuestas violaciones a la prohibición al tráfico de esclavos y de mujeres, establecidas en el artículo 6 de la Convención Americana, cuya infracción no ha sido alegada por la Comisión o por los representantes en el presente asunto. Por lo anterior, consideró que la Corte no tiene competencia para analizar en el fondo la supuesta violación de los compromisos internacionales asumidos por el Estado en materia de prevención y combate al tráfico de personas.  </w:t>
      </w:r>
    </w:p>
    <w:p w14:paraId="43AB67D9"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1BBC122"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precisó que coincide con el Estado en </w:t>
      </w:r>
      <w:r w:rsidR="00DF7130" w:rsidRPr="00470C7C">
        <w:rPr>
          <w:rFonts w:eastAsia="Batang" w:cs="Times"/>
          <w:noProof/>
          <w:szCs w:val="24"/>
          <w:lang w:val="es-MX" w:eastAsia="es-ES"/>
        </w:rPr>
        <w:t xml:space="preserve">cuanto </w:t>
      </w:r>
      <w:r w:rsidRPr="00470C7C">
        <w:rPr>
          <w:rFonts w:eastAsia="Batang" w:cs="Times"/>
          <w:noProof/>
          <w:szCs w:val="24"/>
          <w:lang w:val="es-MX" w:eastAsia="es-ES"/>
        </w:rPr>
        <w:t>a que la competencia contenciosa de la Corte está limitada a la Convención y a los instrumentos del ámbito interamericano, pero hizo notar que ello no implica que sea imposible caracterizar una violación específica de derechos humanos de acuerdo con sus definiciones en otros instrumentos internacionales, siempre que esa situación vulnere la Convención u otros instrumentos interamericanos aplicables, como ocurre, por ejemplo, en casos de genocidio, violación sexual, reclutamiento de niños, entre otros</w:t>
      </w:r>
      <w:r w:rsidR="00DF7130" w:rsidRPr="00470C7C">
        <w:rPr>
          <w:rFonts w:eastAsia="Batang" w:cs="Times"/>
          <w:noProof/>
          <w:szCs w:val="24"/>
          <w:lang w:val="es-MX" w:eastAsia="es-ES"/>
        </w:rPr>
        <w:t>,</w:t>
      </w:r>
      <w:r w:rsidRPr="00470C7C">
        <w:rPr>
          <w:rFonts w:eastAsia="Batang" w:cs="Times"/>
          <w:noProof/>
          <w:szCs w:val="24"/>
          <w:lang w:val="es-MX" w:eastAsia="es-ES"/>
        </w:rPr>
        <w:t xml:space="preserve"> incluyendo una situación de tráfico de personas que implica necesariamente violaciones de derechos previstos en la Convención.</w:t>
      </w:r>
    </w:p>
    <w:p w14:paraId="3AECEBE6"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E22B963"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señalaron el criterio reiterado de la Corte respecto a que</w:t>
      </w:r>
      <w:r w:rsidR="00DF7130" w:rsidRPr="00470C7C">
        <w:rPr>
          <w:rFonts w:eastAsia="Batang" w:cs="Times"/>
          <w:noProof/>
          <w:szCs w:val="24"/>
          <w:lang w:val="es-MX" w:eastAsia="es-ES"/>
        </w:rPr>
        <w:t>,</w:t>
      </w:r>
      <w:r w:rsidRPr="00470C7C">
        <w:rPr>
          <w:rFonts w:eastAsia="Batang" w:cs="Times"/>
          <w:noProof/>
          <w:szCs w:val="24"/>
          <w:lang w:val="es-MX" w:eastAsia="es-ES"/>
        </w:rPr>
        <w:t xml:space="preserve"> al examinar la compatibilidad de las conductas o normas estatales con la Convención, puede interpretar las obligaciones y los derechos contenidos en dicho instrumento a la luz de otros tratados. Además, indicaron que alegan violaciones específicas en virtud de la omisión del deber de garantía del Estado respecto a la prohibición de la esclavitud, de la servidumbre y del tráfico de personas (artículo 6 de la Convención), en relación con los derechos de la personalidad jurídica, integridad personal, libertad personal, vida privada, honra y dignidad, circulación y residencia, en perjuicio de las víctimas que se encontraban en la Hacienda Brasil Verde después de diciembre de 1998.</w:t>
      </w:r>
      <w:r w:rsidRPr="00470C7C">
        <w:rPr>
          <w:rFonts w:eastAsia="Batang" w:cs="Times"/>
          <w:b/>
          <w:noProof/>
          <w:szCs w:val="24"/>
          <w:lang w:val="es-MX" w:eastAsia="es-ES"/>
        </w:rPr>
        <w:t xml:space="preserve"> </w:t>
      </w:r>
    </w:p>
    <w:p w14:paraId="052ED4D9"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70A8400D" w14:textId="77777777" w:rsidR="000A52D5" w:rsidRPr="00470C7C" w:rsidRDefault="003D4561" w:rsidP="000A20C1">
      <w:pPr>
        <w:pStyle w:val="Ttulo3"/>
        <w:rPr>
          <w:noProof/>
          <w:lang w:eastAsia="es-ES"/>
        </w:rPr>
      </w:pPr>
      <w:bookmarkStart w:id="115" w:name="_Toc460432980"/>
      <w:bookmarkStart w:id="116" w:name="_Toc460441911"/>
      <w:bookmarkStart w:id="117" w:name="_Toc462750731"/>
      <w:bookmarkStart w:id="118" w:name="_Toc462751055"/>
      <w:bookmarkStart w:id="119" w:name="_Toc464813907"/>
      <w:r w:rsidRPr="00470C7C">
        <w:rPr>
          <w:noProof/>
          <w:lang w:eastAsia="es-ES"/>
        </w:rPr>
        <w:t>F</w:t>
      </w:r>
      <w:r w:rsidR="000A52D5" w:rsidRPr="00470C7C">
        <w:rPr>
          <w:noProof/>
          <w:lang w:eastAsia="es-ES"/>
        </w:rPr>
        <w:t>.2. Consideraciones de la Corte</w:t>
      </w:r>
      <w:bookmarkEnd w:id="115"/>
      <w:bookmarkEnd w:id="116"/>
      <w:bookmarkEnd w:id="117"/>
      <w:bookmarkEnd w:id="118"/>
      <w:bookmarkEnd w:id="119"/>
    </w:p>
    <w:p w14:paraId="01AE2DE9"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1223E870" w14:textId="77777777" w:rsidR="00004D55" w:rsidRPr="00470C7C" w:rsidRDefault="007D4FBC"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Es </w:t>
      </w:r>
      <w:r w:rsidR="0096613B" w:rsidRPr="00470C7C">
        <w:rPr>
          <w:rFonts w:eastAsia="Batang" w:cs="Times"/>
          <w:noProof/>
          <w:szCs w:val="24"/>
          <w:lang w:val="es-MX" w:eastAsia="es-ES"/>
        </w:rPr>
        <w:t>importante observar que</w:t>
      </w:r>
      <w:r w:rsidR="00211DB5" w:rsidRPr="00470C7C">
        <w:rPr>
          <w:rFonts w:eastAsia="Batang" w:cs="Times"/>
          <w:noProof/>
          <w:szCs w:val="24"/>
          <w:lang w:val="es-MX" w:eastAsia="es-ES"/>
        </w:rPr>
        <w:t>,</w:t>
      </w:r>
      <w:r w:rsidR="0096613B" w:rsidRPr="00470C7C">
        <w:rPr>
          <w:rFonts w:eastAsia="Batang" w:cs="Times"/>
          <w:noProof/>
          <w:szCs w:val="24"/>
          <w:lang w:val="es-MX" w:eastAsia="es-ES"/>
        </w:rPr>
        <w:t xml:space="preserve"> e</w:t>
      </w:r>
      <w:r w:rsidR="00004D55" w:rsidRPr="00470C7C">
        <w:rPr>
          <w:rFonts w:eastAsia="Batang" w:cs="Times"/>
          <w:noProof/>
          <w:szCs w:val="24"/>
          <w:lang w:val="es-MX" w:eastAsia="es-ES"/>
        </w:rPr>
        <w:t>n el presente caso, ni la Comisión ni los representantes han solicitado a la Corte que el Estado sea declarado responsable por posibles violaciones a compromisos internacionales asumidos por Brasil en relación con otros tratados internacionales.</w:t>
      </w:r>
    </w:p>
    <w:p w14:paraId="0698CB4A" w14:textId="77777777" w:rsidR="00004D55" w:rsidRPr="00470C7C" w:rsidRDefault="00004D55" w:rsidP="00140440">
      <w:pPr>
        <w:pStyle w:val="Prrafodelista"/>
        <w:rPr>
          <w:rFonts w:eastAsia="Batang" w:cs="Times"/>
          <w:noProof/>
          <w:szCs w:val="24"/>
          <w:lang w:val="es-MX" w:eastAsia="es-ES"/>
        </w:rPr>
      </w:pPr>
      <w:bookmarkStart w:id="120" w:name="_Ref405769555"/>
    </w:p>
    <w:p w14:paraId="2EBB7BA6" w14:textId="77777777" w:rsidR="00004D5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ES_tradnl" w:eastAsia="es-ES"/>
        </w:rPr>
        <w:t xml:space="preserve">De conformidad con el artículo 29.b) de la Convención Americana y las reglas generales de interpretación de los tratados recogidas en </w:t>
      </w:r>
      <w:r w:rsidRPr="00470C7C">
        <w:rPr>
          <w:rFonts w:eastAsia="Batang" w:cs="Times"/>
          <w:noProof/>
          <w:szCs w:val="24"/>
          <w:lang w:val="es-MX" w:eastAsia="es-ES"/>
        </w:rPr>
        <w:t>la Convención de Viena sobre el Derecho de los Tratados, la Convención Americana puede ser interpretada en relación con otros instrumentos internacionales</w:t>
      </w:r>
      <w:bookmarkStart w:id="121" w:name="_ftnref1"/>
      <w:r w:rsidRPr="00470C7C">
        <w:rPr>
          <w:rFonts w:eastAsia="Batang" w:cs="Times"/>
          <w:noProof/>
          <w:szCs w:val="24"/>
          <w:vertAlign w:val="superscript"/>
          <w:lang w:val="es-MX" w:eastAsia="es-ES"/>
        </w:rPr>
        <w:footnoteReference w:id="50"/>
      </w:r>
      <w:bookmarkEnd w:id="121"/>
      <w:r w:rsidRPr="00470C7C">
        <w:rPr>
          <w:rFonts w:eastAsia="Batang" w:cs="Times"/>
          <w:noProof/>
          <w:szCs w:val="24"/>
          <w:lang w:val="es-MX" w:eastAsia="es-ES"/>
        </w:rPr>
        <w:t>. Por tanto, al examinar la compatibilidad de las conductas o normas estatales con la Convención, la Corte puede interpretar</w:t>
      </w:r>
      <w:r w:rsidR="00211DB5" w:rsidRPr="00470C7C">
        <w:rPr>
          <w:rFonts w:eastAsia="Batang" w:cs="Times"/>
          <w:noProof/>
          <w:szCs w:val="24"/>
          <w:lang w:val="es-MX" w:eastAsia="es-ES"/>
        </w:rPr>
        <w:t>,</w:t>
      </w:r>
      <w:r w:rsidRPr="00470C7C">
        <w:rPr>
          <w:rFonts w:eastAsia="Batang" w:cs="Times"/>
          <w:noProof/>
          <w:szCs w:val="24"/>
          <w:lang w:val="es-MX" w:eastAsia="es-ES"/>
        </w:rPr>
        <w:t xml:space="preserve"> a la luz de otros tratados</w:t>
      </w:r>
      <w:r w:rsidR="00211DB5" w:rsidRPr="00470C7C">
        <w:rPr>
          <w:rFonts w:eastAsia="Batang" w:cs="Times"/>
          <w:noProof/>
          <w:szCs w:val="24"/>
          <w:lang w:val="es-MX" w:eastAsia="es-ES"/>
        </w:rPr>
        <w:t>,</w:t>
      </w:r>
      <w:r w:rsidRPr="00470C7C">
        <w:rPr>
          <w:rFonts w:eastAsia="Batang" w:cs="Times"/>
          <w:noProof/>
          <w:szCs w:val="24"/>
          <w:lang w:val="es-MX" w:eastAsia="es-ES"/>
        </w:rPr>
        <w:t xml:space="preserve"> las obligaciones y los derechos contenidos en dicho instrumento. Esto implica que la Corte puede observar las regulaciones de normas internacionales concretas relativas a la prohibición de la esclavitud, de la servidumbre y del tráfico de personas, para dar aplicación específica a la normativa convencional en la definición de los alcances de las obligaciones estatales</w:t>
      </w:r>
      <w:r w:rsidRPr="00470C7C">
        <w:rPr>
          <w:rFonts w:eastAsia="Batang" w:cs="Times"/>
          <w:noProof/>
          <w:szCs w:val="24"/>
          <w:vertAlign w:val="superscript"/>
          <w:lang w:val="es-MX" w:eastAsia="es-ES"/>
        </w:rPr>
        <w:footnoteReference w:id="51"/>
      </w:r>
      <w:r w:rsidRPr="00470C7C">
        <w:rPr>
          <w:rFonts w:eastAsia="Batang" w:cs="Times"/>
          <w:noProof/>
          <w:szCs w:val="24"/>
          <w:lang w:val="es-MX" w:eastAsia="es-ES"/>
        </w:rPr>
        <w:t xml:space="preserve">. </w:t>
      </w:r>
      <w:r w:rsidR="00004D55" w:rsidRPr="00470C7C">
        <w:rPr>
          <w:rFonts w:eastAsia="Batang" w:cs="Times"/>
          <w:noProof/>
          <w:szCs w:val="24"/>
          <w:lang w:val="es-MX" w:eastAsia="es-ES"/>
        </w:rPr>
        <w:t xml:space="preserve">Por tanto, carece de sustento la alegación de incompetencia formulada por el Estado, pues la </w:t>
      </w:r>
      <w:r w:rsidR="00F06A18" w:rsidRPr="00470C7C">
        <w:rPr>
          <w:rFonts w:eastAsia="Batang" w:cs="Times"/>
          <w:noProof/>
          <w:szCs w:val="24"/>
          <w:lang w:val="es-MX" w:eastAsia="es-ES"/>
        </w:rPr>
        <w:t>interpretación del alcance de</w:t>
      </w:r>
      <w:r w:rsidR="00004D55" w:rsidRPr="00470C7C">
        <w:rPr>
          <w:rFonts w:eastAsia="Batang" w:cs="Times"/>
          <w:noProof/>
          <w:szCs w:val="24"/>
          <w:lang w:val="es-MX" w:eastAsia="es-ES"/>
        </w:rPr>
        <w:t xml:space="preserve">l artículo 6 de la Convención no es materia de una excepción preliminar, sino </w:t>
      </w:r>
      <w:r w:rsidR="00F06A18" w:rsidRPr="00470C7C">
        <w:rPr>
          <w:rFonts w:eastAsia="Batang" w:cs="Times"/>
          <w:noProof/>
          <w:szCs w:val="24"/>
          <w:lang w:val="es-MX" w:eastAsia="es-ES"/>
        </w:rPr>
        <w:t xml:space="preserve">que corresponde al estudio </w:t>
      </w:r>
      <w:r w:rsidR="00004D55" w:rsidRPr="00470C7C">
        <w:rPr>
          <w:rFonts w:eastAsia="Batang" w:cs="Times"/>
          <w:noProof/>
          <w:szCs w:val="24"/>
          <w:lang w:val="es-MX" w:eastAsia="es-ES"/>
        </w:rPr>
        <w:t>de fondo</w:t>
      </w:r>
      <w:r w:rsidR="00F06A18" w:rsidRPr="00470C7C">
        <w:rPr>
          <w:rFonts w:eastAsia="Batang" w:cs="Times"/>
          <w:noProof/>
          <w:szCs w:val="24"/>
          <w:lang w:val="es-MX" w:eastAsia="es-ES"/>
        </w:rPr>
        <w:t xml:space="preserve"> del caso</w:t>
      </w:r>
      <w:r w:rsidR="00004D55" w:rsidRPr="00470C7C">
        <w:rPr>
          <w:rFonts w:eastAsia="Batang" w:cs="Times"/>
          <w:noProof/>
          <w:szCs w:val="24"/>
          <w:lang w:val="es-MX" w:eastAsia="es-ES"/>
        </w:rPr>
        <w:t>.</w:t>
      </w:r>
    </w:p>
    <w:p w14:paraId="698357C2"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6ECAA01D"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Por </w:t>
      </w:r>
      <w:r w:rsidR="0096613B" w:rsidRPr="00470C7C">
        <w:rPr>
          <w:rFonts w:eastAsia="Batang" w:cs="Times"/>
          <w:noProof/>
          <w:szCs w:val="24"/>
          <w:lang w:val="es-MX" w:eastAsia="es-ES"/>
        </w:rPr>
        <w:t xml:space="preserve">todo </w:t>
      </w:r>
      <w:r w:rsidRPr="00470C7C">
        <w:rPr>
          <w:rFonts w:eastAsia="Batang" w:cs="Times"/>
          <w:noProof/>
          <w:szCs w:val="24"/>
          <w:lang w:val="es-MX" w:eastAsia="es-ES"/>
        </w:rPr>
        <w:t>lo anterior, la Corte desestima la presente excepción preliminar.</w:t>
      </w:r>
      <w:bookmarkEnd w:id="120"/>
      <w:r w:rsidRPr="00470C7C">
        <w:rPr>
          <w:rFonts w:eastAsia="Batang" w:cs="Times"/>
          <w:noProof/>
          <w:szCs w:val="24"/>
          <w:lang w:val="es-MX" w:eastAsia="es-ES"/>
        </w:rPr>
        <w:t xml:space="preserve">  </w:t>
      </w:r>
      <w:r w:rsidRPr="00470C7C">
        <w:rPr>
          <w:rFonts w:eastAsia="Batang" w:cs="Times"/>
          <w:noProof/>
          <w:szCs w:val="24"/>
          <w:u w:val="single"/>
          <w:lang w:val="es-MX" w:eastAsia="es-ES"/>
        </w:rPr>
        <w:t xml:space="preserve">  </w:t>
      </w:r>
    </w:p>
    <w:p w14:paraId="6E6D754A" w14:textId="77777777" w:rsidR="00B13CD7" w:rsidRPr="00470C7C" w:rsidRDefault="00B13CD7" w:rsidP="00140440">
      <w:pPr>
        <w:tabs>
          <w:tab w:val="clear" w:pos="4419"/>
          <w:tab w:val="clear" w:pos="8838"/>
        </w:tabs>
        <w:jc w:val="both"/>
        <w:rPr>
          <w:rFonts w:eastAsia="Batang" w:cs="Times"/>
          <w:noProof/>
          <w:szCs w:val="24"/>
          <w:lang w:val="es-MX" w:eastAsia="es-ES"/>
        </w:rPr>
      </w:pPr>
    </w:p>
    <w:p w14:paraId="7839825A" w14:textId="77777777" w:rsidR="000A52D5" w:rsidRPr="00470C7C" w:rsidRDefault="000A52D5" w:rsidP="008B0BCC">
      <w:pPr>
        <w:pStyle w:val="Ttulo2"/>
        <w:numPr>
          <w:ilvl w:val="0"/>
          <w:numId w:val="15"/>
        </w:numPr>
        <w:rPr>
          <w:rFonts w:eastAsia="Batang"/>
          <w:noProof/>
          <w:lang w:eastAsia="es-ES"/>
        </w:rPr>
      </w:pPr>
      <w:bookmarkStart w:id="122" w:name="_Toc464813908"/>
      <w:r w:rsidRPr="00470C7C">
        <w:rPr>
          <w:rFonts w:eastAsia="Batang"/>
          <w:noProof/>
          <w:lang w:eastAsia="es-ES"/>
        </w:rPr>
        <w:t>Alegada incompetencia ratione materiae sobre supuestas violaciones de derechos laborales</w:t>
      </w:r>
      <w:bookmarkEnd w:id="122"/>
    </w:p>
    <w:p w14:paraId="514ABB3E" w14:textId="77777777" w:rsidR="000A52D5" w:rsidRPr="00470C7C" w:rsidRDefault="000A52D5" w:rsidP="00140440">
      <w:pPr>
        <w:tabs>
          <w:tab w:val="clear" w:pos="4419"/>
          <w:tab w:val="clear" w:pos="8838"/>
        </w:tabs>
        <w:jc w:val="both"/>
        <w:rPr>
          <w:rFonts w:eastAsia="Batang" w:cs="Times"/>
          <w:b/>
          <w:noProof/>
          <w:szCs w:val="24"/>
          <w:lang w:val="es-MX" w:eastAsia="es-ES"/>
        </w:rPr>
      </w:pPr>
    </w:p>
    <w:p w14:paraId="3AFE1FCD" w14:textId="77777777" w:rsidR="000A52D5" w:rsidRPr="00470C7C" w:rsidRDefault="005428E8" w:rsidP="000A20C1">
      <w:pPr>
        <w:pStyle w:val="Ttulo3"/>
        <w:rPr>
          <w:noProof/>
          <w:lang w:eastAsia="es-ES"/>
        </w:rPr>
      </w:pPr>
      <w:bookmarkStart w:id="123" w:name="_Toc460432982"/>
      <w:bookmarkStart w:id="124" w:name="_Toc460441913"/>
      <w:bookmarkStart w:id="125" w:name="_Toc462750733"/>
      <w:bookmarkStart w:id="126" w:name="_Toc462751057"/>
      <w:bookmarkStart w:id="127" w:name="_Toc464813909"/>
      <w:r w:rsidRPr="00470C7C">
        <w:rPr>
          <w:noProof/>
          <w:lang w:eastAsia="es-ES"/>
        </w:rPr>
        <w:t>G</w:t>
      </w:r>
      <w:r w:rsidR="000A52D5" w:rsidRPr="00470C7C">
        <w:rPr>
          <w:noProof/>
          <w:lang w:eastAsia="es-ES"/>
        </w:rPr>
        <w:t xml:space="preserve">.1. </w:t>
      </w:r>
      <w:r w:rsidR="00246E8D" w:rsidRPr="00470C7C">
        <w:rPr>
          <w:noProof/>
          <w:lang w:eastAsia="es-ES"/>
        </w:rPr>
        <w:t>Alegatos del Estado,</w:t>
      </w:r>
      <w:r w:rsidR="000A52D5" w:rsidRPr="00470C7C">
        <w:rPr>
          <w:noProof/>
          <w:lang w:eastAsia="es-ES"/>
        </w:rPr>
        <w:t xml:space="preserve"> observaciones de la Comisión y de los representantes</w:t>
      </w:r>
      <w:bookmarkEnd w:id="123"/>
      <w:bookmarkEnd w:id="124"/>
      <w:bookmarkEnd w:id="125"/>
      <w:bookmarkEnd w:id="126"/>
      <w:bookmarkEnd w:id="127"/>
    </w:p>
    <w:p w14:paraId="4216D2FD" w14:textId="77777777" w:rsidR="000A52D5" w:rsidRPr="00470C7C" w:rsidRDefault="000A52D5" w:rsidP="00140440">
      <w:pPr>
        <w:tabs>
          <w:tab w:val="clear" w:pos="4419"/>
          <w:tab w:val="clear" w:pos="8838"/>
        </w:tabs>
        <w:jc w:val="both"/>
        <w:rPr>
          <w:rFonts w:eastAsia="Batang" w:cs="Times"/>
          <w:b/>
          <w:noProof/>
          <w:szCs w:val="24"/>
          <w:lang w:val="es-MX" w:eastAsia="es-ES"/>
        </w:rPr>
      </w:pPr>
    </w:p>
    <w:p w14:paraId="00A913BF"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alegó que: i) el Protocolo Adicional a la Convención Americana en materia de Derechos Económicos, Sociales y Culturales (Protocolo de San Salvador) señala de forma clara que solamente los derechos de asociación sindical y educación pueden estar sujetos al sistema de peticiones individuales regulados por la Convención, y ii) los hechos verificados en la Hacienda Brasil Verde aluden a situaciones de violación al derecho a condiciones justas, equitativas y satisfactorias de trabajo, las cuales estarían reguladas en el artículo 7 del Protocolo de San Salvador, y no en el artículo 6 de la Convención Americana. Por lo anterior, el Estado indicó que</w:t>
      </w:r>
      <w:r w:rsidR="00211DB5" w:rsidRPr="00470C7C">
        <w:rPr>
          <w:rFonts w:eastAsia="Batang" w:cs="Times"/>
          <w:noProof/>
          <w:szCs w:val="24"/>
          <w:lang w:val="es-MX" w:eastAsia="es-ES"/>
        </w:rPr>
        <w:t>, debido a que</w:t>
      </w:r>
      <w:r w:rsidRPr="00470C7C">
        <w:rPr>
          <w:rFonts w:eastAsia="Batang" w:cs="Times"/>
          <w:noProof/>
          <w:szCs w:val="24"/>
          <w:lang w:val="es-MX" w:eastAsia="es-ES"/>
        </w:rPr>
        <w:t xml:space="preserve"> los hechos del presente caso </w:t>
      </w:r>
      <w:r w:rsidR="00211DB5" w:rsidRPr="00470C7C">
        <w:rPr>
          <w:rFonts w:eastAsia="Batang" w:cs="Times"/>
          <w:noProof/>
          <w:szCs w:val="24"/>
          <w:lang w:val="es-MX" w:eastAsia="es-ES"/>
        </w:rPr>
        <w:t>no versan sobre</w:t>
      </w:r>
      <w:r w:rsidRPr="00470C7C">
        <w:rPr>
          <w:rFonts w:eastAsia="Batang" w:cs="Times"/>
          <w:noProof/>
          <w:szCs w:val="24"/>
          <w:lang w:val="es-MX" w:eastAsia="es-ES"/>
        </w:rPr>
        <w:t xml:space="preserve"> aspectos de asociación sindical o educación, la Corte no tiene competencia para analizarlos.   </w:t>
      </w:r>
    </w:p>
    <w:p w14:paraId="7167461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1F82FE1"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señaló que los alegatos del Estado se sostienen en el hecho de que no se ha violado el artículo 6 de la Convención, aspecto que es un tema de fondo. Además, observó que la Corte en diversos casos ha establecido conexión entre ciertos derechos económicos, sociales y culturales, y derechos tradicionalmente conocidos como civiles y políticos.</w:t>
      </w:r>
    </w:p>
    <w:p w14:paraId="49519C2F"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5AE1A1EC"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indicaron que el Estado ha reconocido que en ciertas circunstancias la Corte ha analizado aspectos atinentes a los derechos económicos, sociales y culturales para un mejor análisis de las violaciones de los artículos 4, 5 y 19 de la Convención. Asimismo, solicitaron que se rechace esta excepción preliminar dado que no se ha reclamado la violación específica al Protocolo de San Salvador. </w:t>
      </w:r>
    </w:p>
    <w:p w14:paraId="1D0DB55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31F1FBC8" w14:textId="77777777" w:rsidR="000A52D5" w:rsidRPr="00470C7C" w:rsidRDefault="00C374F2" w:rsidP="000A20C1">
      <w:pPr>
        <w:pStyle w:val="Ttulo3"/>
        <w:rPr>
          <w:noProof/>
          <w:lang w:eastAsia="es-ES"/>
        </w:rPr>
      </w:pPr>
      <w:bookmarkStart w:id="128" w:name="_Toc460432983"/>
      <w:bookmarkStart w:id="129" w:name="_Toc460441914"/>
      <w:bookmarkStart w:id="130" w:name="_Toc462750734"/>
      <w:bookmarkStart w:id="131" w:name="_Toc462751058"/>
      <w:bookmarkStart w:id="132" w:name="_Toc464813910"/>
      <w:r w:rsidRPr="00470C7C">
        <w:rPr>
          <w:noProof/>
          <w:lang w:eastAsia="es-ES"/>
        </w:rPr>
        <w:t>G</w:t>
      </w:r>
      <w:r w:rsidR="000A52D5" w:rsidRPr="00470C7C">
        <w:rPr>
          <w:noProof/>
          <w:lang w:eastAsia="es-ES"/>
        </w:rPr>
        <w:t>.2. Consideraciones de la Corte</w:t>
      </w:r>
      <w:bookmarkEnd w:id="128"/>
      <w:bookmarkEnd w:id="129"/>
      <w:bookmarkEnd w:id="130"/>
      <w:bookmarkEnd w:id="131"/>
      <w:bookmarkEnd w:id="132"/>
    </w:p>
    <w:p w14:paraId="2B54FE33" w14:textId="77777777" w:rsidR="000A52D5" w:rsidRPr="00470C7C" w:rsidRDefault="000A52D5" w:rsidP="00140440">
      <w:pPr>
        <w:tabs>
          <w:tab w:val="clear" w:pos="4419"/>
          <w:tab w:val="clear" w:pos="8838"/>
        </w:tabs>
        <w:jc w:val="both"/>
        <w:rPr>
          <w:rFonts w:eastAsia="Batang" w:cs="Times"/>
          <w:i/>
          <w:noProof/>
          <w:szCs w:val="24"/>
          <w:lang w:val="es-MX" w:eastAsia="es-ES"/>
        </w:rPr>
      </w:pPr>
    </w:p>
    <w:p w14:paraId="76A8BC7F"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La Corte considera que no es objeto del litigio la eventual violación de disposiciones del Protocolo de San Salvador. Asimismo, la violación o no al artículo 6 de la Convención corresponde a</w:t>
      </w:r>
      <w:r w:rsidR="00B93681" w:rsidRPr="00470C7C">
        <w:rPr>
          <w:rFonts w:eastAsia="Batang" w:cs="Times"/>
          <w:noProof/>
          <w:szCs w:val="24"/>
          <w:lang w:val="es-MX" w:eastAsia="es-ES"/>
        </w:rPr>
        <w:t>l</w:t>
      </w:r>
      <w:r w:rsidRPr="00470C7C">
        <w:rPr>
          <w:rFonts w:eastAsia="Batang" w:cs="Times"/>
          <w:noProof/>
          <w:szCs w:val="24"/>
          <w:lang w:val="es-MX" w:eastAsia="es-ES"/>
        </w:rPr>
        <w:t xml:space="preserve"> fondo y no es </w:t>
      </w:r>
      <w:r w:rsidR="00B93681" w:rsidRPr="00470C7C">
        <w:rPr>
          <w:rFonts w:eastAsia="Batang" w:cs="Times"/>
          <w:noProof/>
          <w:szCs w:val="24"/>
          <w:lang w:val="es-MX" w:eastAsia="es-ES"/>
        </w:rPr>
        <w:t>materia de</w:t>
      </w:r>
      <w:r w:rsidRPr="00470C7C">
        <w:rPr>
          <w:rFonts w:eastAsia="Batang" w:cs="Times"/>
          <w:noProof/>
          <w:szCs w:val="24"/>
          <w:lang w:val="es-MX" w:eastAsia="es-ES"/>
        </w:rPr>
        <w:t xml:space="preserve"> excepción preliminar. </w:t>
      </w:r>
      <w:r w:rsidRPr="00470C7C">
        <w:rPr>
          <w:rFonts w:eastAsia="Batang" w:cs="Times"/>
          <w:noProof/>
          <w:szCs w:val="24"/>
          <w:lang w:eastAsia="es-ES"/>
        </w:rPr>
        <w:t xml:space="preserve">Por ello, la Corte desestima la presente excepción preliminar.  </w:t>
      </w:r>
    </w:p>
    <w:p w14:paraId="42544966" w14:textId="77777777" w:rsidR="000A52D5" w:rsidRPr="00470C7C" w:rsidRDefault="000A52D5" w:rsidP="00140440">
      <w:pPr>
        <w:tabs>
          <w:tab w:val="clear" w:pos="4419"/>
          <w:tab w:val="clear" w:pos="8838"/>
        </w:tabs>
        <w:jc w:val="both"/>
        <w:rPr>
          <w:rFonts w:eastAsia="Batang" w:cs="Times"/>
          <w:b/>
          <w:i/>
          <w:noProof/>
          <w:szCs w:val="24"/>
          <w:lang w:val="es-MX" w:eastAsia="es-ES"/>
        </w:rPr>
      </w:pPr>
      <w:r w:rsidRPr="00470C7C">
        <w:rPr>
          <w:rFonts w:eastAsia="Batang" w:cs="Times"/>
          <w:noProof/>
          <w:szCs w:val="24"/>
          <w:lang w:val="es-MX" w:eastAsia="es-ES"/>
        </w:rPr>
        <w:t xml:space="preserve"> </w:t>
      </w:r>
    </w:p>
    <w:p w14:paraId="3690B23C" w14:textId="77777777" w:rsidR="000A52D5" w:rsidRPr="00470C7C" w:rsidRDefault="000A52D5" w:rsidP="008B0BCC">
      <w:pPr>
        <w:pStyle w:val="Ttulo2"/>
        <w:numPr>
          <w:ilvl w:val="0"/>
          <w:numId w:val="15"/>
        </w:numPr>
        <w:rPr>
          <w:rFonts w:eastAsia="Batang"/>
          <w:noProof/>
          <w:lang w:eastAsia="es-ES"/>
        </w:rPr>
      </w:pPr>
      <w:bookmarkStart w:id="133" w:name="_Toc464813911"/>
      <w:r w:rsidRPr="00470C7C">
        <w:rPr>
          <w:rFonts w:eastAsia="Batang"/>
          <w:noProof/>
          <w:lang w:eastAsia="es-ES"/>
        </w:rPr>
        <w:t>Alegada falta de agotamiento previo de los recursos internos</w:t>
      </w:r>
      <w:bookmarkEnd w:id="133"/>
    </w:p>
    <w:p w14:paraId="68127C04" w14:textId="77777777" w:rsidR="000A52D5" w:rsidRPr="00470C7C" w:rsidRDefault="000A52D5" w:rsidP="00140440">
      <w:pPr>
        <w:tabs>
          <w:tab w:val="clear" w:pos="4419"/>
          <w:tab w:val="clear" w:pos="8838"/>
        </w:tabs>
        <w:jc w:val="both"/>
        <w:rPr>
          <w:rFonts w:eastAsia="Batang" w:cs="Times"/>
          <w:b/>
          <w:noProof/>
          <w:szCs w:val="24"/>
          <w:lang w:val="es-MX" w:eastAsia="es-ES"/>
        </w:rPr>
      </w:pPr>
    </w:p>
    <w:p w14:paraId="282C8597" w14:textId="77777777" w:rsidR="000A52D5" w:rsidRPr="00470C7C" w:rsidRDefault="009C182B" w:rsidP="000A20C1">
      <w:pPr>
        <w:pStyle w:val="Ttulo3"/>
        <w:rPr>
          <w:noProof/>
          <w:lang w:eastAsia="es-ES"/>
        </w:rPr>
      </w:pPr>
      <w:bookmarkStart w:id="134" w:name="_Toc460432985"/>
      <w:bookmarkStart w:id="135" w:name="_Toc460441916"/>
      <w:bookmarkStart w:id="136" w:name="_Toc462750736"/>
      <w:bookmarkStart w:id="137" w:name="_Toc462751060"/>
      <w:bookmarkStart w:id="138" w:name="_Toc464813912"/>
      <w:r w:rsidRPr="00470C7C">
        <w:rPr>
          <w:noProof/>
          <w:lang w:eastAsia="es-ES"/>
        </w:rPr>
        <w:t>H</w:t>
      </w:r>
      <w:r w:rsidR="000A52D5" w:rsidRPr="00470C7C">
        <w:rPr>
          <w:noProof/>
          <w:lang w:eastAsia="es-ES"/>
        </w:rPr>
        <w:t xml:space="preserve">.1. </w:t>
      </w:r>
      <w:r w:rsidR="00246E8D" w:rsidRPr="00470C7C">
        <w:rPr>
          <w:noProof/>
          <w:lang w:eastAsia="es-ES"/>
        </w:rPr>
        <w:t>Alegatos del Estado,</w:t>
      </w:r>
      <w:r w:rsidR="000A52D5" w:rsidRPr="00470C7C">
        <w:rPr>
          <w:noProof/>
          <w:lang w:eastAsia="es-ES"/>
        </w:rPr>
        <w:t xml:space="preserve"> observaciones de la Comisión y de los representantes</w:t>
      </w:r>
      <w:bookmarkEnd w:id="134"/>
      <w:bookmarkEnd w:id="135"/>
      <w:bookmarkEnd w:id="136"/>
      <w:bookmarkEnd w:id="137"/>
      <w:bookmarkEnd w:id="138"/>
    </w:p>
    <w:p w14:paraId="4F0DA70E"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59CE9C93"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señaló que se debe otorgar la oportunidad para promover los recursos internos que tienen como efecto reconocer y reparar los daños causados a las víctimas</w:t>
      </w:r>
      <w:r w:rsidR="005D52FB" w:rsidRPr="00470C7C">
        <w:rPr>
          <w:rFonts w:eastAsia="Batang" w:cs="Times"/>
          <w:noProof/>
          <w:szCs w:val="24"/>
          <w:lang w:val="es-MX" w:eastAsia="es-ES"/>
        </w:rPr>
        <w:t>,</w:t>
      </w:r>
      <w:r w:rsidRPr="00470C7C">
        <w:rPr>
          <w:rFonts w:eastAsia="Batang" w:cs="Times"/>
          <w:noProof/>
          <w:szCs w:val="24"/>
          <w:lang w:val="es-MX" w:eastAsia="es-ES"/>
        </w:rPr>
        <w:t xml:space="preserve"> por lo que la presunta víctima o su representante no pueden buscar directamente la tutela jurisdiccional internacional sin antes </w:t>
      </w:r>
      <w:r w:rsidR="005D52FB" w:rsidRPr="00470C7C">
        <w:rPr>
          <w:rFonts w:eastAsia="Batang" w:cs="Times"/>
          <w:noProof/>
          <w:szCs w:val="24"/>
          <w:lang w:val="es-MX" w:eastAsia="es-ES"/>
        </w:rPr>
        <w:t>acudir al derecho</w:t>
      </w:r>
      <w:r w:rsidRPr="00470C7C">
        <w:rPr>
          <w:rFonts w:eastAsia="Batang" w:cs="Times"/>
          <w:noProof/>
          <w:szCs w:val="24"/>
          <w:lang w:val="es-MX" w:eastAsia="es-ES"/>
        </w:rPr>
        <w:t xml:space="preserve"> interno. Por otra parte, el Estado adujo la existencia de recursos internos adecuados para la protección de todos los derechos supuestamente vulnerados y para obtener todas las reparaciones derivadas de dichas violaciones; y señaló que los representantes pudieron, y aún pueden, promover esos recursos internos, lo que a la fecha no ha sucedido. </w:t>
      </w:r>
    </w:p>
    <w:p w14:paraId="6659A118"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178612ED"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Estado también solicitó la inadmisibilidad del caso en cuanto a las peticiones de reparación por daños materiales y morales. </w:t>
      </w:r>
    </w:p>
    <w:p w14:paraId="0D90D595"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85E738C"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expuso que el requisito de agotamiento de los recursos internos previsto en el artículo 46.1 de la Convención está relacionado con los hechos alegados que violan derechos humanos. La pretensión de los representantes sobre las indemnizaciones ordenadas por la Corte surge de la declaración de responsabilidad del Estado en cuestión, lo que constituye una consecuencia automática de tal responsabilidad. La Convención no prevé </w:t>
      </w:r>
      <w:r w:rsidR="00BC2C43" w:rsidRPr="00470C7C">
        <w:rPr>
          <w:rFonts w:eastAsia="Batang" w:cs="Times"/>
          <w:noProof/>
          <w:szCs w:val="24"/>
          <w:lang w:val="es-MX" w:eastAsia="es-ES"/>
        </w:rPr>
        <w:t xml:space="preserve">cuáles </w:t>
      </w:r>
      <w:r w:rsidRPr="00470C7C">
        <w:rPr>
          <w:rFonts w:eastAsia="Batang" w:cs="Times"/>
          <w:noProof/>
          <w:szCs w:val="24"/>
          <w:lang w:val="es-MX" w:eastAsia="es-ES"/>
        </w:rPr>
        <w:t>mecanismos adicionales deben ser agotados para que las víctimas puedan obtener una indemnización. La Comisión señaló que</w:t>
      </w:r>
      <w:r w:rsidR="00BC2C43" w:rsidRPr="00470C7C">
        <w:rPr>
          <w:rFonts w:eastAsia="Batang" w:cs="Times"/>
          <w:noProof/>
          <w:szCs w:val="24"/>
          <w:lang w:val="es-MX" w:eastAsia="es-ES"/>
        </w:rPr>
        <w:t>,</w:t>
      </w:r>
      <w:r w:rsidRPr="00470C7C">
        <w:rPr>
          <w:rFonts w:eastAsia="Batang" w:cs="Times"/>
          <w:noProof/>
          <w:szCs w:val="24"/>
          <w:lang w:val="es-MX" w:eastAsia="es-ES"/>
        </w:rPr>
        <w:t xml:space="preserve"> una obligación de agotar los recursos como fue propuesta por el Estado, no solamente colocaría una carga desproporcionada sobre las víctimas, sino también sería contrario a lo previsto en la Convención y al motivo de existir, tanto del requisito de agotamiento de los recursos internos como de la institución de la indemnización. Además, indicó que el alegato del Estado es extemporáneo, dado que </w:t>
      </w:r>
      <w:r w:rsidR="00BC2C43" w:rsidRPr="00470C7C">
        <w:rPr>
          <w:rFonts w:eastAsia="Batang" w:cs="Times"/>
          <w:noProof/>
          <w:szCs w:val="24"/>
          <w:lang w:val="es-MX" w:eastAsia="es-ES"/>
        </w:rPr>
        <w:t>el análisis del</w:t>
      </w:r>
      <w:r w:rsidRPr="00470C7C">
        <w:rPr>
          <w:rFonts w:eastAsia="Batang" w:cs="Times"/>
          <w:noProof/>
          <w:szCs w:val="24"/>
          <w:lang w:val="es-MX" w:eastAsia="es-ES"/>
        </w:rPr>
        <w:t xml:space="preserve"> agotamiento de los recursos internos </w:t>
      </w:r>
      <w:r w:rsidR="00BC2C43" w:rsidRPr="00470C7C">
        <w:rPr>
          <w:rFonts w:eastAsia="Batang" w:cs="Times"/>
          <w:noProof/>
          <w:szCs w:val="24"/>
          <w:lang w:val="es-MX" w:eastAsia="es-ES"/>
        </w:rPr>
        <w:t>corresponde a la etapa</w:t>
      </w:r>
      <w:r w:rsidRPr="00470C7C">
        <w:rPr>
          <w:rFonts w:eastAsia="Batang" w:cs="Times"/>
          <w:noProof/>
          <w:szCs w:val="24"/>
          <w:lang w:val="es-MX" w:eastAsia="es-ES"/>
        </w:rPr>
        <w:t xml:space="preserve"> de admisibilidad</w:t>
      </w:r>
      <w:r w:rsidR="00326762" w:rsidRPr="00470C7C">
        <w:rPr>
          <w:rFonts w:eastAsia="Batang" w:cs="Times"/>
          <w:noProof/>
          <w:szCs w:val="24"/>
          <w:lang w:val="es-MX" w:eastAsia="es-ES"/>
        </w:rPr>
        <w:t xml:space="preserve"> del caso ante la Comisión</w:t>
      </w:r>
      <w:r w:rsidRPr="00470C7C">
        <w:rPr>
          <w:rFonts w:eastAsia="Batang" w:cs="Times"/>
          <w:noProof/>
          <w:szCs w:val="24"/>
          <w:lang w:val="es-MX" w:eastAsia="es-ES"/>
        </w:rPr>
        <w:t xml:space="preserve">. </w:t>
      </w:r>
    </w:p>
    <w:p w14:paraId="2A83811A"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11FC819D"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señalaron que la Corte</w:t>
      </w:r>
      <w:r w:rsidR="00BC2C43" w:rsidRPr="00470C7C">
        <w:rPr>
          <w:rFonts w:eastAsia="Batang" w:cs="Times"/>
          <w:noProof/>
          <w:szCs w:val="24"/>
          <w:lang w:val="es-MX" w:eastAsia="es-ES"/>
        </w:rPr>
        <w:t>,</w:t>
      </w:r>
      <w:r w:rsidRPr="00470C7C">
        <w:rPr>
          <w:rFonts w:eastAsia="Batang" w:cs="Times"/>
          <w:noProof/>
          <w:szCs w:val="24"/>
          <w:lang w:val="es-MX" w:eastAsia="es-ES"/>
        </w:rPr>
        <w:t xml:space="preserve"> de forma continua</w:t>
      </w:r>
      <w:r w:rsidR="00BC2C43" w:rsidRPr="00470C7C">
        <w:rPr>
          <w:rFonts w:eastAsia="Batang" w:cs="Times"/>
          <w:noProof/>
          <w:szCs w:val="24"/>
          <w:lang w:val="es-MX" w:eastAsia="es-ES"/>
        </w:rPr>
        <w:t>,</w:t>
      </w:r>
      <w:r w:rsidRPr="00470C7C">
        <w:rPr>
          <w:rFonts w:eastAsia="Batang" w:cs="Times"/>
          <w:noProof/>
          <w:szCs w:val="24"/>
          <w:lang w:val="es-MX" w:eastAsia="es-ES"/>
        </w:rPr>
        <w:t xml:space="preserve"> ha sostenido que el momento procesal oportuno para que el Estado presente una excepción preliminar por falta de agotamiento de los recursos internos es la fase de admisibilidad del procedimiento ante la Comisión, antes de cualquier consideración en cuanto al fondo. También indicaron que la Corte ha sido consistente en el sentido de que la Comisión tiene autonomía e independencia en el ejercicio de su mandato convencional, al analizar las peticiones sometidas a su conocimiento; y por su parte, la Corte tiene atribuciones para efectuar un control de legalidad de las actuaciones de la Comisión, pero ello no supone necesariamente una revisión del procedimiento, salvo la existencia de error grave que vulnere el derecho de defensa de las partes. Los representantes destacaron que el Estado, al presentar su escrito de contestación ante la Corte, no señaló la existencia de un error grave o el incumplimiento de requisito alguno de procedencia que vulnerara el derecho de defensa del Estado, sino que se limitó a mostrar su desacuerdo en relación con la actuación de la Comisión, lo que hace concluir que no interpuso esta excepción de manera adecuada, dado que ese análisis ocurre en el momento en que la Comisión determina la admisibilidad del caso. </w:t>
      </w:r>
    </w:p>
    <w:p w14:paraId="1F051C3C"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218E61E" w14:textId="77777777" w:rsidR="000A52D5" w:rsidRPr="00470C7C" w:rsidRDefault="004D310D" w:rsidP="000A20C1">
      <w:pPr>
        <w:pStyle w:val="Ttulo3"/>
        <w:rPr>
          <w:noProof/>
          <w:lang w:eastAsia="es-ES"/>
        </w:rPr>
      </w:pPr>
      <w:bookmarkStart w:id="139" w:name="_Toc460432986"/>
      <w:bookmarkStart w:id="140" w:name="_Toc460441917"/>
      <w:bookmarkStart w:id="141" w:name="_Toc462750737"/>
      <w:bookmarkStart w:id="142" w:name="_Toc462751061"/>
      <w:bookmarkStart w:id="143" w:name="_Toc464813913"/>
      <w:r w:rsidRPr="00470C7C">
        <w:rPr>
          <w:noProof/>
          <w:lang w:eastAsia="es-ES"/>
        </w:rPr>
        <w:t>H</w:t>
      </w:r>
      <w:r w:rsidR="000A52D5" w:rsidRPr="00470C7C">
        <w:rPr>
          <w:noProof/>
          <w:lang w:eastAsia="es-ES"/>
        </w:rPr>
        <w:t>.2. Consideraciones de la Corte</w:t>
      </w:r>
      <w:bookmarkEnd w:id="139"/>
      <w:bookmarkEnd w:id="140"/>
      <w:bookmarkEnd w:id="141"/>
      <w:bookmarkEnd w:id="142"/>
      <w:bookmarkEnd w:id="143"/>
    </w:p>
    <w:p w14:paraId="3040C8D8"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4065C5EF"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La Corte ha desarrollado pautas claras para analizar una excepción basada en un presunto incumplimiento del requisito de agotamiento de los recursos internos. Primero, la Corte ha interpretado la excepción como una defensa disponible para el Estado</w:t>
      </w:r>
      <w:r w:rsidR="00471B33" w:rsidRPr="00470C7C">
        <w:rPr>
          <w:rFonts w:eastAsia="Batang" w:cs="Times"/>
          <w:noProof/>
          <w:szCs w:val="24"/>
          <w:lang w:val="es-MX" w:eastAsia="es-ES"/>
        </w:rPr>
        <w:t>,</w:t>
      </w:r>
      <w:r w:rsidRPr="00470C7C">
        <w:rPr>
          <w:rFonts w:eastAsia="Batang" w:cs="Times"/>
          <w:noProof/>
          <w:szCs w:val="24"/>
          <w:lang w:val="es-MX" w:eastAsia="es-ES"/>
        </w:rPr>
        <w:t xml:space="preserve"> y como tal, puede renunciar a ella, ya sea expresa o tácitamente. Segundo, esta excepción debe presentarse oportunamente con el propósito de que el Estado pueda ejercer su derecho a la defensa. Tercero, la Corte ha afirmado que el Estado que presenta esta excepción debe especificar los recursos internos que aún no se han agotado y demostrar que estos recursos son aplicables y efectivos</w:t>
      </w:r>
      <w:r w:rsidRPr="00470C7C">
        <w:rPr>
          <w:rFonts w:eastAsia="Batang" w:cs="Times"/>
          <w:noProof/>
          <w:szCs w:val="24"/>
          <w:vertAlign w:val="superscript"/>
          <w:lang w:val="es-MX" w:eastAsia="es-ES"/>
        </w:rPr>
        <w:footnoteReference w:id="52"/>
      </w:r>
      <w:r w:rsidRPr="00470C7C">
        <w:rPr>
          <w:rFonts w:eastAsia="Batang" w:cs="Times"/>
          <w:noProof/>
          <w:szCs w:val="24"/>
          <w:lang w:val="es-MX" w:eastAsia="es-ES"/>
        </w:rPr>
        <w:t>.</w:t>
      </w:r>
    </w:p>
    <w:p w14:paraId="1B6735E5" w14:textId="77777777" w:rsidR="000A52D5" w:rsidRPr="00470C7C" w:rsidRDefault="000A52D5" w:rsidP="00140440">
      <w:pPr>
        <w:tabs>
          <w:tab w:val="clear" w:pos="4419"/>
          <w:tab w:val="clear" w:pos="8838"/>
        </w:tabs>
        <w:jc w:val="both"/>
        <w:rPr>
          <w:rFonts w:eastAsia="Batang" w:cs="Times"/>
          <w:noProof/>
          <w:szCs w:val="24"/>
          <w:lang w:val="es-ES" w:eastAsia="es-ES"/>
        </w:rPr>
      </w:pPr>
    </w:p>
    <w:p w14:paraId="618B6463" w14:textId="77777777" w:rsidR="000A52D5" w:rsidRPr="00470C7C" w:rsidRDefault="000A52D5" w:rsidP="00140440">
      <w:pPr>
        <w:numPr>
          <w:ilvl w:val="0"/>
          <w:numId w:val="1"/>
        </w:numPr>
        <w:tabs>
          <w:tab w:val="clear" w:pos="4419"/>
          <w:tab w:val="clear" w:pos="8838"/>
        </w:tabs>
        <w:jc w:val="both"/>
        <w:rPr>
          <w:rFonts w:eastAsia="Batang" w:cs="Times"/>
          <w:noProof/>
          <w:szCs w:val="24"/>
          <w:lang w:val="es-ES_tradnl" w:eastAsia="es-ES"/>
        </w:rPr>
      </w:pPr>
      <w:r w:rsidRPr="00470C7C">
        <w:rPr>
          <w:rFonts w:eastAsia="Batang" w:cs="Times"/>
          <w:noProof/>
          <w:szCs w:val="24"/>
          <w:lang w:val="es-ES" w:eastAsia="es-ES"/>
        </w:rPr>
        <w:t>La Corte ha señalado que e</w:t>
      </w:r>
      <w:r w:rsidRPr="00470C7C">
        <w:rPr>
          <w:rFonts w:eastAsia="Batang" w:cs="Times"/>
          <w:noProof/>
          <w:szCs w:val="24"/>
          <w:lang w:val="es-ES_tradnl" w:eastAsia="es-ES"/>
        </w:rPr>
        <w:t xml:space="preserve">l artículo </w:t>
      </w:r>
      <w:r w:rsidRPr="00470C7C">
        <w:rPr>
          <w:rFonts w:eastAsia="Batang" w:cs="Times"/>
          <w:noProof/>
          <w:szCs w:val="24"/>
          <w:lang w:eastAsia="es-ES"/>
        </w:rPr>
        <w:t>46.1.a) de la Convención dispone que</w:t>
      </w:r>
      <w:r w:rsidR="00471B33" w:rsidRPr="00470C7C">
        <w:rPr>
          <w:rFonts w:eastAsia="Batang" w:cs="Times"/>
          <w:noProof/>
          <w:szCs w:val="24"/>
          <w:lang w:eastAsia="es-ES"/>
        </w:rPr>
        <w:t>,</w:t>
      </w:r>
      <w:r w:rsidRPr="00470C7C">
        <w:rPr>
          <w:rFonts w:eastAsia="Batang" w:cs="Times"/>
          <w:noProof/>
          <w:szCs w:val="24"/>
          <w:lang w:eastAsia="es-ES"/>
        </w:rPr>
        <w:t xml:space="preserve"> para determinar la admisibilidad de una petición o comunicación presentada ante la Comisión, de conformidad con los artículos 44 o 45 de la Convención, es necesario que se hayan interpuesto y agotado los recursos de la jurisdicción interna, conforme a los principios del Derecho Internacional generalmente reconocidos</w:t>
      </w:r>
      <w:r w:rsidRPr="00470C7C">
        <w:rPr>
          <w:rFonts w:eastAsia="Batang" w:cs="Times"/>
          <w:noProof/>
          <w:szCs w:val="24"/>
          <w:vertAlign w:val="superscript"/>
          <w:lang w:eastAsia="es-ES"/>
        </w:rPr>
        <w:footnoteReference w:id="53"/>
      </w:r>
      <w:r w:rsidRPr="00470C7C">
        <w:rPr>
          <w:rFonts w:eastAsia="Batang" w:cs="Times"/>
          <w:noProof/>
          <w:szCs w:val="24"/>
          <w:lang w:eastAsia="es-ES"/>
        </w:rPr>
        <w:t xml:space="preserve">. </w:t>
      </w:r>
    </w:p>
    <w:p w14:paraId="3B970DC5" w14:textId="77777777" w:rsidR="000A52D5" w:rsidRPr="00470C7C" w:rsidRDefault="000A52D5" w:rsidP="00140440">
      <w:pPr>
        <w:tabs>
          <w:tab w:val="clear" w:pos="4419"/>
          <w:tab w:val="clear" w:pos="8838"/>
        </w:tabs>
        <w:jc w:val="both"/>
        <w:rPr>
          <w:rFonts w:eastAsia="Batang" w:cs="Times"/>
          <w:noProof/>
          <w:szCs w:val="24"/>
          <w:lang w:val="es-ES_tradnl" w:eastAsia="es-ES"/>
        </w:rPr>
      </w:pPr>
    </w:p>
    <w:p w14:paraId="2CF8164F" w14:textId="77777777" w:rsidR="000A52D5" w:rsidRPr="00470C7C" w:rsidRDefault="000A52D5" w:rsidP="00140440">
      <w:pPr>
        <w:numPr>
          <w:ilvl w:val="0"/>
          <w:numId w:val="1"/>
        </w:numPr>
        <w:tabs>
          <w:tab w:val="clear" w:pos="4419"/>
          <w:tab w:val="clear" w:pos="8838"/>
        </w:tabs>
        <w:jc w:val="both"/>
        <w:rPr>
          <w:rFonts w:eastAsia="Batang" w:cs="Times"/>
          <w:noProof/>
          <w:szCs w:val="24"/>
          <w:lang w:val="es-ES_tradnl" w:eastAsia="es-ES"/>
        </w:rPr>
      </w:pPr>
      <w:r w:rsidRPr="00470C7C">
        <w:rPr>
          <w:rFonts w:eastAsia="Batang" w:cs="Times"/>
          <w:noProof/>
          <w:szCs w:val="24"/>
          <w:lang w:eastAsia="es-ES"/>
        </w:rPr>
        <w:t xml:space="preserve">Por tanto, durante la etapa de admisibilidad </w:t>
      </w:r>
      <w:r w:rsidR="00B36EBC" w:rsidRPr="00470C7C">
        <w:rPr>
          <w:rFonts w:eastAsia="Batang" w:cs="Times"/>
          <w:noProof/>
          <w:szCs w:val="24"/>
          <w:lang w:eastAsia="es-ES"/>
        </w:rPr>
        <w:t xml:space="preserve">del caso ante la Comisión </w:t>
      </w:r>
      <w:r w:rsidRPr="00470C7C">
        <w:rPr>
          <w:rFonts w:eastAsia="Batang" w:cs="Times"/>
          <w:noProof/>
          <w:szCs w:val="24"/>
          <w:lang w:val="es-ES_tradnl" w:eastAsia="es-ES"/>
        </w:rPr>
        <w:t>el Estado debe precisar claramente los recursos que, a su criterio, aún no han sido agotados ante  la necesidad de salvaguardar el principio de igualdad procesal entre las partes que debe regir todo el procedimiento ante el Sistema Interamericano</w:t>
      </w:r>
      <w:r w:rsidRPr="00470C7C">
        <w:rPr>
          <w:rFonts w:eastAsia="Batang" w:cs="Times"/>
          <w:noProof/>
          <w:szCs w:val="24"/>
          <w:vertAlign w:val="superscript"/>
          <w:lang w:val="es-ES_tradnl" w:eastAsia="es-ES"/>
        </w:rPr>
        <w:footnoteReference w:id="54"/>
      </w:r>
      <w:r w:rsidRPr="00470C7C">
        <w:rPr>
          <w:rFonts w:eastAsia="Batang" w:cs="Times"/>
          <w:noProof/>
          <w:szCs w:val="24"/>
          <w:lang w:val="es-ES_tradnl" w:eastAsia="es-ES"/>
        </w:rPr>
        <w:t xml:space="preserve">. Como la Corte ha establecido de manera reiterada, no es tarea de este Tribunal, ni de la Comisión, identificar </w:t>
      </w:r>
      <w:r w:rsidRPr="00470C7C">
        <w:rPr>
          <w:rFonts w:eastAsia="Batang" w:cs="Times"/>
          <w:i/>
          <w:noProof/>
          <w:szCs w:val="24"/>
          <w:lang w:val="es-ES_tradnl" w:eastAsia="es-ES"/>
        </w:rPr>
        <w:t>ex officio</w:t>
      </w:r>
      <w:r w:rsidRPr="00470C7C">
        <w:rPr>
          <w:rFonts w:eastAsia="Batang" w:cs="Times"/>
          <w:noProof/>
          <w:szCs w:val="24"/>
          <w:lang w:val="es-ES_tradnl" w:eastAsia="es-ES"/>
        </w:rPr>
        <w:t xml:space="preserve"> cuáles son los recursos internos pendientes de agotamiento, en razón de que no compete a los órganos internacionales subsanar la falta de precisión de los alegatos del Estado</w:t>
      </w:r>
      <w:r w:rsidRPr="00470C7C">
        <w:rPr>
          <w:rFonts w:eastAsia="Batang" w:cs="Times"/>
          <w:noProof/>
          <w:szCs w:val="24"/>
          <w:vertAlign w:val="superscript"/>
          <w:lang w:val="es-ES_tradnl" w:eastAsia="es-ES"/>
        </w:rPr>
        <w:footnoteReference w:id="55"/>
      </w:r>
      <w:r w:rsidRPr="00470C7C">
        <w:rPr>
          <w:rFonts w:eastAsia="Batang" w:cs="Times"/>
          <w:noProof/>
          <w:szCs w:val="24"/>
          <w:lang w:val="es-ES_tradnl" w:eastAsia="es-ES"/>
        </w:rPr>
        <w:t>. Asimismo, los argumentos que dan contenido a la excepción preliminar interpuesta por el Estado ante la Comisión durante la etapa de admisibilidad deben corresponder a aquellos esgrimidos ante la Corte</w:t>
      </w:r>
      <w:r w:rsidRPr="00470C7C">
        <w:rPr>
          <w:rFonts w:eastAsia="Batang" w:cs="Times"/>
          <w:noProof/>
          <w:szCs w:val="24"/>
          <w:vertAlign w:val="superscript"/>
          <w:lang w:val="es-ES_tradnl" w:eastAsia="es-ES"/>
        </w:rPr>
        <w:footnoteReference w:id="56"/>
      </w:r>
      <w:r w:rsidRPr="00470C7C">
        <w:rPr>
          <w:rFonts w:eastAsia="Batang" w:cs="Times"/>
          <w:noProof/>
          <w:szCs w:val="24"/>
          <w:lang w:val="es-ES_tradnl" w:eastAsia="es-ES"/>
        </w:rPr>
        <w:t xml:space="preserve">. </w:t>
      </w:r>
    </w:p>
    <w:p w14:paraId="447CA31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7C88E997" w14:textId="77777777" w:rsidR="000A52D5" w:rsidRPr="00470C7C" w:rsidRDefault="00724BEA"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A</w:t>
      </w:r>
      <w:r w:rsidR="000A52D5" w:rsidRPr="00470C7C">
        <w:rPr>
          <w:rFonts w:eastAsia="Batang" w:cs="Times"/>
          <w:noProof/>
          <w:szCs w:val="24"/>
          <w:lang w:val="es-MX" w:eastAsia="es-ES"/>
        </w:rPr>
        <w:t xml:space="preserve">l margen de las razones que alega el Estado ante la Corte, relacionadas con la excepción preliminar sobre la falta de agotamiento de los recursos internos, </w:t>
      </w:r>
      <w:r w:rsidRPr="00470C7C">
        <w:rPr>
          <w:rFonts w:eastAsia="Batang" w:cs="Times"/>
          <w:noProof/>
          <w:szCs w:val="24"/>
          <w:lang w:val="es-MX" w:eastAsia="es-ES"/>
        </w:rPr>
        <w:t xml:space="preserve">la Corte </w:t>
      </w:r>
      <w:r w:rsidR="000A52D5" w:rsidRPr="00470C7C">
        <w:rPr>
          <w:rFonts w:eastAsia="Batang" w:cs="Times"/>
          <w:noProof/>
          <w:szCs w:val="24"/>
          <w:lang w:val="es-MX" w:eastAsia="es-ES"/>
        </w:rPr>
        <w:t xml:space="preserve">coincide con lo expuesto por la Comisión, pues observa que al momento de contestar la petición ante la Comisión </w:t>
      </w:r>
      <w:r w:rsidR="000233C0" w:rsidRPr="00470C7C">
        <w:rPr>
          <w:rFonts w:eastAsia="Batang" w:cs="Times"/>
          <w:noProof/>
          <w:szCs w:val="24"/>
          <w:lang w:val="es-MX" w:eastAsia="es-ES"/>
        </w:rPr>
        <w:t xml:space="preserve">la única mención que realizó </w:t>
      </w:r>
      <w:r w:rsidR="000A52D5" w:rsidRPr="00470C7C">
        <w:rPr>
          <w:rFonts w:eastAsia="Batang" w:cs="Times"/>
          <w:noProof/>
          <w:szCs w:val="24"/>
          <w:lang w:val="es-MX" w:eastAsia="es-ES"/>
        </w:rPr>
        <w:t xml:space="preserve">el Estado </w:t>
      </w:r>
      <w:r w:rsidR="000233C0" w:rsidRPr="00470C7C">
        <w:rPr>
          <w:rFonts w:eastAsia="Batang" w:cs="Times"/>
          <w:noProof/>
          <w:szCs w:val="24"/>
          <w:lang w:val="es-MX" w:eastAsia="es-ES"/>
        </w:rPr>
        <w:t xml:space="preserve">acerca del agotamiento de los recursos internos fue </w:t>
      </w:r>
      <w:r w:rsidR="000A52D5" w:rsidRPr="00470C7C">
        <w:rPr>
          <w:rFonts w:eastAsia="Batang" w:cs="Times"/>
          <w:noProof/>
          <w:szCs w:val="24"/>
          <w:lang w:val="es-MX" w:eastAsia="es-ES"/>
        </w:rPr>
        <w:t>que “la demora de la acción penal se justificaba por la complejidad y modificación de la jurisprudencia para conocer los procesos vinculados con sometimiento a condiciones análogas a la esclavitud”</w:t>
      </w:r>
      <w:r w:rsidR="00462B9E" w:rsidRPr="00470C7C">
        <w:rPr>
          <w:rFonts w:eastAsia="Batang" w:cs="Times"/>
          <w:noProof/>
          <w:szCs w:val="24"/>
          <w:lang w:val="es-MX" w:eastAsia="es-ES"/>
        </w:rPr>
        <w:t>; sin que posteriormente presentara más argumentos al respecto</w:t>
      </w:r>
      <w:r w:rsidR="000A52D5" w:rsidRPr="00470C7C">
        <w:rPr>
          <w:rFonts w:eastAsia="Batang" w:cs="Times"/>
          <w:noProof/>
          <w:szCs w:val="24"/>
          <w:lang w:val="es-MX" w:eastAsia="es-ES"/>
        </w:rPr>
        <w:t>.</w:t>
      </w:r>
      <w:r w:rsidR="00462B9E" w:rsidRPr="00470C7C">
        <w:rPr>
          <w:rFonts w:eastAsia="Batang" w:cs="Times"/>
          <w:noProof/>
          <w:szCs w:val="24"/>
          <w:lang w:val="es-MX" w:eastAsia="es-ES"/>
        </w:rPr>
        <w:t xml:space="preserve"> </w:t>
      </w:r>
    </w:p>
    <w:p w14:paraId="2B762FF5" w14:textId="77777777" w:rsidR="000A52D5" w:rsidRPr="00470C7C" w:rsidRDefault="000A52D5" w:rsidP="00140440">
      <w:pPr>
        <w:tabs>
          <w:tab w:val="clear" w:pos="4419"/>
          <w:tab w:val="clear" w:pos="8838"/>
        </w:tabs>
        <w:jc w:val="both"/>
        <w:rPr>
          <w:rFonts w:eastAsia="Batang" w:cs="Times"/>
          <w:noProof/>
          <w:szCs w:val="24"/>
          <w:u w:val="single"/>
          <w:lang w:val="es-MX" w:eastAsia="es-ES"/>
        </w:rPr>
      </w:pPr>
      <w:r w:rsidRPr="00470C7C">
        <w:rPr>
          <w:rFonts w:eastAsia="Batang" w:cs="Times"/>
          <w:noProof/>
          <w:szCs w:val="24"/>
          <w:lang w:val="es-MX" w:eastAsia="es-ES"/>
        </w:rPr>
        <w:t xml:space="preserve"> </w:t>
      </w:r>
    </w:p>
    <w:p w14:paraId="701A8545" w14:textId="77777777" w:rsidR="000A52D5" w:rsidRPr="00470C7C" w:rsidRDefault="000A52D5" w:rsidP="00140440">
      <w:pPr>
        <w:numPr>
          <w:ilvl w:val="0"/>
          <w:numId w:val="1"/>
        </w:numPr>
        <w:tabs>
          <w:tab w:val="clear" w:pos="4419"/>
          <w:tab w:val="clear" w:pos="8838"/>
        </w:tabs>
        <w:jc w:val="both"/>
        <w:rPr>
          <w:rFonts w:eastAsia="Batang" w:cs="Times"/>
          <w:i/>
          <w:noProof/>
          <w:szCs w:val="24"/>
          <w:lang w:val="es-MX" w:eastAsia="es-ES"/>
        </w:rPr>
      </w:pPr>
      <w:r w:rsidRPr="00470C7C">
        <w:rPr>
          <w:rFonts w:eastAsia="Batang" w:cs="Times"/>
          <w:noProof/>
          <w:szCs w:val="24"/>
          <w:lang w:val="es-MX" w:eastAsia="es-ES"/>
        </w:rPr>
        <w:t>La Corte considera que el señalamiento que expuso el Estado ante la Comisión no cumple los requisitos de una excepción preliminar de falta de agotamiento de recursos internos (</w:t>
      </w:r>
      <w:r w:rsidRPr="00470C7C">
        <w:rPr>
          <w:rFonts w:eastAsia="Batang" w:cs="Times"/>
          <w:i/>
          <w:noProof/>
          <w:szCs w:val="24"/>
          <w:lang w:val="es-MX" w:eastAsia="es-ES"/>
        </w:rPr>
        <w:t>supra</w:t>
      </w:r>
      <w:r w:rsidRPr="00470C7C">
        <w:rPr>
          <w:rFonts w:eastAsia="Batang" w:cs="Times"/>
          <w:noProof/>
          <w:szCs w:val="24"/>
          <w:lang w:val="es-MX" w:eastAsia="es-ES"/>
        </w:rPr>
        <w:t xml:space="preserve">, párr. </w:t>
      </w:r>
      <w:r w:rsidR="006665F5" w:rsidRPr="00470C7C">
        <w:rPr>
          <w:rFonts w:eastAsia="Batang" w:cs="Times"/>
          <w:noProof/>
          <w:szCs w:val="24"/>
          <w:lang w:val="es-MX" w:eastAsia="es-ES"/>
        </w:rPr>
        <w:t>89</w:t>
      </w:r>
      <w:r w:rsidRPr="00470C7C">
        <w:rPr>
          <w:rFonts w:eastAsia="Batang" w:cs="Times"/>
          <w:noProof/>
          <w:szCs w:val="24"/>
          <w:lang w:val="es-MX" w:eastAsia="es-ES"/>
        </w:rPr>
        <w:t>).</w:t>
      </w:r>
      <w:r w:rsidRPr="00470C7C">
        <w:rPr>
          <w:rFonts w:eastAsia="Batang" w:cs="Times"/>
          <w:b/>
          <w:noProof/>
          <w:szCs w:val="24"/>
          <w:lang w:val="es-MX" w:eastAsia="es-ES"/>
        </w:rPr>
        <w:t xml:space="preserve"> </w:t>
      </w:r>
      <w:r w:rsidRPr="00470C7C">
        <w:rPr>
          <w:rFonts w:eastAsia="Batang" w:cs="Times"/>
          <w:noProof/>
          <w:szCs w:val="24"/>
          <w:lang w:val="es-MX" w:eastAsia="es-ES"/>
        </w:rPr>
        <w:t xml:space="preserve">Lo anterior porque no especificó </w:t>
      </w:r>
      <w:r w:rsidRPr="00470C7C">
        <w:rPr>
          <w:rFonts w:eastAsia="Batang" w:cs="Times"/>
          <w:noProof/>
          <w:szCs w:val="24"/>
          <w:lang w:val="es-ES" w:eastAsia="es-ES"/>
        </w:rPr>
        <w:t xml:space="preserve">los recursos internos pendientes de agotamiento o que estaban en curso, ni expuso las razones por las que consideraba que eran procedentes y efectivos. </w:t>
      </w:r>
      <w:r w:rsidRPr="00470C7C">
        <w:rPr>
          <w:rFonts w:eastAsia="Batang" w:cs="Times"/>
          <w:noProof/>
          <w:szCs w:val="24"/>
          <w:lang w:val="es-MX" w:eastAsia="es-ES"/>
        </w:rPr>
        <w:t xml:space="preserve">Por tanto, la Corte considera improcedente la excepción preliminar. </w:t>
      </w:r>
    </w:p>
    <w:p w14:paraId="44779BE8" w14:textId="77777777" w:rsidR="000A52D5" w:rsidRPr="00470C7C" w:rsidRDefault="000A52D5" w:rsidP="00140440">
      <w:pPr>
        <w:tabs>
          <w:tab w:val="clear" w:pos="4419"/>
          <w:tab w:val="clear" w:pos="8838"/>
        </w:tabs>
        <w:jc w:val="both"/>
        <w:rPr>
          <w:rFonts w:eastAsia="Batang" w:cs="Times"/>
          <w:i/>
          <w:noProof/>
          <w:szCs w:val="24"/>
          <w:lang w:val="es-MX" w:eastAsia="es-ES"/>
        </w:rPr>
      </w:pPr>
      <w:r w:rsidRPr="00470C7C">
        <w:rPr>
          <w:rFonts w:eastAsia="Batang" w:cs="Times"/>
          <w:i/>
          <w:noProof/>
          <w:szCs w:val="24"/>
          <w:lang w:val="es-MX" w:eastAsia="es-ES"/>
        </w:rPr>
        <w:t xml:space="preserve"> </w:t>
      </w:r>
    </w:p>
    <w:p w14:paraId="3BA4E63A" w14:textId="77777777" w:rsidR="000A52D5" w:rsidRPr="00470C7C" w:rsidRDefault="000A52D5" w:rsidP="008B0BCC">
      <w:pPr>
        <w:pStyle w:val="Ttulo2"/>
        <w:numPr>
          <w:ilvl w:val="0"/>
          <w:numId w:val="15"/>
        </w:numPr>
        <w:rPr>
          <w:rFonts w:eastAsia="Batang"/>
          <w:noProof/>
          <w:lang w:eastAsia="es-ES"/>
        </w:rPr>
      </w:pPr>
      <w:bookmarkStart w:id="144" w:name="_Toc464813914"/>
      <w:r w:rsidRPr="00470C7C">
        <w:rPr>
          <w:rFonts w:eastAsia="Batang"/>
          <w:noProof/>
          <w:lang w:eastAsia="es-ES"/>
        </w:rPr>
        <w:t>Alegada prescripción de la petición ante la Comisión para la reparación de daños morales y materiales</w:t>
      </w:r>
      <w:bookmarkEnd w:id="144"/>
    </w:p>
    <w:p w14:paraId="40211BD5" w14:textId="77777777" w:rsidR="000A52D5" w:rsidRPr="00470C7C" w:rsidRDefault="000A52D5" w:rsidP="00140440">
      <w:pPr>
        <w:tabs>
          <w:tab w:val="clear" w:pos="4419"/>
          <w:tab w:val="clear" w:pos="8838"/>
        </w:tabs>
        <w:jc w:val="both"/>
        <w:rPr>
          <w:rFonts w:eastAsia="Batang" w:cs="Times"/>
          <w:b/>
          <w:noProof/>
          <w:szCs w:val="24"/>
          <w:lang w:val="es-MX" w:eastAsia="es-ES"/>
        </w:rPr>
      </w:pPr>
    </w:p>
    <w:p w14:paraId="51358F46" w14:textId="77777777" w:rsidR="000A52D5" w:rsidRPr="00470C7C" w:rsidRDefault="004D310D" w:rsidP="000A20C1">
      <w:pPr>
        <w:pStyle w:val="Ttulo3"/>
        <w:rPr>
          <w:noProof/>
          <w:lang w:eastAsia="es-ES"/>
        </w:rPr>
      </w:pPr>
      <w:bookmarkStart w:id="145" w:name="_Toc460432988"/>
      <w:bookmarkStart w:id="146" w:name="_Toc460441919"/>
      <w:bookmarkStart w:id="147" w:name="_Toc462750739"/>
      <w:bookmarkStart w:id="148" w:name="_Toc462751063"/>
      <w:bookmarkStart w:id="149" w:name="_Toc464813915"/>
      <w:r w:rsidRPr="00470C7C">
        <w:rPr>
          <w:noProof/>
          <w:lang w:eastAsia="es-ES"/>
        </w:rPr>
        <w:t>I</w:t>
      </w:r>
      <w:r w:rsidR="000A52D5" w:rsidRPr="00470C7C">
        <w:rPr>
          <w:noProof/>
          <w:lang w:eastAsia="es-ES"/>
        </w:rPr>
        <w:t xml:space="preserve">.1. </w:t>
      </w:r>
      <w:r w:rsidR="00246E8D" w:rsidRPr="00470C7C">
        <w:rPr>
          <w:noProof/>
          <w:lang w:eastAsia="es-ES"/>
        </w:rPr>
        <w:t>Alegatos del Estado,</w:t>
      </w:r>
      <w:r w:rsidR="000A52D5" w:rsidRPr="00470C7C">
        <w:rPr>
          <w:noProof/>
          <w:lang w:eastAsia="es-ES"/>
        </w:rPr>
        <w:t xml:space="preserve"> observaciones de la Comisión y de los representantes</w:t>
      </w:r>
      <w:bookmarkEnd w:id="145"/>
      <w:bookmarkEnd w:id="146"/>
      <w:bookmarkEnd w:id="147"/>
      <w:bookmarkEnd w:id="148"/>
      <w:bookmarkEnd w:id="149"/>
    </w:p>
    <w:p w14:paraId="0EC6428E"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66F3F80F"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El </w:t>
      </w:r>
      <w:r w:rsidRPr="00470C7C">
        <w:rPr>
          <w:rFonts w:eastAsia="Batang" w:cs="Times"/>
          <w:b/>
          <w:i/>
          <w:noProof/>
          <w:szCs w:val="24"/>
          <w:lang w:val="es-MX" w:eastAsia="es-ES"/>
        </w:rPr>
        <w:t>Estado</w:t>
      </w:r>
      <w:r w:rsidRPr="00470C7C">
        <w:rPr>
          <w:rFonts w:eastAsia="Batang" w:cs="Times"/>
          <w:noProof/>
          <w:szCs w:val="24"/>
          <w:lang w:val="es-MX" w:eastAsia="es-ES"/>
        </w:rPr>
        <w:t xml:space="preserve"> alegó que en el caso de que la Corte considere que Brasil no cuenta con recursos internos adecuados para promover la reparación de daños morales y materiales, será necesario que reconozca la prescripción de esas pretensiones respecto de las posibles violaciones ocurridas en 1988, 1992, 1996 y 1997. La pretensión de reparación por daños morales y materiales respecto de presuntas violaciones ocurridas en la Hacienda Brasil Verde en 1989 fue formulada a la Comisión 10 años después de que ocurrieron los hechos; la de 1992, 5 años y 8 meses después; la de 1996, 2 años después. La pretensión pecuniaria se planteó ante la Comisión en cuanto a los hechos ocurridos en 1997, más de 1 año y 4 meses después. Por ello, la pretensión de reparación pecuniaria respecto de esas presuntas violaciones deben considerarse prescritas, por haber transcurrido el plazo de prescripción de 6 meses para plantear el caso ante la Comisión.</w:t>
      </w:r>
    </w:p>
    <w:p w14:paraId="38803350"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293D5211"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La </w:t>
      </w:r>
      <w:r w:rsidRPr="00470C7C">
        <w:rPr>
          <w:rFonts w:eastAsia="Batang" w:cs="Times"/>
          <w:b/>
          <w:i/>
          <w:noProof/>
          <w:szCs w:val="24"/>
          <w:lang w:val="es-MX" w:eastAsia="es-ES"/>
        </w:rPr>
        <w:t>Comisión</w:t>
      </w:r>
      <w:r w:rsidRPr="00470C7C">
        <w:rPr>
          <w:rFonts w:eastAsia="Batang" w:cs="Times"/>
          <w:noProof/>
          <w:szCs w:val="24"/>
          <w:lang w:val="es-MX" w:eastAsia="es-ES"/>
        </w:rPr>
        <w:t xml:space="preserve"> indicó que el Estado parte de la premisa de que es necesario agotar recursos internos específicos sobre indemnizaciones si el objetivo es obtener una reparación en el ámbito internacional. De acuerdo con la Comisión no es necesario agotar recursos independientes para obtener una reparación, especialmente si fueron agotados otros medios, por lo que la excepción debe considerarse improcedente.</w:t>
      </w:r>
    </w:p>
    <w:p w14:paraId="30820D06"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083A7786" w14:textId="77777777" w:rsidR="000A52D5" w:rsidRPr="00470C7C" w:rsidRDefault="00990BC8"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Respecto </w:t>
      </w:r>
      <w:r w:rsidR="000A52D5" w:rsidRPr="00470C7C">
        <w:rPr>
          <w:rFonts w:eastAsia="Batang" w:cs="Times"/>
          <w:noProof/>
          <w:szCs w:val="24"/>
          <w:lang w:val="es-MX" w:eastAsia="es-ES"/>
        </w:rPr>
        <w:t>a la prescripción de las pretensiones de investigación penal, la Comisión reiteró que el Estado estuvo enterado de la situación en la Hacienda Brasil Verde, sin haber realizado una investigación penal que pudiera considerarse eficaz; además, estimó que el análisis de la presentación oportuna de la petición debe ser hecho en cuanto al caso en su conjunto y no con base en hechos aislados.</w:t>
      </w:r>
    </w:p>
    <w:p w14:paraId="46080913"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3D50FCFD" w14:textId="77777777" w:rsidR="000A52D5" w:rsidRPr="00470C7C" w:rsidRDefault="000A52D5" w:rsidP="00140440">
      <w:pPr>
        <w:numPr>
          <w:ilvl w:val="0"/>
          <w:numId w:val="1"/>
        </w:numPr>
        <w:tabs>
          <w:tab w:val="clear" w:pos="4419"/>
          <w:tab w:val="clear" w:pos="8838"/>
        </w:tabs>
        <w:jc w:val="both"/>
        <w:rPr>
          <w:rFonts w:eastAsia="Batang" w:cs="Times"/>
          <w:noProof/>
          <w:szCs w:val="24"/>
          <w:lang w:val="es-MX" w:eastAsia="es-ES"/>
        </w:rPr>
      </w:pPr>
      <w:r w:rsidRPr="00470C7C">
        <w:rPr>
          <w:rFonts w:eastAsia="Batang" w:cs="Times"/>
          <w:noProof/>
          <w:szCs w:val="24"/>
          <w:lang w:val="es-MX" w:eastAsia="es-ES"/>
        </w:rPr>
        <w:t xml:space="preserve">Los </w:t>
      </w:r>
      <w:r w:rsidRPr="00470C7C">
        <w:rPr>
          <w:rFonts w:eastAsia="Batang" w:cs="Times"/>
          <w:b/>
          <w:i/>
          <w:noProof/>
          <w:szCs w:val="24"/>
          <w:lang w:val="es-MX" w:eastAsia="es-ES"/>
        </w:rPr>
        <w:t>representantes</w:t>
      </w:r>
      <w:r w:rsidRPr="00470C7C">
        <w:rPr>
          <w:rFonts w:eastAsia="Batang" w:cs="Times"/>
          <w:noProof/>
          <w:szCs w:val="24"/>
          <w:lang w:val="es-MX" w:eastAsia="es-ES"/>
        </w:rPr>
        <w:t xml:space="preserve"> señalaron que la pretensión del Estado carece de sustento, por lo que debe ser retirada la excepción planteada, dado que no la promovió en el momento procesal oportuno y sostiene su argumentación en la falta de agotamiento de los recursos internos. </w:t>
      </w:r>
    </w:p>
    <w:p w14:paraId="67063CA4" w14:textId="77777777" w:rsidR="000A52D5" w:rsidRPr="00470C7C" w:rsidRDefault="000A52D5" w:rsidP="00140440">
      <w:pPr>
        <w:tabs>
          <w:tab w:val="clear" w:pos="4419"/>
          <w:tab w:val="clear" w:pos="8838"/>
        </w:tabs>
        <w:jc w:val="both"/>
        <w:rPr>
          <w:rFonts w:eastAsia="Batang" w:cs="Times"/>
          <w:noProof/>
          <w:szCs w:val="24"/>
          <w:lang w:val="es-MX" w:eastAsia="es-ES"/>
        </w:rPr>
      </w:pPr>
    </w:p>
    <w:p w14:paraId="75514B66" w14:textId="77777777" w:rsidR="000A52D5" w:rsidRPr="00470C7C" w:rsidRDefault="004D310D" w:rsidP="000A20C1">
      <w:pPr>
        <w:pStyle w:val="Ttulo3"/>
        <w:rPr>
          <w:noProof/>
          <w:lang w:eastAsia="es-ES"/>
        </w:rPr>
      </w:pPr>
      <w:bookmarkStart w:id="150" w:name="_Toc460432989"/>
      <w:bookmarkStart w:id="151" w:name="_Toc460441920"/>
      <w:bookmarkStart w:id="152" w:name="_Toc462750740"/>
      <w:bookmarkStart w:id="153" w:name="_Toc462751064"/>
      <w:bookmarkStart w:id="154" w:name="_Toc464813916"/>
      <w:r w:rsidRPr="00470C7C">
        <w:rPr>
          <w:noProof/>
          <w:lang w:eastAsia="es-ES"/>
        </w:rPr>
        <w:t>I</w:t>
      </w:r>
      <w:r w:rsidR="000A52D5" w:rsidRPr="00470C7C">
        <w:rPr>
          <w:noProof/>
          <w:lang w:eastAsia="es-ES"/>
        </w:rPr>
        <w:t>.2. Consideraciones de la Corte</w:t>
      </w:r>
      <w:bookmarkEnd w:id="150"/>
      <w:bookmarkEnd w:id="151"/>
      <w:bookmarkEnd w:id="152"/>
      <w:bookmarkEnd w:id="153"/>
      <w:bookmarkEnd w:id="154"/>
    </w:p>
    <w:p w14:paraId="4AC67081" w14:textId="77777777" w:rsidR="000A52D5" w:rsidRPr="00470C7C" w:rsidRDefault="000A52D5" w:rsidP="00140440">
      <w:pPr>
        <w:tabs>
          <w:tab w:val="clear" w:pos="4419"/>
          <w:tab w:val="clear" w:pos="8838"/>
        </w:tabs>
        <w:jc w:val="both"/>
        <w:rPr>
          <w:rFonts w:eastAsia="Batang" w:cs="Times"/>
          <w:b/>
          <w:i/>
          <w:noProof/>
          <w:szCs w:val="24"/>
          <w:lang w:val="es-MX" w:eastAsia="es-ES"/>
        </w:rPr>
      </w:pPr>
      <w:r w:rsidRPr="00470C7C">
        <w:rPr>
          <w:rFonts w:eastAsia="Batang" w:cs="Times"/>
          <w:b/>
          <w:i/>
          <w:noProof/>
          <w:szCs w:val="24"/>
          <w:lang w:val="es-MX" w:eastAsia="es-ES"/>
        </w:rPr>
        <w:t xml:space="preserve"> </w:t>
      </w:r>
    </w:p>
    <w:p w14:paraId="39D6E6CC" w14:textId="77777777" w:rsidR="000A52D5" w:rsidRPr="00470C7C" w:rsidRDefault="002443D0" w:rsidP="00140440">
      <w:pPr>
        <w:numPr>
          <w:ilvl w:val="0"/>
          <w:numId w:val="1"/>
        </w:numPr>
        <w:tabs>
          <w:tab w:val="clear" w:pos="4419"/>
          <w:tab w:val="clear" w:pos="8838"/>
        </w:tabs>
        <w:jc w:val="both"/>
        <w:rPr>
          <w:rFonts w:eastAsia="Batang" w:cs="Times"/>
          <w:noProof/>
          <w:szCs w:val="24"/>
          <w:lang w:val="es-ES" w:eastAsia="es-ES"/>
        </w:rPr>
      </w:pPr>
      <w:r w:rsidRPr="00470C7C">
        <w:rPr>
          <w:rFonts w:eastAsia="Batang" w:cs="Times"/>
          <w:noProof/>
          <w:szCs w:val="24"/>
          <w:lang w:val="es-MX" w:eastAsia="es-ES"/>
        </w:rPr>
        <w:t>L</w:t>
      </w:r>
      <w:r w:rsidR="000A52D5" w:rsidRPr="00470C7C">
        <w:rPr>
          <w:rFonts w:eastAsia="Batang" w:cs="Times"/>
          <w:noProof/>
          <w:szCs w:val="24"/>
          <w:lang w:val="es-ES" w:eastAsia="es-ES"/>
        </w:rPr>
        <w:t>a excepción preliminar bajo análisis no fue interpuesta por el Estado durante el trámite de admisibilidad de la petición</w:t>
      </w:r>
      <w:r w:rsidR="00B36EBC" w:rsidRPr="00470C7C">
        <w:rPr>
          <w:rFonts w:eastAsia="Batang" w:cs="Times"/>
          <w:noProof/>
          <w:szCs w:val="24"/>
          <w:lang w:val="es-ES" w:eastAsia="es-ES"/>
        </w:rPr>
        <w:t xml:space="preserve"> ante la Comisión</w:t>
      </w:r>
      <w:r w:rsidR="000A52D5" w:rsidRPr="00470C7C">
        <w:rPr>
          <w:rFonts w:eastAsia="Batang" w:cs="Times"/>
          <w:noProof/>
          <w:szCs w:val="24"/>
          <w:lang w:val="es-ES" w:eastAsia="es-ES"/>
        </w:rPr>
        <w:t xml:space="preserve">. En este sentido, </w:t>
      </w:r>
      <w:r w:rsidRPr="00470C7C">
        <w:rPr>
          <w:rFonts w:eastAsia="Batang" w:cs="Times"/>
          <w:noProof/>
          <w:szCs w:val="24"/>
          <w:lang w:val="es-ES" w:eastAsia="es-ES"/>
        </w:rPr>
        <w:t xml:space="preserve">es </w:t>
      </w:r>
      <w:r w:rsidR="000A52D5" w:rsidRPr="00470C7C">
        <w:rPr>
          <w:rFonts w:eastAsia="Batang" w:cs="Times"/>
          <w:noProof/>
          <w:szCs w:val="24"/>
          <w:lang w:val="es-ES" w:eastAsia="es-ES"/>
        </w:rPr>
        <w:t>extemporáne</w:t>
      </w:r>
      <w:r w:rsidRPr="00470C7C">
        <w:rPr>
          <w:rFonts w:eastAsia="Batang" w:cs="Times"/>
          <w:noProof/>
          <w:szCs w:val="24"/>
          <w:lang w:val="es-ES" w:eastAsia="es-ES"/>
        </w:rPr>
        <w:t>a</w:t>
      </w:r>
      <w:r w:rsidR="00EE5C0A" w:rsidRPr="00470C7C">
        <w:rPr>
          <w:rFonts w:eastAsia="Batang" w:cs="Times"/>
          <w:noProof/>
          <w:szCs w:val="24"/>
          <w:lang w:val="es-ES" w:eastAsia="es-ES"/>
        </w:rPr>
        <w:t xml:space="preserve"> en virtud de que no fue alegada</w:t>
      </w:r>
      <w:r w:rsidR="000A52D5" w:rsidRPr="00470C7C">
        <w:rPr>
          <w:rFonts w:eastAsia="Batang" w:cs="Times"/>
          <w:noProof/>
          <w:szCs w:val="24"/>
          <w:lang w:val="es-ES" w:eastAsia="es-ES"/>
        </w:rPr>
        <w:t xml:space="preserve"> en el momento procesal oportuno. </w:t>
      </w:r>
      <w:r w:rsidR="000A52D5" w:rsidRPr="00470C7C">
        <w:rPr>
          <w:rFonts w:eastAsia="Batang" w:cs="Times"/>
          <w:bCs/>
          <w:noProof/>
          <w:szCs w:val="24"/>
          <w:lang w:val="es-ES" w:eastAsia="es-ES"/>
        </w:rPr>
        <w:t>Por tanto, la Corte desestima la excepción preliminar.</w:t>
      </w:r>
    </w:p>
    <w:p w14:paraId="0460E319" w14:textId="77777777" w:rsidR="00BA1ACF" w:rsidRPr="00470C7C" w:rsidRDefault="00BA1ACF" w:rsidP="00140440">
      <w:pPr>
        <w:tabs>
          <w:tab w:val="clear" w:pos="4419"/>
          <w:tab w:val="clear" w:pos="8838"/>
        </w:tabs>
        <w:jc w:val="both"/>
        <w:rPr>
          <w:rFonts w:eastAsia="Batang" w:cs="Times"/>
          <w:noProof/>
          <w:szCs w:val="24"/>
          <w:lang w:val="es-ES_tradnl"/>
        </w:rPr>
      </w:pPr>
      <w:bookmarkStart w:id="155" w:name="_Toc404770059"/>
      <w:bookmarkStart w:id="156" w:name="_Toc416164798"/>
      <w:bookmarkStart w:id="157" w:name="_Toc315133577"/>
      <w:bookmarkStart w:id="158" w:name="_Toc316919762"/>
      <w:bookmarkStart w:id="159" w:name="_Toc329703867"/>
      <w:bookmarkStart w:id="160" w:name="_Toc336638904"/>
      <w:bookmarkStart w:id="161" w:name="_Toc359314424"/>
      <w:bookmarkStart w:id="162" w:name="_Toc361671574"/>
      <w:bookmarkStart w:id="163" w:name="_Toc361671994"/>
      <w:bookmarkStart w:id="164" w:name="_Toc361732791"/>
      <w:bookmarkStart w:id="165" w:name="_Toc361732834"/>
      <w:bookmarkStart w:id="166" w:name="_Toc362456865"/>
      <w:bookmarkStart w:id="167" w:name="_Toc365021394"/>
      <w:bookmarkStart w:id="168" w:name="_Toc369076780"/>
      <w:bookmarkStart w:id="169" w:name="_Toc369989372"/>
      <w:bookmarkStart w:id="170" w:name="_Toc369989459"/>
      <w:bookmarkStart w:id="171" w:name="_Toc36998974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3F4F866" w14:textId="77777777" w:rsidR="00BA1ACF" w:rsidRPr="00470C7C" w:rsidRDefault="00BA1ACF" w:rsidP="00140440">
      <w:pPr>
        <w:keepNext/>
        <w:keepLines/>
        <w:tabs>
          <w:tab w:val="clear" w:pos="4419"/>
          <w:tab w:val="clear" w:pos="8838"/>
        </w:tabs>
        <w:jc w:val="center"/>
        <w:outlineLvl w:val="0"/>
        <w:rPr>
          <w:rFonts w:eastAsia="Times New Roman" w:cs="Verdana"/>
          <w:b/>
          <w:bCs/>
          <w:caps/>
          <w:noProof/>
          <w:snapToGrid w:val="0"/>
          <w:szCs w:val="20"/>
          <w:lang w:eastAsia="es-ES"/>
        </w:rPr>
      </w:pPr>
      <w:bookmarkStart w:id="172" w:name="_Toc464813917"/>
      <w:r w:rsidRPr="00470C7C">
        <w:rPr>
          <w:rFonts w:eastAsia="Times New Roman" w:cs="Verdana"/>
          <w:b/>
          <w:bCs/>
          <w:caps/>
          <w:noProof/>
          <w:snapToGrid w:val="0"/>
          <w:szCs w:val="20"/>
          <w:lang w:eastAsia="es-ES"/>
        </w:rPr>
        <w:t>V</w:t>
      </w:r>
      <w:r w:rsidRPr="00470C7C">
        <w:rPr>
          <w:rFonts w:eastAsia="Times New Roman" w:cs="Verdana"/>
          <w:b/>
          <w:bCs/>
          <w:caps/>
          <w:noProof/>
          <w:snapToGrid w:val="0"/>
          <w:szCs w:val="20"/>
          <w:lang w:eastAsia="es-ES"/>
        </w:rPr>
        <w:br/>
      </w:r>
      <w:bookmarkStart w:id="173" w:name="_Toc311128165"/>
      <w:bookmarkStart w:id="174" w:name="_Toc311128362"/>
      <w:r w:rsidRPr="00470C7C">
        <w:rPr>
          <w:rFonts w:eastAsia="Times New Roman" w:cs="Verdana"/>
          <w:b/>
          <w:bCs/>
          <w:caps/>
          <w:noProof/>
          <w:snapToGrid w:val="0"/>
          <w:szCs w:val="20"/>
          <w:lang w:eastAsia="es-ES"/>
        </w:rPr>
        <w:t>PRUEBA</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7EA0B04" w14:textId="77777777" w:rsidR="00BA1ACF" w:rsidRPr="00470C7C" w:rsidRDefault="00BA1ACF" w:rsidP="00140440">
      <w:pPr>
        <w:tabs>
          <w:tab w:val="clear" w:pos="4419"/>
          <w:tab w:val="clear" w:pos="8838"/>
        </w:tabs>
        <w:jc w:val="both"/>
        <w:rPr>
          <w:rFonts w:eastAsia="Batang" w:cs="Times"/>
          <w:noProof/>
          <w:szCs w:val="24"/>
          <w:lang w:eastAsia="es-ES"/>
        </w:rPr>
      </w:pPr>
    </w:p>
    <w:p w14:paraId="28B56781" w14:textId="77777777" w:rsidR="00BA1ACF" w:rsidRPr="00470C7C" w:rsidRDefault="00BA1ACF" w:rsidP="008B0BCC">
      <w:pPr>
        <w:pStyle w:val="Ttulo2"/>
        <w:numPr>
          <w:ilvl w:val="0"/>
          <w:numId w:val="16"/>
        </w:numPr>
        <w:rPr>
          <w:rFonts w:eastAsia="Batang"/>
          <w:noProof/>
          <w:lang w:eastAsia="es-ES"/>
        </w:rPr>
      </w:pPr>
      <w:bookmarkStart w:id="175" w:name="_Toc400025662"/>
      <w:bookmarkStart w:id="176" w:name="_Toc400031342"/>
      <w:bookmarkStart w:id="177" w:name="_Toc400035794"/>
      <w:bookmarkStart w:id="178" w:name="_Toc400116405"/>
      <w:bookmarkStart w:id="179" w:name="_Toc400118176"/>
      <w:bookmarkStart w:id="180" w:name="_Toc359314425"/>
      <w:bookmarkStart w:id="181" w:name="_Toc361671575"/>
      <w:bookmarkStart w:id="182" w:name="_Toc361671995"/>
      <w:bookmarkStart w:id="183" w:name="_Toc361732792"/>
      <w:bookmarkStart w:id="184" w:name="_Toc361732835"/>
      <w:bookmarkStart w:id="185" w:name="_Toc362456866"/>
      <w:bookmarkStart w:id="186" w:name="_Toc365021395"/>
      <w:bookmarkStart w:id="187" w:name="_Toc369076781"/>
      <w:bookmarkStart w:id="188" w:name="_Toc369989373"/>
      <w:bookmarkStart w:id="189" w:name="_Toc369989460"/>
      <w:bookmarkStart w:id="190" w:name="_Toc369989741"/>
      <w:bookmarkStart w:id="191" w:name="_Toc404770060"/>
      <w:bookmarkStart w:id="192" w:name="_Toc416164799"/>
      <w:bookmarkStart w:id="193" w:name="_Toc460432993"/>
      <w:bookmarkStart w:id="194" w:name="_Toc460441924"/>
      <w:bookmarkStart w:id="195" w:name="_Toc464813918"/>
      <w:bookmarkEnd w:id="175"/>
      <w:bookmarkEnd w:id="176"/>
      <w:bookmarkEnd w:id="177"/>
      <w:bookmarkEnd w:id="178"/>
      <w:bookmarkEnd w:id="179"/>
      <w:r w:rsidRPr="00470C7C">
        <w:rPr>
          <w:rFonts w:eastAsia="Batang"/>
          <w:noProof/>
          <w:lang w:eastAsia="es-ES"/>
        </w:rPr>
        <w:t>Prueba documental, testimonial y pericial</w:t>
      </w:r>
      <w:bookmarkStart w:id="196" w:name="_Ref30514567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2508B8A" w14:textId="77777777" w:rsidR="00BA1ACF" w:rsidRPr="00470C7C" w:rsidRDefault="00BA1ACF" w:rsidP="00140440">
      <w:pPr>
        <w:tabs>
          <w:tab w:val="clear" w:pos="4419"/>
          <w:tab w:val="clear" w:pos="8838"/>
        </w:tabs>
        <w:jc w:val="both"/>
        <w:rPr>
          <w:rFonts w:eastAsia="Batang" w:cs="Times"/>
          <w:noProof/>
          <w:szCs w:val="24"/>
          <w:lang w:val="es-ES_tradnl"/>
        </w:rPr>
      </w:pPr>
    </w:p>
    <w:p w14:paraId="77061881" w14:textId="77777777" w:rsidR="00B81840" w:rsidRPr="00470C7C" w:rsidRDefault="00BA1ACF" w:rsidP="00140440">
      <w:pPr>
        <w:numPr>
          <w:ilvl w:val="0"/>
          <w:numId w:val="1"/>
        </w:numPr>
        <w:tabs>
          <w:tab w:val="clear" w:pos="4419"/>
          <w:tab w:val="clear" w:pos="8838"/>
        </w:tabs>
        <w:jc w:val="both"/>
        <w:rPr>
          <w:rFonts w:eastAsia="Batang" w:cs="Times"/>
          <w:noProof/>
          <w:szCs w:val="24"/>
          <w:lang w:val="es-ES_tradnl"/>
        </w:rPr>
      </w:pPr>
      <w:r w:rsidRPr="00470C7C">
        <w:rPr>
          <w:rFonts w:eastAsia="Batang" w:cs="Times"/>
          <w:noProof/>
          <w:szCs w:val="24"/>
          <w:lang w:val="es-ES_tradnl" w:eastAsia="es-ES"/>
        </w:rPr>
        <w:t>Este Tribunal recibió diversos d</w:t>
      </w:r>
      <w:r w:rsidRPr="00470C7C">
        <w:rPr>
          <w:rFonts w:eastAsia="Batang" w:cs="Times"/>
          <w:noProof/>
          <w:szCs w:val="24"/>
          <w:lang w:val="es-ES_tradnl"/>
        </w:rPr>
        <w:t>o</w:t>
      </w:r>
      <w:r w:rsidRPr="00470C7C">
        <w:rPr>
          <w:rFonts w:eastAsia="Batang" w:cs="Times"/>
          <w:noProof/>
          <w:szCs w:val="24"/>
          <w:lang w:val="es-ES_tradnl" w:eastAsia="es-ES"/>
        </w:rPr>
        <w:t>c</w:t>
      </w:r>
      <w:r w:rsidRPr="00470C7C">
        <w:rPr>
          <w:rFonts w:eastAsia="Batang" w:cs="Times"/>
          <w:noProof/>
          <w:szCs w:val="24"/>
          <w:lang w:val="es-ES_tradnl"/>
        </w:rPr>
        <w:t>umentos present</w:t>
      </w:r>
      <w:r w:rsidRPr="00470C7C">
        <w:rPr>
          <w:rFonts w:eastAsia="Calibri" w:cs="Verdana"/>
          <w:noProof/>
          <w:spacing w:val="-2"/>
          <w:szCs w:val="20"/>
          <w:lang w:val="es-ES_tradnl" w:eastAsia="es-MX"/>
        </w:rPr>
        <w:t>ados como pru</w:t>
      </w:r>
      <w:r w:rsidRPr="00470C7C">
        <w:rPr>
          <w:rFonts w:eastAsia="Batang" w:cs="Times"/>
          <w:noProof/>
          <w:szCs w:val="24"/>
          <w:lang w:val="es-ES_tradnl"/>
        </w:rPr>
        <w:t>eba por la Comisión y las partes, adjuntos a sus escritos principales (</w:t>
      </w:r>
      <w:r w:rsidRPr="00470C7C">
        <w:rPr>
          <w:rFonts w:eastAsia="Batang" w:cs="Times"/>
          <w:i/>
          <w:noProof/>
          <w:szCs w:val="24"/>
          <w:lang w:val="es-ES_tradnl"/>
        </w:rPr>
        <w:t xml:space="preserve">supra </w:t>
      </w:r>
      <w:r w:rsidRPr="00470C7C">
        <w:rPr>
          <w:rFonts w:eastAsia="Batang" w:cs="Times"/>
          <w:noProof/>
          <w:szCs w:val="24"/>
          <w:lang w:val="es-ES_tradnl"/>
        </w:rPr>
        <w:t xml:space="preserve">párrs. </w:t>
      </w:r>
      <w:r w:rsidR="00D21AFC" w:rsidRPr="00470C7C">
        <w:rPr>
          <w:rFonts w:eastAsia="Batang" w:cs="Times"/>
          <w:noProof/>
          <w:szCs w:val="24"/>
          <w:lang w:val="es-ES_tradnl"/>
        </w:rPr>
        <w:t xml:space="preserve">3, 6 y 7). </w:t>
      </w:r>
      <w:r w:rsidRPr="00470C7C">
        <w:rPr>
          <w:rFonts w:eastAsia="Batang" w:cs="Times"/>
          <w:noProof/>
          <w:szCs w:val="24"/>
          <w:lang w:val="es-ES_tradnl"/>
        </w:rPr>
        <w:t>Además, la Corte recibió la</w:t>
      </w:r>
      <w:r w:rsidR="00416610" w:rsidRPr="00470C7C">
        <w:rPr>
          <w:rFonts w:eastAsia="Batang" w:cs="Times"/>
          <w:noProof/>
          <w:szCs w:val="24"/>
          <w:lang w:val="es-ES_tradnl"/>
        </w:rPr>
        <w:t>s</w:t>
      </w:r>
      <w:r w:rsidRPr="00470C7C">
        <w:rPr>
          <w:rFonts w:eastAsia="Batang" w:cs="Times"/>
          <w:noProof/>
          <w:szCs w:val="24"/>
          <w:lang w:val="es-ES_tradnl"/>
        </w:rPr>
        <w:t xml:space="preserve"> declaraciones rendidas ante fedatario público </w:t>
      </w:r>
      <w:r w:rsidRPr="00470C7C">
        <w:rPr>
          <w:rFonts w:eastAsia="Batang" w:cs="Times"/>
          <w:i/>
          <w:noProof/>
          <w:szCs w:val="24"/>
          <w:lang w:val="es-ES_tradnl"/>
        </w:rPr>
        <w:t>(</w:t>
      </w:r>
      <w:r w:rsidR="003607A5" w:rsidRPr="00470C7C">
        <w:rPr>
          <w:rFonts w:eastAsia="Batang" w:cs="Times"/>
          <w:i/>
          <w:noProof/>
          <w:szCs w:val="24"/>
          <w:lang w:val="es-ES_tradnl"/>
        </w:rPr>
        <w:t>afidá</w:t>
      </w:r>
      <w:r w:rsidR="00FA2450" w:rsidRPr="00470C7C">
        <w:rPr>
          <w:rFonts w:eastAsia="Batang" w:cs="Times"/>
          <w:i/>
          <w:noProof/>
          <w:szCs w:val="24"/>
          <w:lang w:val="es-ES_tradnl"/>
        </w:rPr>
        <w:t>vit</w:t>
      </w:r>
      <w:r w:rsidRPr="00470C7C">
        <w:rPr>
          <w:rFonts w:eastAsia="Batang" w:cs="Times"/>
          <w:i/>
          <w:noProof/>
          <w:szCs w:val="24"/>
          <w:lang w:val="es-ES_tradnl"/>
        </w:rPr>
        <w:t>)</w:t>
      </w:r>
      <w:r w:rsidRPr="00470C7C">
        <w:rPr>
          <w:rFonts w:eastAsia="Batang" w:cs="Times"/>
          <w:noProof/>
          <w:szCs w:val="24"/>
          <w:lang w:val="es-ES_tradnl"/>
        </w:rPr>
        <w:t xml:space="preserve"> </w:t>
      </w:r>
      <w:r w:rsidR="006B6971" w:rsidRPr="00470C7C">
        <w:rPr>
          <w:rFonts w:eastAsia="Batang" w:cs="Times"/>
          <w:noProof/>
          <w:szCs w:val="24"/>
          <w:lang w:val="es-ES_tradnl"/>
        </w:rPr>
        <w:t xml:space="preserve">por </w:t>
      </w:r>
      <w:proofErr w:type="spellStart"/>
      <w:r w:rsidR="00750080" w:rsidRPr="00470C7C">
        <w:rPr>
          <w:rFonts w:cs="Verdana"/>
          <w:iCs/>
          <w:szCs w:val="20"/>
        </w:rPr>
        <w:t>Maria</w:t>
      </w:r>
      <w:proofErr w:type="spellEnd"/>
      <w:r w:rsidR="00750080" w:rsidRPr="00470C7C">
        <w:rPr>
          <w:rFonts w:cs="Verdana"/>
          <w:iCs/>
          <w:szCs w:val="20"/>
        </w:rPr>
        <w:t xml:space="preserve"> do Socorro Canuto</w:t>
      </w:r>
      <w:r w:rsidR="0010513B" w:rsidRPr="00470C7C">
        <w:rPr>
          <w:rFonts w:cs="Verdana"/>
          <w:iCs/>
          <w:szCs w:val="20"/>
        </w:rPr>
        <w:t>,</w:t>
      </w:r>
      <w:r w:rsidR="00606616" w:rsidRPr="00470C7C">
        <w:rPr>
          <w:rFonts w:cs="Verdana"/>
          <w:b/>
          <w:iCs/>
          <w:szCs w:val="20"/>
        </w:rPr>
        <w:t xml:space="preserve"> </w:t>
      </w:r>
      <w:r w:rsidR="00606616" w:rsidRPr="00470C7C">
        <w:rPr>
          <w:rFonts w:cs="Verdana"/>
          <w:iCs/>
          <w:szCs w:val="20"/>
        </w:rPr>
        <w:t>José Armando Fraga Diniz Guerra</w:t>
      </w:r>
      <w:r w:rsidR="0010513B" w:rsidRPr="00470C7C">
        <w:rPr>
          <w:rFonts w:cs="Verdana"/>
          <w:iCs/>
          <w:szCs w:val="20"/>
        </w:rPr>
        <w:t>,</w:t>
      </w:r>
      <w:r w:rsidR="00606616" w:rsidRPr="00470C7C">
        <w:rPr>
          <w:rFonts w:cs="Verdana"/>
          <w:b/>
          <w:iCs/>
          <w:szCs w:val="20"/>
        </w:rPr>
        <w:t xml:space="preserve"> </w:t>
      </w:r>
      <w:r w:rsidR="00170062" w:rsidRPr="00470C7C">
        <w:rPr>
          <w:rFonts w:cs="Verdana"/>
          <w:iCs/>
          <w:szCs w:val="20"/>
        </w:rPr>
        <w:t xml:space="preserve">Ricardo </w:t>
      </w:r>
      <w:proofErr w:type="spellStart"/>
      <w:r w:rsidR="00170062" w:rsidRPr="00470C7C">
        <w:rPr>
          <w:rFonts w:cs="Verdana"/>
          <w:iCs/>
          <w:szCs w:val="20"/>
        </w:rPr>
        <w:t>Rezende</w:t>
      </w:r>
      <w:proofErr w:type="spellEnd"/>
      <w:r w:rsidR="00170062" w:rsidRPr="00470C7C">
        <w:rPr>
          <w:rFonts w:cs="Verdana"/>
          <w:iCs/>
          <w:szCs w:val="20"/>
        </w:rPr>
        <w:t xml:space="preserve"> Figueira</w:t>
      </w:r>
      <w:r w:rsidR="0010513B" w:rsidRPr="00470C7C">
        <w:rPr>
          <w:rFonts w:cs="Verdana"/>
          <w:iCs/>
          <w:szCs w:val="20"/>
        </w:rPr>
        <w:t>,</w:t>
      </w:r>
      <w:r w:rsidR="00170062" w:rsidRPr="00470C7C">
        <w:rPr>
          <w:rFonts w:cs="Verdana"/>
          <w:iCs/>
          <w:szCs w:val="20"/>
        </w:rPr>
        <w:t xml:space="preserve"> </w:t>
      </w:r>
      <w:proofErr w:type="spellStart"/>
      <w:r w:rsidR="00170062" w:rsidRPr="00470C7C">
        <w:rPr>
          <w:rFonts w:cs="Verdana"/>
          <w:iCs/>
          <w:szCs w:val="20"/>
        </w:rPr>
        <w:t>Valderez</w:t>
      </w:r>
      <w:proofErr w:type="spellEnd"/>
      <w:r w:rsidR="00170062" w:rsidRPr="00470C7C">
        <w:rPr>
          <w:rFonts w:cs="Verdana"/>
          <w:iCs/>
          <w:szCs w:val="20"/>
        </w:rPr>
        <w:t xml:space="preserve"> </w:t>
      </w:r>
      <w:proofErr w:type="spellStart"/>
      <w:r w:rsidR="00170062" w:rsidRPr="00470C7C">
        <w:rPr>
          <w:rFonts w:cs="Verdana"/>
          <w:iCs/>
          <w:szCs w:val="20"/>
        </w:rPr>
        <w:t>Maria</w:t>
      </w:r>
      <w:proofErr w:type="spellEnd"/>
      <w:r w:rsidR="00170062" w:rsidRPr="00470C7C">
        <w:rPr>
          <w:rFonts w:cs="Verdana"/>
          <w:iCs/>
          <w:szCs w:val="20"/>
        </w:rPr>
        <w:t xml:space="preserve"> Monte </w:t>
      </w:r>
      <w:proofErr w:type="spellStart"/>
      <w:r w:rsidR="00170062" w:rsidRPr="00470C7C">
        <w:rPr>
          <w:rFonts w:cs="Verdana"/>
          <w:iCs/>
          <w:szCs w:val="20"/>
        </w:rPr>
        <w:t>Rodrigues</w:t>
      </w:r>
      <w:proofErr w:type="spellEnd"/>
      <w:r w:rsidR="0010513B" w:rsidRPr="00470C7C">
        <w:rPr>
          <w:rFonts w:cs="Verdana"/>
          <w:iCs/>
          <w:szCs w:val="20"/>
        </w:rPr>
        <w:t>,</w:t>
      </w:r>
      <w:r w:rsidR="00170062" w:rsidRPr="00470C7C">
        <w:rPr>
          <w:rFonts w:cs="Verdana"/>
          <w:iCs/>
          <w:szCs w:val="20"/>
        </w:rPr>
        <w:t xml:space="preserve"> Carlos Enrique </w:t>
      </w:r>
      <w:proofErr w:type="spellStart"/>
      <w:r w:rsidR="00170062" w:rsidRPr="00470C7C">
        <w:rPr>
          <w:rFonts w:cs="Verdana"/>
          <w:iCs/>
          <w:szCs w:val="20"/>
        </w:rPr>
        <w:t>Borildo</w:t>
      </w:r>
      <w:proofErr w:type="spellEnd"/>
      <w:r w:rsidR="00170062" w:rsidRPr="00470C7C">
        <w:rPr>
          <w:rFonts w:cs="Verdana"/>
          <w:iCs/>
          <w:szCs w:val="20"/>
        </w:rPr>
        <w:t xml:space="preserve"> Haddad</w:t>
      </w:r>
      <w:r w:rsidR="0010513B" w:rsidRPr="00470C7C">
        <w:rPr>
          <w:rFonts w:cs="Verdana"/>
          <w:iCs/>
          <w:szCs w:val="20"/>
        </w:rPr>
        <w:t>,</w:t>
      </w:r>
      <w:r w:rsidR="00170062" w:rsidRPr="00470C7C">
        <w:rPr>
          <w:rFonts w:cs="Verdana"/>
          <w:iCs/>
          <w:szCs w:val="20"/>
        </w:rPr>
        <w:t xml:space="preserve"> Luis </w:t>
      </w:r>
      <w:proofErr w:type="spellStart"/>
      <w:r w:rsidR="00D60654" w:rsidRPr="00470C7C">
        <w:rPr>
          <w:rFonts w:cs="Verdana"/>
          <w:iCs/>
          <w:szCs w:val="20"/>
        </w:rPr>
        <w:t>Antônio</w:t>
      </w:r>
      <w:proofErr w:type="spellEnd"/>
      <w:r w:rsidR="00D60654" w:rsidRPr="00470C7C">
        <w:rPr>
          <w:rFonts w:cs="Verdana"/>
          <w:iCs/>
          <w:szCs w:val="20"/>
        </w:rPr>
        <w:t xml:space="preserve"> </w:t>
      </w:r>
      <w:r w:rsidR="00170062" w:rsidRPr="00470C7C">
        <w:rPr>
          <w:rFonts w:cs="Verdana"/>
          <w:iCs/>
          <w:szCs w:val="20"/>
        </w:rPr>
        <w:t>Camargo de Melo</w:t>
      </w:r>
      <w:r w:rsidR="0010513B" w:rsidRPr="00470C7C">
        <w:rPr>
          <w:rFonts w:cs="Verdana"/>
          <w:iCs/>
          <w:szCs w:val="20"/>
        </w:rPr>
        <w:t>,</w:t>
      </w:r>
      <w:r w:rsidR="00170062" w:rsidRPr="00470C7C">
        <w:rPr>
          <w:rFonts w:cs="Verdana"/>
          <w:iCs/>
          <w:szCs w:val="20"/>
        </w:rPr>
        <w:t xml:space="preserve"> Mike </w:t>
      </w:r>
      <w:proofErr w:type="spellStart"/>
      <w:r w:rsidR="00170062" w:rsidRPr="00470C7C">
        <w:rPr>
          <w:rFonts w:cs="Verdana"/>
          <w:iCs/>
          <w:szCs w:val="20"/>
        </w:rPr>
        <w:t>Dottridge</w:t>
      </w:r>
      <w:proofErr w:type="spellEnd"/>
      <w:r w:rsidR="0010513B" w:rsidRPr="00470C7C">
        <w:rPr>
          <w:rFonts w:cs="Verdana"/>
          <w:iCs/>
          <w:szCs w:val="20"/>
        </w:rPr>
        <w:t>,</w:t>
      </w:r>
      <w:r w:rsidR="00170062" w:rsidRPr="00470C7C">
        <w:rPr>
          <w:rFonts w:cs="Verdana"/>
          <w:iCs/>
          <w:szCs w:val="20"/>
        </w:rPr>
        <w:t xml:space="preserve"> Marcus </w:t>
      </w:r>
      <w:proofErr w:type="spellStart"/>
      <w:r w:rsidR="00170062" w:rsidRPr="00470C7C">
        <w:rPr>
          <w:rFonts w:cs="Verdana"/>
          <w:iCs/>
          <w:szCs w:val="20"/>
        </w:rPr>
        <w:t>Menezes</w:t>
      </w:r>
      <w:proofErr w:type="spellEnd"/>
      <w:r w:rsidR="00170062" w:rsidRPr="00470C7C">
        <w:rPr>
          <w:rFonts w:cs="Verdana"/>
          <w:iCs/>
          <w:szCs w:val="20"/>
        </w:rPr>
        <w:t xml:space="preserve"> </w:t>
      </w:r>
      <w:proofErr w:type="spellStart"/>
      <w:r w:rsidR="00170062" w:rsidRPr="00470C7C">
        <w:rPr>
          <w:rFonts w:cs="Verdana"/>
          <w:iCs/>
          <w:szCs w:val="20"/>
        </w:rPr>
        <w:t>Barberino</w:t>
      </w:r>
      <w:proofErr w:type="spellEnd"/>
      <w:r w:rsidR="00170062" w:rsidRPr="00470C7C">
        <w:rPr>
          <w:rFonts w:cs="Verdana"/>
          <w:iCs/>
          <w:szCs w:val="20"/>
        </w:rPr>
        <w:t xml:space="preserve"> </w:t>
      </w:r>
      <w:proofErr w:type="spellStart"/>
      <w:r w:rsidR="00170062" w:rsidRPr="00470C7C">
        <w:rPr>
          <w:rFonts w:cs="Verdana"/>
          <w:iCs/>
          <w:szCs w:val="20"/>
        </w:rPr>
        <w:t>Mendes</w:t>
      </w:r>
      <w:proofErr w:type="spellEnd"/>
      <w:r w:rsidR="0010513B" w:rsidRPr="00470C7C">
        <w:rPr>
          <w:rFonts w:cs="Verdana"/>
          <w:iCs/>
          <w:szCs w:val="20"/>
        </w:rPr>
        <w:t>,</w:t>
      </w:r>
      <w:r w:rsidR="00170062" w:rsidRPr="00470C7C">
        <w:rPr>
          <w:rFonts w:cs="Verdana"/>
          <w:iCs/>
          <w:szCs w:val="20"/>
        </w:rPr>
        <w:t xml:space="preserve"> Michael Freitas </w:t>
      </w:r>
      <w:proofErr w:type="spellStart"/>
      <w:r w:rsidR="00170062" w:rsidRPr="00470C7C">
        <w:rPr>
          <w:rFonts w:cs="Verdana"/>
          <w:iCs/>
          <w:szCs w:val="20"/>
        </w:rPr>
        <w:t>Mohallem</w:t>
      </w:r>
      <w:proofErr w:type="spellEnd"/>
      <w:r w:rsidR="0010513B" w:rsidRPr="00470C7C">
        <w:rPr>
          <w:rFonts w:cs="Verdana"/>
          <w:iCs/>
          <w:szCs w:val="20"/>
        </w:rPr>
        <w:t>,</w:t>
      </w:r>
      <w:r w:rsidR="00170062" w:rsidRPr="00470C7C">
        <w:rPr>
          <w:rFonts w:cs="Verdana"/>
          <w:iCs/>
          <w:szCs w:val="20"/>
        </w:rPr>
        <w:t xml:space="preserve"> Silvio </w:t>
      </w:r>
      <w:proofErr w:type="spellStart"/>
      <w:r w:rsidR="00170062" w:rsidRPr="00470C7C">
        <w:rPr>
          <w:rFonts w:cs="Verdana"/>
          <w:iCs/>
          <w:szCs w:val="20"/>
        </w:rPr>
        <w:t>Beltramelli</w:t>
      </w:r>
      <w:proofErr w:type="spellEnd"/>
      <w:r w:rsidR="00170062" w:rsidRPr="00470C7C">
        <w:rPr>
          <w:rFonts w:cs="Verdana"/>
          <w:iCs/>
          <w:szCs w:val="20"/>
        </w:rPr>
        <w:t xml:space="preserve"> Neto</w:t>
      </w:r>
      <w:r w:rsidR="0010513B" w:rsidRPr="00470C7C">
        <w:rPr>
          <w:rFonts w:cs="Verdana"/>
          <w:iCs/>
          <w:szCs w:val="20"/>
        </w:rPr>
        <w:t>,</w:t>
      </w:r>
      <w:r w:rsidR="00170062" w:rsidRPr="00470C7C">
        <w:rPr>
          <w:rFonts w:cs="Verdana"/>
          <w:iCs/>
          <w:szCs w:val="20"/>
        </w:rPr>
        <w:t xml:space="preserve"> </w:t>
      </w:r>
      <w:proofErr w:type="spellStart"/>
      <w:r w:rsidR="00170062" w:rsidRPr="00470C7C">
        <w:rPr>
          <w:rFonts w:cs="Verdana"/>
          <w:iCs/>
          <w:szCs w:val="20"/>
        </w:rPr>
        <w:t>Jonas</w:t>
      </w:r>
      <w:proofErr w:type="spellEnd"/>
      <w:r w:rsidR="00170062" w:rsidRPr="00470C7C">
        <w:rPr>
          <w:rFonts w:cs="Verdana"/>
          <w:iCs/>
          <w:szCs w:val="20"/>
        </w:rPr>
        <w:t xml:space="preserve"> </w:t>
      </w:r>
      <w:proofErr w:type="spellStart"/>
      <w:r w:rsidR="00170062" w:rsidRPr="00470C7C">
        <w:rPr>
          <w:rFonts w:cs="Verdana"/>
          <w:iCs/>
          <w:szCs w:val="20"/>
        </w:rPr>
        <w:t>Ratier</w:t>
      </w:r>
      <w:proofErr w:type="spellEnd"/>
      <w:r w:rsidR="00170062" w:rsidRPr="00470C7C">
        <w:rPr>
          <w:rFonts w:cs="Verdana"/>
          <w:iCs/>
          <w:szCs w:val="20"/>
        </w:rPr>
        <w:t xml:space="preserve"> Moreno</w:t>
      </w:r>
      <w:r w:rsidR="0010513B" w:rsidRPr="00470C7C">
        <w:rPr>
          <w:rFonts w:cs="Verdana"/>
          <w:iCs/>
          <w:szCs w:val="20"/>
        </w:rPr>
        <w:t>,</w:t>
      </w:r>
      <w:r w:rsidR="00170062" w:rsidRPr="00470C7C">
        <w:rPr>
          <w:rFonts w:cs="Verdana"/>
          <w:iCs/>
          <w:szCs w:val="20"/>
        </w:rPr>
        <w:t xml:space="preserve"> Marcelo Gonçalves Campos</w:t>
      </w:r>
      <w:r w:rsidR="0010513B" w:rsidRPr="00470C7C">
        <w:rPr>
          <w:rFonts w:cs="Verdana"/>
          <w:iCs/>
          <w:szCs w:val="20"/>
        </w:rPr>
        <w:t>,</w:t>
      </w:r>
      <w:r w:rsidR="00170062" w:rsidRPr="00470C7C">
        <w:rPr>
          <w:rFonts w:cs="Verdana"/>
          <w:iCs/>
          <w:szCs w:val="20"/>
        </w:rPr>
        <w:t xml:space="preserve"> </w:t>
      </w:r>
      <w:proofErr w:type="spellStart"/>
      <w:r w:rsidR="00170062" w:rsidRPr="00470C7C">
        <w:rPr>
          <w:rFonts w:cs="Verdana"/>
          <w:iCs/>
          <w:szCs w:val="20"/>
        </w:rPr>
        <w:t>Marinalva</w:t>
      </w:r>
      <w:proofErr w:type="spellEnd"/>
      <w:r w:rsidR="00170062" w:rsidRPr="00470C7C">
        <w:rPr>
          <w:rFonts w:cs="Verdana"/>
          <w:iCs/>
          <w:szCs w:val="20"/>
        </w:rPr>
        <w:t xml:space="preserve"> Dantas</w:t>
      </w:r>
      <w:r w:rsidR="00606616" w:rsidRPr="00470C7C">
        <w:rPr>
          <w:rFonts w:cs="Verdana"/>
          <w:iCs/>
          <w:szCs w:val="20"/>
        </w:rPr>
        <w:t xml:space="preserve"> </w:t>
      </w:r>
      <w:r w:rsidR="00170062" w:rsidRPr="00470C7C">
        <w:rPr>
          <w:rFonts w:cs="Verdana"/>
          <w:iCs/>
          <w:szCs w:val="20"/>
        </w:rPr>
        <w:t>y Patricia Souto Audi</w:t>
      </w:r>
      <w:r w:rsidR="00FA2450" w:rsidRPr="00470C7C">
        <w:rPr>
          <w:rFonts w:eastAsia="Batang" w:cs="Times"/>
          <w:noProof/>
          <w:szCs w:val="24"/>
          <w:lang w:val="es-ES_tradnl"/>
        </w:rPr>
        <w:t xml:space="preserve">. </w:t>
      </w:r>
    </w:p>
    <w:p w14:paraId="3FE6F1DE" w14:textId="77777777" w:rsidR="00B81840" w:rsidRPr="00470C7C" w:rsidRDefault="00B81840" w:rsidP="00140440">
      <w:pPr>
        <w:tabs>
          <w:tab w:val="clear" w:pos="4419"/>
          <w:tab w:val="clear" w:pos="8838"/>
        </w:tabs>
        <w:jc w:val="both"/>
        <w:rPr>
          <w:rFonts w:eastAsia="Batang" w:cs="Times"/>
          <w:noProof/>
          <w:szCs w:val="24"/>
          <w:lang w:val="es-ES_tradnl"/>
        </w:rPr>
      </w:pPr>
    </w:p>
    <w:p w14:paraId="19D9A5CC" w14:textId="77777777" w:rsidR="00B81840" w:rsidRPr="00470C7C" w:rsidRDefault="00FA2450" w:rsidP="00140440">
      <w:pPr>
        <w:numPr>
          <w:ilvl w:val="0"/>
          <w:numId w:val="1"/>
        </w:numPr>
        <w:tabs>
          <w:tab w:val="clear" w:pos="4419"/>
          <w:tab w:val="clear" w:pos="8838"/>
        </w:tabs>
        <w:jc w:val="both"/>
        <w:rPr>
          <w:rFonts w:eastAsia="Batang" w:cs="Times"/>
          <w:noProof/>
          <w:szCs w:val="24"/>
          <w:lang w:val="es-ES_tradnl"/>
        </w:rPr>
      </w:pPr>
      <w:r w:rsidRPr="00470C7C">
        <w:rPr>
          <w:rFonts w:eastAsia="Batang" w:cs="Times"/>
          <w:noProof/>
          <w:szCs w:val="24"/>
          <w:lang w:val="es-ES_tradnl"/>
        </w:rPr>
        <w:t>En cuanto a la prueba rendida durante la audiencia pública, la Corte escuchó las declaraciónes testimoniales de Leonardo Sakamoto y Ana Paula de Souza, y los perita</w:t>
      </w:r>
      <w:r w:rsidR="00293FFD" w:rsidRPr="00470C7C">
        <w:rPr>
          <w:rFonts w:eastAsia="Batang" w:cs="Times"/>
          <w:noProof/>
          <w:szCs w:val="24"/>
          <w:lang w:val="es-ES_tradnl"/>
        </w:rPr>
        <w:t>jes de César Rodríguez Gara</w:t>
      </w:r>
      <w:r w:rsidR="00B56FD0" w:rsidRPr="00470C7C">
        <w:rPr>
          <w:rFonts w:eastAsia="Batang" w:cs="Times"/>
          <w:noProof/>
          <w:szCs w:val="24"/>
          <w:lang w:val="es-ES_tradnl"/>
        </w:rPr>
        <w:t>v</w:t>
      </w:r>
      <w:r w:rsidR="00293FFD" w:rsidRPr="00470C7C">
        <w:rPr>
          <w:rFonts w:eastAsia="Batang" w:cs="Times"/>
          <w:noProof/>
          <w:szCs w:val="24"/>
          <w:lang w:val="es-ES_tradnl"/>
        </w:rPr>
        <w:t>ito</w:t>
      </w:r>
      <w:r w:rsidR="0010513B" w:rsidRPr="00470C7C">
        <w:rPr>
          <w:rFonts w:eastAsia="Batang" w:cs="Times"/>
          <w:noProof/>
          <w:szCs w:val="24"/>
          <w:lang w:val="es-ES_tradnl"/>
        </w:rPr>
        <w:t>,</w:t>
      </w:r>
      <w:r w:rsidR="00293FFD" w:rsidRPr="00470C7C">
        <w:rPr>
          <w:rFonts w:eastAsia="Batang" w:cs="Times"/>
          <w:noProof/>
          <w:szCs w:val="24"/>
          <w:lang w:val="es-ES_tradnl"/>
        </w:rPr>
        <w:t xml:space="preserve"> Raquel Dodge</w:t>
      </w:r>
      <w:r w:rsidR="0010513B" w:rsidRPr="00470C7C">
        <w:rPr>
          <w:rFonts w:eastAsia="Batang" w:cs="Times"/>
          <w:noProof/>
          <w:szCs w:val="24"/>
          <w:lang w:val="es-ES_tradnl"/>
        </w:rPr>
        <w:t>,</w:t>
      </w:r>
      <w:r w:rsidRPr="00470C7C">
        <w:rPr>
          <w:rFonts w:eastAsia="Batang" w:cs="Times"/>
          <w:noProof/>
          <w:szCs w:val="24"/>
          <w:lang w:val="es-ES_tradnl"/>
        </w:rPr>
        <w:t xml:space="preserve"> Ana Carolina Alves Araujo Román y Jean Allain. </w:t>
      </w:r>
    </w:p>
    <w:p w14:paraId="4DBA35E9" w14:textId="77777777" w:rsidR="00B81840" w:rsidRPr="00470C7C" w:rsidRDefault="00B81840" w:rsidP="00140440">
      <w:pPr>
        <w:jc w:val="both"/>
        <w:rPr>
          <w:rFonts w:eastAsia="Batang" w:cs="Times"/>
          <w:noProof/>
          <w:szCs w:val="24"/>
          <w:lang w:val="es-ES_tradnl"/>
        </w:rPr>
      </w:pPr>
    </w:p>
    <w:p w14:paraId="7BB30B53" w14:textId="77777777" w:rsidR="00FA2450" w:rsidRPr="00470C7C" w:rsidRDefault="00FA2450" w:rsidP="00140440">
      <w:pPr>
        <w:numPr>
          <w:ilvl w:val="0"/>
          <w:numId w:val="1"/>
        </w:numPr>
        <w:tabs>
          <w:tab w:val="clear" w:pos="4419"/>
          <w:tab w:val="clear" w:pos="8838"/>
        </w:tabs>
        <w:jc w:val="both"/>
        <w:rPr>
          <w:rFonts w:eastAsia="Batang" w:cs="Times"/>
          <w:noProof/>
          <w:szCs w:val="20"/>
          <w:lang w:val="es-ES_tradnl"/>
        </w:rPr>
      </w:pPr>
      <w:r w:rsidRPr="00470C7C">
        <w:rPr>
          <w:rFonts w:eastAsia="Batang" w:cs="Times"/>
          <w:noProof/>
          <w:szCs w:val="20"/>
          <w:lang w:val="es-ES_tradnl"/>
        </w:rPr>
        <w:t xml:space="preserve">Asimismo, durante la diligencia </w:t>
      </w:r>
      <w:r w:rsidRPr="00470C7C">
        <w:rPr>
          <w:rFonts w:eastAsia="Batang" w:cs="Times"/>
          <w:i/>
          <w:noProof/>
          <w:szCs w:val="20"/>
          <w:lang w:val="es-ES_tradnl"/>
        </w:rPr>
        <w:t xml:space="preserve">in situ </w:t>
      </w:r>
      <w:r w:rsidRPr="00470C7C">
        <w:rPr>
          <w:rFonts w:eastAsia="Batang" w:cs="Times"/>
          <w:noProof/>
          <w:szCs w:val="20"/>
          <w:lang w:val="es-ES_tradnl"/>
        </w:rPr>
        <w:t>la Cor</w:t>
      </w:r>
      <w:r w:rsidR="00B81840" w:rsidRPr="00470C7C">
        <w:rPr>
          <w:rFonts w:eastAsia="Batang" w:cs="Times"/>
          <w:noProof/>
          <w:szCs w:val="20"/>
          <w:lang w:val="es-ES_tradnl"/>
        </w:rPr>
        <w:t xml:space="preserve">te escuchó las declaraciones de </w:t>
      </w:r>
      <w:r w:rsidR="00B81840" w:rsidRPr="00470C7C">
        <w:rPr>
          <w:szCs w:val="20"/>
          <w:lang w:val="es-ES_tradnl"/>
        </w:rPr>
        <w:t xml:space="preserve">Marcos </w:t>
      </w:r>
      <w:proofErr w:type="spellStart"/>
      <w:r w:rsidR="00D60654" w:rsidRPr="00470C7C">
        <w:rPr>
          <w:szCs w:val="20"/>
          <w:lang w:val="es-ES_tradnl"/>
        </w:rPr>
        <w:t>Antônio</w:t>
      </w:r>
      <w:proofErr w:type="spellEnd"/>
      <w:r w:rsidR="00D60654" w:rsidRPr="00470C7C">
        <w:rPr>
          <w:szCs w:val="20"/>
          <w:lang w:val="es-ES_tradnl"/>
        </w:rPr>
        <w:t xml:space="preserve"> </w:t>
      </w:r>
      <w:r w:rsidR="00B81840" w:rsidRPr="00470C7C">
        <w:rPr>
          <w:szCs w:val="20"/>
          <w:lang w:val="es-ES_tradnl"/>
        </w:rPr>
        <w:t>Lima</w:t>
      </w:r>
      <w:r w:rsidR="0010513B" w:rsidRPr="00470C7C">
        <w:rPr>
          <w:szCs w:val="20"/>
          <w:lang w:val="es-ES_tradnl"/>
        </w:rPr>
        <w:t>,</w:t>
      </w:r>
      <w:r w:rsidR="00293FFD" w:rsidRPr="00470C7C">
        <w:rPr>
          <w:szCs w:val="20"/>
          <w:lang w:val="es-ES_tradnl"/>
        </w:rPr>
        <w:t xml:space="preserve"> Francisco Fabiano Leandro</w:t>
      </w:r>
      <w:r w:rsidR="0010513B" w:rsidRPr="00470C7C">
        <w:rPr>
          <w:szCs w:val="20"/>
          <w:lang w:val="es-ES_tradnl"/>
        </w:rPr>
        <w:t>,</w:t>
      </w:r>
      <w:r w:rsidR="00B81840" w:rsidRPr="00470C7C">
        <w:rPr>
          <w:szCs w:val="20"/>
          <w:lang w:val="es-ES_tradnl"/>
        </w:rPr>
        <w:t xml:space="preserve"> Rogerio </w:t>
      </w:r>
      <w:proofErr w:type="spellStart"/>
      <w:r w:rsidR="00B81840" w:rsidRPr="00470C7C">
        <w:rPr>
          <w:szCs w:val="20"/>
          <w:lang w:val="es-ES_tradnl"/>
        </w:rPr>
        <w:t>Felix</w:t>
      </w:r>
      <w:proofErr w:type="spellEnd"/>
      <w:r w:rsidR="00293FFD" w:rsidRPr="00470C7C">
        <w:rPr>
          <w:szCs w:val="20"/>
          <w:lang w:val="es-ES_tradnl"/>
        </w:rPr>
        <w:t xml:space="preserve"> Silva</w:t>
      </w:r>
      <w:r w:rsidR="0010513B" w:rsidRPr="00470C7C">
        <w:rPr>
          <w:szCs w:val="20"/>
          <w:lang w:val="es-ES_tradnl"/>
        </w:rPr>
        <w:t>,</w:t>
      </w:r>
      <w:r w:rsidR="00B81840" w:rsidRPr="00470C7C">
        <w:rPr>
          <w:szCs w:val="20"/>
          <w:lang w:val="es-ES_tradnl"/>
        </w:rPr>
        <w:t xml:space="preserve"> Francisco das Chagas Bastos Sousa y </w:t>
      </w:r>
      <w:proofErr w:type="spellStart"/>
      <w:r w:rsidR="00D60654" w:rsidRPr="00470C7C">
        <w:rPr>
          <w:szCs w:val="20"/>
          <w:lang w:val="es-ES_tradnl"/>
        </w:rPr>
        <w:t>Antônio</w:t>
      </w:r>
      <w:proofErr w:type="spellEnd"/>
      <w:r w:rsidR="00D60654" w:rsidRPr="00470C7C">
        <w:rPr>
          <w:szCs w:val="20"/>
          <w:lang w:val="es-ES_tradnl"/>
        </w:rPr>
        <w:t xml:space="preserve"> </w:t>
      </w:r>
      <w:r w:rsidR="00B81840" w:rsidRPr="00470C7C">
        <w:rPr>
          <w:szCs w:val="20"/>
          <w:lang w:val="es-ES_tradnl"/>
        </w:rPr>
        <w:t>Francisco da Silva, en calidad de presuntas víctimas</w:t>
      </w:r>
      <w:r w:rsidR="00750080" w:rsidRPr="00470C7C">
        <w:rPr>
          <w:szCs w:val="20"/>
          <w:lang w:val="es-ES_tradnl"/>
        </w:rPr>
        <w:t xml:space="preserve">. </w:t>
      </w:r>
      <w:r w:rsidR="0007001D" w:rsidRPr="00470C7C">
        <w:rPr>
          <w:szCs w:val="20"/>
          <w:lang w:val="es-ES_tradnl"/>
        </w:rPr>
        <w:t>Además</w:t>
      </w:r>
      <w:r w:rsidR="00750080" w:rsidRPr="00470C7C">
        <w:rPr>
          <w:szCs w:val="20"/>
          <w:lang w:val="es-ES_tradnl"/>
        </w:rPr>
        <w:t xml:space="preserve">, recibió las declaraciones de André Esposito </w:t>
      </w:r>
      <w:proofErr w:type="spellStart"/>
      <w:r w:rsidR="00750080" w:rsidRPr="00470C7C">
        <w:rPr>
          <w:szCs w:val="20"/>
          <w:lang w:val="es-ES_tradnl"/>
        </w:rPr>
        <w:t>Roston</w:t>
      </w:r>
      <w:proofErr w:type="spellEnd"/>
      <w:r w:rsidR="0010513B" w:rsidRPr="00470C7C">
        <w:rPr>
          <w:szCs w:val="20"/>
          <w:lang w:val="es-ES_tradnl"/>
        </w:rPr>
        <w:t>,</w:t>
      </w:r>
      <w:r w:rsidR="00750080" w:rsidRPr="00470C7C">
        <w:rPr>
          <w:szCs w:val="20"/>
          <w:lang w:val="es-ES_tradnl"/>
        </w:rPr>
        <w:t xml:space="preserve"> Silvio Silva Brasil</w:t>
      </w:r>
      <w:r w:rsidR="0010513B" w:rsidRPr="00470C7C">
        <w:rPr>
          <w:szCs w:val="20"/>
          <w:lang w:val="es-ES_tradnl"/>
        </w:rPr>
        <w:t>,</w:t>
      </w:r>
      <w:r w:rsidR="00750080" w:rsidRPr="00470C7C">
        <w:rPr>
          <w:szCs w:val="20"/>
          <w:lang w:val="es-ES_tradnl"/>
        </w:rPr>
        <w:t xml:space="preserve"> </w:t>
      </w:r>
      <w:proofErr w:type="spellStart"/>
      <w:r w:rsidR="00750080" w:rsidRPr="00470C7C">
        <w:rPr>
          <w:szCs w:val="20"/>
          <w:lang w:val="es-ES_tradnl"/>
        </w:rPr>
        <w:t>Lél</w:t>
      </w:r>
      <w:r w:rsidR="00B9532C" w:rsidRPr="00470C7C">
        <w:rPr>
          <w:szCs w:val="20"/>
          <w:lang w:val="es-ES_tradnl"/>
        </w:rPr>
        <w:t>i</w:t>
      </w:r>
      <w:r w:rsidR="00750080" w:rsidRPr="00470C7C">
        <w:rPr>
          <w:szCs w:val="20"/>
          <w:lang w:val="es-ES_tradnl"/>
        </w:rPr>
        <w:t>o</w:t>
      </w:r>
      <w:proofErr w:type="spellEnd"/>
      <w:r w:rsidR="00750080" w:rsidRPr="00470C7C">
        <w:rPr>
          <w:szCs w:val="20"/>
          <w:lang w:val="es-ES_tradnl"/>
        </w:rPr>
        <w:t xml:space="preserve"> </w:t>
      </w:r>
      <w:proofErr w:type="spellStart"/>
      <w:r w:rsidR="00750080" w:rsidRPr="00470C7C">
        <w:rPr>
          <w:szCs w:val="20"/>
          <w:lang w:val="es-ES_tradnl"/>
        </w:rPr>
        <w:t>Bentes</w:t>
      </w:r>
      <w:proofErr w:type="spellEnd"/>
      <w:r w:rsidR="0010513B" w:rsidRPr="00470C7C">
        <w:rPr>
          <w:szCs w:val="20"/>
          <w:lang w:val="es-ES_tradnl"/>
        </w:rPr>
        <w:t>,</w:t>
      </w:r>
      <w:r w:rsidR="00750080" w:rsidRPr="00470C7C">
        <w:rPr>
          <w:szCs w:val="20"/>
          <w:lang w:val="es-ES_tradnl"/>
        </w:rPr>
        <w:t xml:space="preserve"> Oswaldo José Barbosa Silva y </w:t>
      </w:r>
      <w:proofErr w:type="spellStart"/>
      <w:r w:rsidR="00750080" w:rsidRPr="00470C7C">
        <w:rPr>
          <w:szCs w:val="20"/>
          <w:lang w:val="es-ES_tradnl"/>
        </w:rPr>
        <w:t>Christiane</w:t>
      </w:r>
      <w:proofErr w:type="spellEnd"/>
      <w:r w:rsidR="00750080" w:rsidRPr="00470C7C">
        <w:rPr>
          <w:szCs w:val="20"/>
          <w:lang w:val="es-ES_tradnl"/>
        </w:rPr>
        <w:t xml:space="preserve"> Vieira Nogueira, en calidad de d</w:t>
      </w:r>
      <w:r w:rsidR="00293FFD" w:rsidRPr="00470C7C">
        <w:rPr>
          <w:szCs w:val="20"/>
          <w:lang w:val="es-ES_tradnl"/>
        </w:rPr>
        <w:t>eclarantes a título informativo</w:t>
      </w:r>
      <w:r w:rsidR="00B81840" w:rsidRPr="00470C7C">
        <w:rPr>
          <w:szCs w:val="20"/>
          <w:lang w:val="es-ES_tradnl"/>
        </w:rPr>
        <w:t>.</w:t>
      </w:r>
    </w:p>
    <w:p w14:paraId="1EC66DA2" w14:textId="77777777" w:rsidR="00BA1ACF" w:rsidRPr="00470C7C" w:rsidRDefault="00BA1ACF" w:rsidP="00140440">
      <w:pPr>
        <w:tabs>
          <w:tab w:val="clear" w:pos="4419"/>
          <w:tab w:val="clear" w:pos="8838"/>
        </w:tabs>
        <w:jc w:val="both"/>
        <w:rPr>
          <w:rFonts w:eastAsia="Batang" w:cs="Times"/>
          <w:noProof/>
          <w:szCs w:val="24"/>
          <w:lang w:val="es-ES_tradnl"/>
        </w:rPr>
      </w:pPr>
    </w:p>
    <w:p w14:paraId="3D68AAB5" w14:textId="77777777" w:rsidR="00BA1ACF" w:rsidRPr="00470C7C" w:rsidRDefault="00BA1ACF" w:rsidP="008B0BCC">
      <w:pPr>
        <w:pStyle w:val="Ttulo2"/>
        <w:numPr>
          <w:ilvl w:val="0"/>
          <w:numId w:val="16"/>
        </w:numPr>
        <w:rPr>
          <w:rFonts w:eastAsia="Batang"/>
          <w:noProof/>
          <w:lang w:eastAsia="es-ES"/>
        </w:rPr>
      </w:pPr>
      <w:bookmarkStart w:id="197" w:name="_Toc359314426"/>
      <w:bookmarkStart w:id="198" w:name="_Toc361671576"/>
      <w:bookmarkStart w:id="199" w:name="_Toc361671996"/>
      <w:bookmarkStart w:id="200" w:name="_Toc361732793"/>
      <w:bookmarkStart w:id="201" w:name="_Toc361732836"/>
      <w:bookmarkStart w:id="202" w:name="_Toc362456867"/>
      <w:bookmarkStart w:id="203" w:name="_Toc365021396"/>
      <w:bookmarkStart w:id="204" w:name="_Toc404770061"/>
      <w:bookmarkStart w:id="205" w:name="_Toc369076782"/>
      <w:bookmarkStart w:id="206" w:name="_Toc369989374"/>
      <w:bookmarkStart w:id="207" w:name="_Toc369989461"/>
      <w:bookmarkStart w:id="208" w:name="_Toc369989742"/>
      <w:bookmarkStart w:id="209" w:name="_Toc416164800"/>
      <w:bookmarkStart w:id="210" w:name="_Toc460432994"/>
      <w:bookmarkStart w:id="211" w:name="_Toc460441925"/>
      <w:bookmarkStart w:id="212" w:name="_Toc464813919"/>
      <w:bookmarkEnd w:id="196"/>
      <w:r w:rsidRPr="00470C7C">
        <w:rPr>
          <w:rFonts w:eastAsia="Batang"/>
          <w:noProof/>
          <w:lang w:eastAsia="es-ES"/>
        </w:rPr>
        <w:t>Admisión de la prueba</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369A6D6" w14:textId="77777777" w:rsidR="00BA1ACF" w:rsidRPr="00470C7C" w:rsidRDefault="00BA1ACF" w:rsidP="00140440">
      <w:pPr>
        <w:tabs>
          <w:tab w:val="clear" w:pos="4419"/>
          <w:tab w:val="clear" w:pos="8838"/>
        </w:tabs>
        <w:jc w:val="both"/>
        <w:rPr>
          <w:rFonts w:eastAsia="Batang" w:cs="Times"/>
          <w:noProof/>
          <w:szCs w:val="24"/>
          <w:lang w:val="es-ES_tradnl"/>
        </w:rPr>
      </w:pPr>
    </w:p>
    <w:p w14:paraId="37324BB7" w14:textId="77777777" w:rsidR="00BA1ACF" w:rsidRPr="00470C7C" w:rsidRDefault="00BA1ACF" w:rsidP="00140440">
      <w:pPr>
        <w:numPr>
          <w:ilvl w:val="0"/>
          <w:numId w:val="1"/>
        </w:numPr>
        <w:tabs>
          <w:tab w:val="clear" w:pos="4419"/>
          <w:tab w:val="clear" w:pos="8838"/>
        </w:tabs>
        <w:jc w:val="both"/>
        <w:rPr>
          <w:rFonts w:eastAsia="Batang" w:cs="Times"/>
          <w:noProof/>
          <w:szCs w:val="24"/>
          <w:lang w:val="es-ES_tradnl"/>
        </w:rPr>
      </w:pPr>
      <w:r w:rsidRPr="00470C7C">
        <w:rPr>
          <w:rFonts w:eastAsia="Batang" w:cs="Times"/>
          <w:noProof/>
          <w:szCs w:val="24"/>
          <w:lang w:val="es-ES_tradnl"/>
        </w:rPr>
        <w:t xml:space="preserve">Este Tribunal admite los documentos </w:t>
      </w:r>
      <w:r w:rsidRPr="00470C7C">
        <w:rPr>
          <w:rFonts w:eastAsia="Batang" w:cs="Times"/>
          <w:noProof/>
          <w:szCs w:val="20"/>
          <w:lang w:val="es-ES_tradnl"/>
        </w:rPr>
        <w:t>presentados en la debida oportunidad procesal por las partes y la Comisión, y cuya admisiblidad no fue controvertida ni objetada</w:t>
      </w:r>
      <w:r w:rsidRPr="00470C7C">
        <w:rPr>
          <w:rFonts w:eastAsia="Batang" w:cs="Times New Roman"/>
          <w:noProof/>
          <w:szCs w:val="20"/>
          <w:vertAlign w:val="superscript"/>
          <w:lang w:val="es-ES_tradnl"/>
        </w:rPr>
        <w:footnoteReference w:id="57"/>
      </w:r>
      <w:r w:rsidRPr="00470C7C">
        <w:rPr>
          <w:rFonts w:eastAsia="Times New Roman" w:cs="Times"/>
          <w:noProof/>
          <w:szCs w:val="20"/>
          <w:lang w:val="es-ES_tradnl"/>
        </w:rPr>
        <w:t xml:space="preserve">. </w:t>
      </w:r>
    </w:p>
    <w:p w14:paraId="1F8F7B95" w14:textId="77777777" w:rsidR="00BA1ACF" w:rsidRPr="00470C7C" w:rsidRDefault="00BA1ACF" w:rsidP="00140440">
      <w:pPr>
        <w:tabs>
          <w:tab w:val="clear" w:pos="4419"/>
          <w:tab w:val="clear" w:pos="8838"/>
        </w:tabs>
        <w:jc w:val="both"/>
        <w:rPr>
          <w:rFonts w:eastAsia="Batang" w:cs="Times"/>
          <w:noProof/>
          <w:szCs w:val="24"/>
          <w:lang w:val="es-ES_tradnl"/>
        </w:rPr>
      </w:pPr>
      <w:r w:rsidRPr="00470C7C">
        <w:rPr>
          <w:rFonts w:eastAsia="Times New Roman" w:cs="Times"/>
          <w:noProof/>
          <w:szCs w:val="20"/>
          <w:lang w:val="es-ES_tradnl"/>
        </w:rPr>
        <w:t xml:space="preserve"> </w:t>
      </w:r>
    </w:p>
    <w:p w14:paraId="5E84BD46" w14:textId="77777777" w:rsidR="00BA1ACF" w:rsidRPr="00470C7C" w:rsidRDefault="00BA1ACF" w:rsidP="00140440">
      <w:pPr>
        <w:numPr>
          <w:ilvl w:val="0"/>
          <w:numId w:val="1"/>
        </w:numPr>
        <w:tabs>
          <w:tab w:val="clear" w:pos="4419"/>
          <w:tab w:val="clear" w:pos="8838"/>
        </w:tabs>
        <w:jc w:val="both"/>
        <w:rPr>
          <w:rFonts w:eastAsia="Batang" w:cs="Times"/>
          <w:noProof/>
          <w:szCs w:val="24"/>
          <w:lang w:val="es-ES_tradnl"/>
        </w:rPr>
      </w:pPr>
      <w:r w:rsidRPr="00470C7C">
        <w:rPr>
          <w:rFonts w:eastAsia="Batang" w:cs="Times"/>
          <w:noProof/>
          <w:szCs w:val="20"/>
          <w:lang w:val="es-ES_tradnl"/>
        </w:rPr>
        <w:t>Respecto a algunos documentos señalados por medio de enlaces electrónicos, la Corte ha establecido que, si una parte o la Comisión proporciona al menos el enlace electrónico directo del documento que cita como prueba y es posible acceder a éste, no se ve afectada la seguridad jurídica ni el equilibrio procesal porque es inmediatamente localizable por la Corte y por las otras partes</w:t>
      </w:r>
      <w:r w:rsidRPr="00470C7C">
        <w:rPr>
          <w:rFonts w:eastAsia="Batang" w:cs="Times New Roman"/>
          <w:noProof/>
          <w:szCs w:val="20"/>
          <w:vertAlign w:val="superscript"/>
          <w:lang w:val="es-ES_tradnl"/>
        </w:rPr>
        <w:footnoteReference w:id="58"/>
      </w:r>
      <w:r w:rsidRPr="00470C7C">
        <w:rPr>
          <w:rFonts w:eastAsia="Batang" w:cs="Times"/>
          <w:noProof/>
          <w:szCs w:val="20"/>
          <w:lang w:val="es-ES_tradnl"/>
        </w:rPr>
        <w:t xml:space="preserve">. </w:t>
      </w:r>
      <w:r w:rsidRPr="00470C7C">
        <w:rPr>
          <w:rFonts w:eastAsia="Batang" w:cs="Times"/>
          <w:noProof/>
          <w:szCs w:val="24"/>
          <w:lang w:val="es-ES_tradnl"/>
        </w:rPr>
        <w:t>En consecuencia la Corte estima pertinente admitir los documentos que fueron señalados por medio de enlaces electrónicos en el presente caso.</w:t>
      </w:r>
    </w:p>
    <w:p w14:paraId="255DFE79" w14:textId="77777777" w:rsidR="00B81840" w:rsidRPr="00470C7C" w:rsidRDefault="00B81840" w:rsidP="00140440">
      <w:pPr>
        <w:pStyle w:val="Prrafodelista"/>
        <w:contextualSpacing w:val="0"/>
        <w:rPr>
          <w:rFonts w:eastAsia="Batang" w:cs="Times"/>
          <w:noProof/>
          <w:szCs w:val="24"/>
          <w:lang w:val="es-ES_tradnl"/>
        </w:rPr>
      </w:pPr>
    </w:p>
    <w:p w14:paraId="21F82BD8" w14:textId="77777777" w:rsidR="00B16F60" w:rsidRPr="00470C7C" w:rsidRDefault="00B81840" w:rsidP="00140440">
      <w:pPr>
        <w:numPr>
          <w:ilvl w:val="0"/>
          <w:numId w:val="1"/>
        </w:numPr>
        <w:tabs>
          <w:tab w:val="clear" w:pos="4419"/>
          <w:tab w:val="clear" w:pos="8838"/>
        </w:tabs>
        <w:jc w:val="both"/>
        <w:rPr>
          <w:rFonts w:eastAsia="Batang" w:cs="Times"/>
          <w:noProof/>
          <w:szCs w:val="24"/>
          <w:lang w:val="es-ES_tradnl"/>
        </w:rPr>
      </w:pPr>
      <w:r w:rsidRPr="00470C7C">
        <w:rPr>
          <w:rFonts w:eastAsia="Batang" w:cs="Times"/>
          <w:noProof/>
          <w:szCs w:val="24"/>
          <w:lang w:val="es-ES_tradnl"/>
        </w:rPr>
        <w:t>En cuanto a las declaraciones rendidas ante fedatario público la Corte constató que</w:t>
      </w:r>
      <w:r w:rsidR="00984AA7" w:rsidRPr="00470C7C">
        <w:rPr>
          <w:rFonts w:eastAsia="Batang" w:cs="Times"/>
          <w:noProof/>
          <w:szCs w:val="24"/>
          <w:lang w:val="es-ES_tradnl"/>
        </w:rPr>
        <w:t>,</w:t>
      </w:r>
      <w:r w:rsidRPr="00470C7C">
        <w:rPr>
          <w:rFonts w:eastAsia="Batang" w:cs="Times"/>
          <w:noProof/>
          <w:szCs w:val="24"/>
          <w:lang w:val="es-ES_tradnl"/>
        </w:rPr>
        <w:t xml:space="preserve"> a pesar de haber sido ofrecida en la debida oportunidad y solicitada en la Resolución del Presidente de 11 de diciembre de 2015 (</w:t>
      </w:r>
      <w:r w:rsidRPr="00470C7C">
        <w:rPr>
          <w:rFonts w:eastAsia="Batang" w:cs="Times"/>
          <w:i/>
          <w:noProof/>
          <w:szCs w:val="24"/>
          <w:lang w:val="es-ES_tradnl"/>
        </w:rPr>
        <w:t>supra</w:t>
      </w:r>
      <w:r w:rsidRPr="00470C7C">
        <w:rPr>
          <w:rFonts w:eastAsia="Batang" w:cs="Times"/>
          <w:noProof/>
          <w:szCs w:val="24"/>
          <w:lang w:val="es-ES_tradnl"/>
        </w:rPr>
        <w:t xml:space="preserve"> párr. </w:t>
      </w:r>
      <w:r w:rsidR="00303556" w:rsidRPr="00470C7C">
        <w:rPr>
          <w:rFonts w:eastAsia="Batang" w:cs="Times"/>
          <w:noProof/>
          <w:szCs w:val="24"/>
          <w:lang w:val="es-ES_tradnl"/>
        </w:rPr>
        <w:t>9</w:t>
      </w:r>
      <w:r w:rsidRPr="00470C7C">
        <w:rPr>
          <w:rFonts w:eastAsia="Batang" w:cs="Times"/>
          <w:noProof/>
          <w:szCs w:val="24"/>
          <w:lang w:val="es-ES_tradnl"/>
        </w:rPr>
        <w:t xml:space="preserve">), los representantes no aportaron </w:t>
      </w:r>
      <w:r w:rsidR="00606616" w:rsidRPr="00470C7C">
        <w:rPr>
          <w:rFonts w:eastAsia="Batang" w:cs="Times"/>
          <w:noProof/>
          <w:szCs w:val="24"/>
          <w:lang w:val="es-ES_tradnl"/>
        </w:rPr>
        <w:t>la declaración</w:t>
      </w:r>
      <w:r w:rsidRPr="00470C7C">
        <w:rPr>
          <w:rFonts w:eastAsia="Batang" w:cs="Times"/>
          <w:noProof/>
          <w:szCs w:val="24"/>
          <w:lang w:val="es-ES_tradnl"/>
        </w:rPr>
        <w:t xml:space="preserve"> ante fedatario público de </w:t>
      </w:r>
      <w:r w:rsidRPr="00470C7C">
        <w:rPr>
          <w:rFonts w:cs="Verdana"/>
          <w:iCs/>
          <w:szCs w:val="20"/>
        </w:rPr>
        <w:t xml:space="preserve">José Batista Gonçalves </w:t>
      </w:r>
      <w:proofErr w:type="spellStart"/>
      <w:r w:rsidRPr="00470C7C">
        <w:rPr>
          <w:rFonts w:cs="Verdana"/>
          <w:iCs/>
          <w:szCs w:val="20"/>
        </w:rPr>
        <w:t>Afonso</w:t>
      </w:r>
      <w:proofErr w:type="spellEnd"/>
      <w:r w:rsidR="00606616" w:rsidRPr="00470C7C">
        <w:rPr>
          <w:rFonts w:cs="Verdana"/>
          <w:iCs/>
          <w:szCs w:val="20"/>
        </w:rPr>
        <w:t xml:space="preserve">, ni el Estado aportó la declaración de </w:t>
      </w:r>
      <w:proofErr w:type="spellStart"/>
      <w:r w:rsidRPr="00470C7C">
        <w:rPr>
          <w:rFonts w:cs="Verdana"/>
          <w:iCs/>
          <w:szCs w:val="20"/>
        </w:rPr>
        <w:t>Dasalete</w:t>
      </w:r>
      <w:proofErr w:type="spellEnd"/>
      <w:r w:rsidRPr="00470C7C">
        <w:rPr>
          <w:rFonts w:cs="Verdana"/>
          <w:iCs/>
          <w:szCs w:val="20"/>
        </w:rPr>
        <w:t xml:space="preserve"> Canuto Watanabe</w:t>
      </w:r>
      <w:r w:rsidR="00606616" w:rsidRPr="00470C7C">
        <w:rPr>
          <w:rFonts w:cs="Verdana"/>
          <w:iCs/>
          <w:szCs w:val="20"/>
        </w:rPr>
        <w:t xml:space="preserve">. </w:t>
      </w:r>
    </w:p>
    <w:p w14:paraId="48B6C6AC" w14:textId="77777777" w:rsidR="00B16F60" w:rsidRPr="00470C7C" w:rsidRDefault="00B16F60" w:rsidP="00140440">
      <w:pPr>
        <w:pStyle w:val="Prrafodelista"/>
        <w:contextualSpacing w:val="0"/>
        <w:rPr>
          <w:rFonts w:cs="Verdana"/>
          <w:iCs/>
          <w:szCs w:val="20"/>
        </w:rPr>
      </w:pPr>
    </w:p>
    <w:p w14:paraId="26F0A015" w14:textId="77777777" w:rsidR="00B81840" w:rsidRPr="00470C7C" w:rsidRDefault="00B81840" w:rsidP="00140440">
      <w:pPr>
        <w:numPr>
          <w:ilvl w:val="0"/>
          <w:numId w:val="1"/>
        </w:numPr>
        <w:tabs>
          <w:tab w:val="clear" w:pos="4419"/>
          <w:tab w:val="clear" w:pos="8838"/>
        </w:tabs>
        <w:jc w:val="both"/>
        <w:rPr>
          <w:rFonts w:eastAsia="Batang" w:cs="Times"/>
          <w:noProof/>
          <w:szCs w:val="24"/>
          <w:lang w:val="es-ES_tradnl"/>
        </w:rPr>
      </w:pPr>
      <w:r w:rsidRPr="00470C7C">
        <w:rPr>
          <w:rFonts w:cs="Verdana"/>
          <w:iCs/>
          <w:szCs w:val="20"/>
        </w:rPr>
        <w:t xml:space="preserve">Por otra parte, </w:t>
      </w:r>
      <w:r w:rsidR="00416610" w:rsidRPr="00470C7C">
        <w:rPr>
          <w:rFonts w:cs="Verdana"/>
          <w:iCs/>
          <w:szCs w:val="20"/>
        </w:rPr>
        <w:t xml:space="preserve">la Corte estima pertinente declarar inadmisible la declaración rendida ante fedatario público </w:t>
      </w:r>
      <w:r w:rsidR="00984AA7" w:rsidRPr="00470C7C">
        <w:rPr>
          <w:rFonts w:cs="Verdana"/>
          <w:iCs/>
          <w:szCs w:val="20"/>
        </w:rPr>
        <w:t xml:space="preserve">por </w:t>
      </w:r>
      <w:r w:rsidR="00416610" w:rsidRPr="00470C7C">
        <w:rPr>
          <w:rFonts w:cs="Verdana"/>
          <w:iCs/>
          <w:szCs w:val="20"/>
        </w:rPr>
        <w:t xml:space="preserve">María </w:t>
      </w:r>
      <w:proofErr w:type="spellStart"/>
      <w:r w:rsidR="00416610" w:rsidRPr="00470C7C">
        <w:rPr>
          <w:rFonts w:cs="Verdana"/>
          <w:iCs/>
          <w:szCs w:val="20"/>
        </w:rPr>
        <w:t>Gorete</w:t>
      </w:r>
      <w:proofErr w:type="spellEnd"/>
      <w:r w:rsidR="00416610" w:rsidRPr="00470C7C">
        <w:rPr>
          <w:rFonts w:cs="Verdana"/>
          <w:iCs/>
          <w:szCs w:val="20"/>
        </w:rPr>
        <w:t xml:space="preserve"> Canuto</w:t>
      </w:r>
      <w:r w:rsidR="00984AA7" w:rsidRPr="00470C7C">
        <w:rPr>
          <w:rFonts w:cs="Verdana"/>
          <w:iCs/>
          <w:szCs w:val="20"/>
        </w:rPr>
        <w:t>,</w:t>
      </w:r>
      <w:r w:rsidR="00416610" w:rsidRPr="00470C7C">
        <w:rPr>
          <w:rFonts w:cs="Verdana"/>
          <w:iCs/>
          <w:szCs w:val="20"/>
        </w:rPr>
        <w:t xml:space="preserve"> </w:t>
      </w:r>
      <w:r w:rsidR="00984AA7" w:rsidRPr="00470C7C">
        <w:rPr>
          <w:rFonts w:cs="Verdana"/>
          <w:iCs/>
          <w:szCs w:val="20"/>
        </w:rPr>
        <w:t>ya</w:t>
      </w:r>
      <w:r w:rsidRPr="00470C7C">
        <w:rPr>
          <w:rFonts w:cs="Verdana"/>
          <w:iCs/>
          <w:szCs w:val="20"/>
        </w:rPr>
        <w:t xml:space="preserve"> que no </w:t>
      </w:r>
      <w:r w:rsidR="00416610" w:rsidRPr="00470C7C">
        <w:rPr>
          <w:rFonts w:cs="Verdana"/>
          <w:iCs/>
          <w:szCs w:val="20"/>
        </w:rPr>
        <w:t xml:space="preserve">fue </w:t>
      </w:r>
      <w:r w:rsidR="00750080" w:rsidRPr="00470C7C">
        <w:rPr>
          <w:rFonts w:cs="Verdana"/>
          <w:iCs/>
          <w:szCs w:val="20"/>
        </w:rPr>
        <w:t xml:space="preserve">ofrecida </w:t>
      </w:r>
      <w:r w:rsidR="0007001D" w:rsidRPr="00470C7C">
        <w:rPr>
          <w:rFonts w:cs="Verdana"/>
          <w:iCs/>
          <w:szCs w:val="20"/>
        </w:rPr>
        <w:t xml:space="preserve">por el Estado </w:t>
      </w:r>
      <w:r w:rsidR="00750080" w:rsidRPr="00470C7C">
        <w:rPr>
          <w:rFonts w:cs="Verdana"/>
          <w:iCs/>
          <w:szCs w:val="20"/>
        </w:rPr>
        <w:t xml:space="preserve">en el momento procesal oportuno ni </w:t>
      </w:r>
      <w:r w:rsidRPr="00470C7C">
        <w:rPr>
          <w:rFonts w:cs="Verdana"/>
          <w:iCs/>
          <w:szCs w:val="20"/>
        </w:rPr>
        <w:t>requerida en la Resolución del Presidente</w:t>
      </w:r>
      <w:r w:rsidR="00D13A2D" w:rsidRPr="00470C7C">
        <w:rPr>
          <w:rFonts w:cs="Verdana"/>
          <w:iCs/>
          <w:szCs w:val="20"/>
        </w:rPr>
        <w:t xml:space="preserve"> </w:t>
      </w:r>
      <w:r w:rsidR="00D13A2D" w:rsidRPr="00470C7C">
        <w:rPr>
          <w:rFonts w:eastAsia="Batang" w:cs="Times"/>
          <w:noProof/>
          <w:szCs w:val="24"/>
          <w:lang w:val="es-ES_tradnl"/>
        </w:rPr>
        <w:t>de 11 de diciembre de 2015</w:t>
      </w:r>
      <w:r w:rsidR="00416610" w:rsidRPr="00470C7C">
        <w:rPr>
          <w:rFonts w:eastAsia="Batang" w:cs="Times"/>
          <w:noProof/>
          <w:szCs w:val="24"/>
          <w:lang w:val="es-ES_tradnl"/>
        </w:rPr>
        <w:t xml:space="preserve"> o en la Resolución de la Corte de 15 de febrero de 2016</w:t>
      </w:r>
      <w:r w:rsidRPr="00470C7C">
        <w:rPr>
          <w:rFonts w:cs="Verdana"/>
          <w:iCs/>
          <w:szCs w:val="20"/>
        </w:rPr>
        <w:t>.</w:t>
      </w:r>
    </w:p>
    <w:p w14:paraId="783A192C" w14:textId="77777777" w:rsidR="00DF3CB1" w:rsidRPr="00470C7C" w:rsidRDefault="00DF3CB1" w:rsidP="00140440">
      <w:pPr>
        <w:pStyle w:val="Prrafodelista"/>
        <w:contextualSpacing w:val="0"/>
        <w:rPr>
          <w:rFonts w:eastAsia="Batang" w:cs="Times"/>
          <w:noProof/>
          <w:szCs w:val="24"/>
          <w:lang w:val="es-ES_tradnl"/>
        </w:rPr>
      </w:pPr>
    </w:p>
    <w:p w14:paraId="67E49B20" w14:textId="77777777" w:rsidR="00BA1ACF" w:rsidRPr="00470C7C" w:rsidRDefault="00DF3CB1" w:rsidP="00140440">
      <w:pPr>
        <w:numPr>
          <w:ilvl w:val="0"/>
          <w:numId w:val="1"/>
        </w:numPr>
        <w:tabs>
          <w:tab w:val="clear" w:pos="4419"/>
          <w:tab w:val="clear" w:pos="8838"/>
        </w:tabs>
        <w:jc w:val="both"/>
        <w:rPr>
          <w:rFonts w:eastAsia="Batang" w:cs="Times"/>
          <w:noProof/>
          <w:szCs w:val="20"/>
          <w:lang w:val="es-ES_tradnl"/>
        </w:rPr>
      </w:pPr>
      <w:r w:rsidRPr="00470C7C">
        <w:rPr>
          <w:rFonts w:eastAsia="Batang" w:cs="Times"/>
          <w:noProof/>
          <w:szCs w:val="20"/>
          <w:lang w:val="es-ES_tradnl"/>
        </w:rPr>
        <w:t>Asimismo, los representantes señalaron que la declaración</w:t>
      </w:r>
      <w:r w:rsidR="00BE295E" w:rsidRPr="00470C7C">
        <w:rPr>
          <w:rFonts w:eastAsia="Batang" w:cs="Times"/>
          <w:noProof/>
          <w:szCs w:val="20"/>
          <w:lang w:val="es-ES_tradnl"/>
        </w:rPr>
        <w:t xml:space="preserve"> ante la Policía</w:t>
      </w:r>
      <w:r w:rsidR="002172CB" w:rsidRPr="00470C7C">
        <w:rPr>
          <w:rFonts w:eastAsia="Batang" w:cs="Times"/>
          <w:noProof/>
          <w:szCs w:val="20"/>
          <w:lang w:val="es-ES_tradnl"/>
        </w:rPr>
        <w:t xml:space="preserve"> Federal</w:t>
      </w:r>
      <w:r w:rsidRPr="00470C7C">
        <w:rPr>
          <w:rFonts w:eastAsia="Batang" w:cs="Times"/>
          <w:noProof/>
          <w:szCs w:val="20"/>
          <w:lang w:val="es-ES_tradnl"/>
        </w:rPr>
        <w:t xml:space="preserve"> de Maria do Socorro Canuto </w:t>
      </w:r>
      <w:r w:rsidR="00E855BF" w:rsidRPr="00470C7C">
        <w:rPr>
          <w:rFonts w:eastAsia="Batang" w:cs="Times"/>
          <w:noProof/>
          <w:szCs w:val="20"/>
          <w:lang w:val="es-ES_tradnl"/>
        </w:rPr>
        <w:t xml:space="preserve">sería </w:t>
      </w:r>
      <w:r w:rsidRPr="00470C7C">
        <w:rPr>
          <w:rFonts w:eastAsia="Batang" w:cs="Times"/>
          <w:noProof/>
          <w:szCs w:val="20"/>
          <w:lang w:val="es-ES_tradnl"/>
        </w:rPr>
        <w:t xml:space="preserve">fradulenta </w:t>
      </w:r>
      <w:r w:rsidR="00B758B3" w:rsidRPr="00470C7C">
        <w:rPr>
          <w:rFonts w:eastAsia="Batang" w:cs="Times"/>
          <w:noProof/>
          <w:szCs w:val="20"/>
          <w:lang w:val="es-ES_tradnl"/>
        </w:rPr>
        <w:t>ya</w:t>
      </w:r>
      <w:r w:rsidRPr="00470C7C">
        <w:rPr>
          <w:rFonts w:eastAsia="Batang" w:cs="Times"/>
          <w:noProof/>
          <w:szCs w:val="20"/>
          <w:lang w:val="es-ES_tradnl"/>
        </w:rPr>
        <w:t xml:space="preserve"> que, a su juicio, presentaba </w:t>
      </w:r>
      <w:r w:rsidR="007F1767" w:rsidRPr="00470C7C">
        <w:rPr>
          <w:rFonts w:eastAsia="Batang" w:cs="Times"/>
          <w:noProof/>
          <w:szCs w:val="20"/>
          <w:lang w:val="es-ES_tradnl"/>
        </w:rPr>
        <w:t xml:space="preserve">contradicciones </w:t>
      </w:r>
      <w:r w:rsidRPr="00470C7C">
        <w:rPr>
          <w:rFonts w:eastAsia="Batang" w:cs="Times"/>
          <w:noProof/>
          <w:szCs w:val="20"/>
          <w:lang w:val="es-ES_tradnl"/>
        </w:rPr>
        <w:t>e inconsistencias, por lo cual solicitaron a la Corte rechazar dicha declaración</w:t>
      </w:r>
      <w:r w:rsidR="001E3513" w:rsidRPr="00470C7C">
        <w:rPr>
          <w:rFonts w:eastAsia="Batang" w:cs="Times"/>
          <w:noProof/>
          <w:szCs w:val="20"/>
          <w:lang w:val="es-ES_tradnl"/>
        </w:rPr>
        <w:t xml:space="preserve">. </w:t>
      </w:r>
      <w:r w:rsidR="00B758B3" w:rsidRPr="00470C7C">
        <w:rPr>
          <w:szCs w:val="20"/>
        </w:rPr>
        <w:t>L</w:t>
      </w:r>
      <w:r w:rsidR="001E3513" w:rsidRPr="00470C7C">
        <w:rPr>
          <w:szCs w:val="20"/>
        </w:rPr>
        <w:t>a Corte considera que dichas observaciones se refieren al contenido y valor probatorio del testimonio y no implican una objeción a la admisión de dicha prueba</w:t>
      </w:r>
      <w:r w:rsidR="001E3513" w:rsidRPr="00470C7C">
        <w:rPr>
          <w:rStyle w:val="Refdenotaalpie"/>
        </w:rPr>
        <w:footnoteReference w:id="59"/>
      </w:r>
      <w:r w:rsidR="001E3513" w:rsidRPr="00470C7C">
        <w:rPr>
          <w:szCs w:val="20"/>
        </w:rPr>
        <w:t>. Adicionalmente, las objeciones de los representantes en cuanto a la falsedad de la declaración es materia de la jurisdicción interna y no resulta procedente excluir prueba a partir de su inconsistencia con la versión de los hechos sostenida por una de las partes, pues ello implicaría asumirla como cierta antes de haber hecho la evaluación correspondiente</w:t>
      </w:r>
      <w:r w:rsidR="00A8426B" w:rsidRPr="00470C7C">
        <w:rPr>
          <w:rStyle w:val="Refdenotaalpie"/>
        </w:rPr>
        <w:footnoteReference w:id="60"/>
      </w:r>
      <w:r w:rsidR="001E3513" w:rsidRPr="00470C7C">
        <w:rPr>
          <w:szCs w:val="20"/>
        </w:rPr>
        <w:t xml:space="preserve">. En consecuencia, la Corte estima pertinente admitir la declaración de </w:t>
      </w:r>
      <w:proofErr w:type="spellStart"/>
      <w:r w:rsidR="001E3513" w:rsidRPr="00470C7C">
        <w:rPr>
          <w:szCs w:val="20"/>
        </w:rPr>
        <w:t>Maria</w:t>
      </w:r>
      <w:proofErr w:type="spellEnd"/>
      <w:r w:rsidR="001E3513" w:rsidRPr="00470C7C">
        <w:rPr>
          <w:szCs w:val="20"/>
        </w:rPr>
        <w:t xml:space="preserve"> do Socorro Canuto y considerarla en el marco del conjunto del acervo probatorio</w:t>
      </w:r>
      <w:r w:rsidR="00DC1BE8" w:rsidRPr="00470C7C">
        <w:rPr>
          <w:szCs w:val="20"/>
        </w:rPr>
        <w:t>.</w:t>
      </w:r>
    </w:p>
    <w:p w14:paraId="48201B6D" w14:textId="77777777" w:rsidR="00952C89" w:rsidRPr="00470C7C" w:rsidRDefault="00952C89" w:rsidP="00140440">
      <w:pPr>
        <w:tabs>
          <w:tab w:val="clear" w:pos="4419"/>
          <w:tab w:val="clear" w:pos="8838"/>
        </w:tabs>
        <w:jc w:val="both"/>
        <w:rPr>
          <w:rFonts w:eastAsia="Batang" w:cs="Times"/>
          <w:noProof/>
          <w:szCs w:val="24"/>
          <w:lang w:val="es-ES_tradnl"/>
        </w:rPr>
      </w:pPr>
    </w:p>
    <w:p w14:paraId="12C907A8" w14:textId="77777777" w:rsidR="00BA1ACF" w:rsidRPr="00470C7C" w:rsidRDefault="00BA1ACF" w:rsidP="008B0BCC">
      <w:pPr>
        <w:pStyle w:val="Ttulo2"/>
        <w:numPr>
          <w:ilvl w:val="0"/>
          <w:numId w:val="16"/>
        </w:numPr>
        <w:rPr>
          <w:rFonts w:eastAsia="Batang"/>
          <w:noProof/>
          <w:lang w:eastAsia="es-ES"/>
        </w:rPr>
      </w:pPr>
      <w:bookmarkStart w:id="213" w:name="_Toc460432995"/>
      <w:bookmarkStart w:id="214" w:name="_Toc460441926"/>
      <w:bookmarkStart w:id="215" w:name="_Toc464813920"/>
      <w:r w:rsidRPr="00470C7C">
        <w:rPr>
          <w:rFonts w:eastAsia="Batang"/>
          <w:noProof/>
          <w:lang w:eastAsia="es-ES"/>
        </w:rPr>
        <w:t>Valoración de la prueba</w:t>
      </w:r>
      <w:bookmarkEnd w:id="213"/>
      <w:bookmarkEnd w:id="214"/>
      <w:bookmarkEnd w:id="215"/>
    </w:p>
    <w:p w14:paraId="45377074" w14:textId="77777777" w:rsidR="00BA1ACF" w:rsidRPr="00470C7C" w:rsidRDefault="00BA1ACF" w:rsidP="00140440">
      <w:pPr>
        <w:tabs>
          <w:tab w:val="clear" w:pos="4419"/>
          <w:tab w:val="clear" w:pos="8838"/>
        </w:tabs>
        <w:jc w:val="both"/>
        <w:rPr>
          <w:rFonts w:eastAsia="Batang" w:cs="Times"/>
          <w:noProof/>
          <w:szCs w:val="24"/>
          <w:lang w:val="es-ES_tradnl"/>
        </w:rPr>
      </w:pPr>
    </w:p>
    <w:p w14:paraId="7AE1E35C" w14:textId="77777777" w:rsidR="00BA1ACF" w:rsidRPr="00470C7C" w:rsidRDefault="00BA1ACF" w:rsidP="00140440">
      <w:pPr>
        <w:numPr>
          <w:ilvl w:val="0"/>
          <w:numId w:val="1"/>
        </w:numPr>
        <w:tabs>
          <w:tab w:val="clear" w:pos="4419"/>
          <w:tab w:val="clear" w:pos="8838"/>
        </w:tabs>
        <w:jc w:val="both"/>
        <w:rPr>
          <w:rFonts w:eastAsia="Batang" w:cs="Times"/>
          <w:noProof/>
          <w:szCs w:val="24"/>
          <w:lang w:val="es-ES_tradnl"/>
        </w:rPr>
      </w:pPr>
      <w:r w:rsidRPr="00470C7C">
        <w:rPr>
          <w:rFonts w:eastAsia="Batang" w:cs="Times"/>
          <w:noProof/>
          <w:szCs w:val="24"/>
          <w:lang w:val="es-ES_tradnl"/>
        </w:rPr>
        <w:t>Con base en lo establecido en los artículos 46, 47, 48, 50, 51, 57 y 58 del Reglamento, así como en su jurisprudencia constante respecto de la prueba y su apreciación, la Corte examinará y valorará los elementos probatorios documentales remitidos por las partes y la Comisión, las declaraciones, testimonios y dictámenes periciales, al establecer los hechos del caso y pronunciarse sobre el fondo. Para ello se sujeta a los principios de la sana crítica, dentro del marco normativo correspondiente, teniendo en cuenta el conjunto del acervo probatorio y lo alegado en la causa</w:t>
      </w:r>
      <w:r w:rsidRPr="00470C7C">
        <w:rPr>
          <w:rFonts w:eastAsia="Batang" w:cs="Times New Roman"/>
          <w:noProof/>
          <w:szCs w:val="20"/>
          <w:vertAlign w:val="superscript"/>
          <w:lang w:val="es-ES_tradnl"/>
        </w:rPr>
        <w:footnoteReference w:id="61"/>
      </w:r>
      <w:r w:rsidRPr="00470C7C">
        <w:rPr>
          <w:rFonts w:eastAsia="Batang" w:cs="Times"/>
          <w:noProof/>
          <w:szCs w:val="24"/>
          <w:lang w:val="es-ES_tradnl"/>
        </w:rPr>
        <w:t>. Asimismo, conforme a la jurisprudencia de este Tribunal, la</w:t>
      </w:r>
      <w:r w:rsidR="00A00142" w:rsidRPr="00470C7C">
        <w:rPr>
          <w:rFonts w:eastAsia="Batang" w:cs="Times"/>
          <w:noProof/>
          <w:szCs w:val="24"/>
          <w:lang w:val="es-ES_tradnl"/>
        </w:rPr>
        <w:t>s</w:t>
      </w:r>
      <w:r w:rsidRPr="00470C7C">
        <w:rPr>
          <w:rFonts w:eastAsia="Batang" w:cs="Times"/>
          <w:noProof/>
          <w:szCs w:val="24"/>
          <w:lang w:val="es-ES_tradnl"/>
        </w:rPr>
        <w:t xml:space="preserve"> </w:t>
      </w:r>
      <w:r w:rsidR="00A00142" w:rsidRPr="00470C7C">
        <w:rPr>
          <w:rFonts w:eastAsia="Batang" w:cs="Times"/>
          <w:noProof/>
          <w:szCs w:val="24"/>
          <w:lang w:val="es-ES_tradnl"/>
        </w:rPr>
        <w:t>declaraciones</w:t>
      </w:r>
      <w:r w:rsidRPr="00470C7C">
        <w:rPr>
          <w:rFonts w:eastAsia="Batang" w:cs="Times"/>
          <w:noProof/>
          <w:szCs w:val="24"/>
          <w:lang w:val="es-ES_tradnl"/>
        </w:rPr>
        <w:t xml:space="preserve"> rendida</w:t>
      </w:r>
      <w:r w:rsidR="00A00142" w:rsidRPr="00470C7C">
        <w:rPr>
          <w:rFonts w:eastAsia="Batang" w:cs="Times"/>
          <w:noProof/>
          <w:szCs w:val="24"/>
          <w:lang w:val="es-ES_tradnl"/>
        </w:rPr>
        <w:t>s</w:t>
      </w:r>
      <w:r w:rsidRPr="00470C7C">
        <w:rPr>
          <w:rFonts w:eastAsia="Batang" w:cs="Times"/>
          <w:noProof/>
          <w:szCs w:val="24"/>
          <w:lang w:val="es-ES_tradnl"/>
        </w:rPr>
        <w:t xml:space="preserve"> por la</w:t>
      </w:r>
      <w:r w:rsidR="00A00142" w:rsidRPr="00470C7C">
        <w:rPr>
          <w:rFonts w:eastAsia="Batang" w:cs="Times"/>
          <w:noProof/>
          <w:szCs w:val="24"/>
          <w:lang w:val="es-ES_tradnl"/>
        </w:rPr>
        <w:t>s</w:t>
      </w:r>
      <w:r w:rsidRPr="00470C7C">
        <w:rPr>
          <w:rFonts w:eastAsia="Batang" w:cs="Times"/>
          <w:noProof/>
          <w:szCs w:val="24"/>
          <w:lang w:val="es-ES_tradnl"/>
        </w:rPr>
        <w:t xml:space="preserve"> presunta</w:t>
      </w:r>
      <w:r w:rsidR="00A00142" w:rsidRPr="00470C7C">
        <w:rPr>
          <w:rFonts w:eastAsia="Batang" w:cs="Times"/>
          <w:noProof/>
          <w:szCs w:val="24"/>
          <w:lang w:val="es-ES_tradnl"/>
        </w:rPr>
        <w:t>s</w:t>
      </w:r>
      <w:r w:rsidRPr="00470C7C">
        <w:rPr>
          <w:rFonts w:eastAsia="Batang" w:cs="Times"/>
          <w:noProof/>
          <w:szCs w:val="24"/>
          <w:lang w:val="es-ES_tradnl"/>
        </w:rPr>
        <w:t xml:space="preserve"> víctima</w:t>
      </w:r>
      <w:r w:rsidR="00A00142" w:rsidRPr="00470C7C">
        <w:rPr>
          <w:rFonts w:eastAsia="Batang" w:cs="Times"/>
          <w:noProof/>
          <w:szCs w:val="24"/>
          <w:lang w:val="es-ES_tradnl"/>
        </w:rPr>
        <w:t>s</w:t>
      </w:r>
      <w:r w:rsidRPr="00470C7C">
        <w:rPr>
          <w:rFonts w:eastAsia="Batang" w:cs="Times"/>
          <w:noProof/>
          <w:szCs w:val="24"/>
          <w:lang w:val="es-ES_tradnl"/>
        </w:rPr>
        <w:t xml:space="preserve"> no puede</w:t>
      </w:r>
      <w:r w:rsidR="00A00142" w:rsidRPr="00470C7C">
        <w:rPr>
          <w:rFonts w:eastAsia="Batang" w:cs="Times"/>
          <w:noProof/>
          <w:szCs w:val="24"/>
          <w:lang w:val="es-ES_tradnl"/>
        </w:rPr>
        <w:t>n</w:t>
      </w:r>
      <w:r w:rsidRPr="00470C7C">
        <w:rPr>
          <w:rFonts w:eastAsia="Batang" w:cs="Times"/>
          <w:noProof/>
          <w:szCs w:val="24"/>
          <w:lang w:val="es-ES_tradnl"/>
        </w:rPr>
        <w:t xml:space="preserve"> ser valorada</w:t>
      </w:r>
      <w:r w:rsidR="00A00142" w:rsidRPr="00470C7C">
        <w:rPr>
          <w:rFonts w:eastAsia="Batang" w:cs="Times"/>
          <w:noProof/>
          <w:szCs w:val="24"/>
          <w:lang w:val="es-ES_tradnl"/>
        </w:rPr>
        <w:t>s</w:t>
      </w:r>
      <w:r w:rsidRPr="00470C7C">
        <w:rPr>
          <w:rFonts w:eastAsia="Batang" w:cs="Times"/>
          <w:noProof/>
          <w:szCs w:val="24"/>
          <w:lang w:val="es-ES_tradnl"/>
        </w:rPr>
        <w:t xml:space="preserve"> aisladamente sino dentro del conjunto de las pruebas del proceso, en la medida en que puede</w:t>
      </w:r>
      <w:r w:rsidR="00A00142" w:rsidRPr="00470C7C">
        <w:rPr>
          <w:rFonts w:eastAsia="Batang" w:cs="Times"/>
          <w:noProof/>
          <w:szCs w:val="24"/>
          <w:lang w:val="es-ES_tradnl"/>
        </w:rPr>
        <w:t>n</w:t>
      </w:r>
      <w:r w:rsidRPr="00470C7C">
        <w:rPr>
          <w:rFonts w:eastAsia="Batang" w:cs="Times"/>
          <w:noProof/>
          <w:szCs w:val="24"/>
          <w:lang w:val="es-ES_tradnl"/>
        </w:rPr>
        <w:t xml:space="preserve"> proporcionar mayor información sobre las presuntas violaciones y sus consecuencias</w:t>
      </w:r>
      <w:r w:rsidRPr="00470C7C">
        <w:rPr>
          <w:rFonts w:eastAsia="Batang" w:cs="Times New Roman"/>
          <w:noProof/>
          <w:szCs w:val="20"/>
          <w:vertAlign w:val="superscript"/>
          <w:lang w:val="es-ES_tradnl"/>
        </w:rPr>
        <w:footnoteReference w:id="62"/>
      </w:r>
      <w:r w:rsidRPr="00470C7C">
        <w:rPr>
          <w:rFonts w:eastAsia="Batang" w:cs="Times"/>
          <w:noProof/>
          <w:szCs w:val="24"/>
          <w:lang w:val="es-ES_tradnl"/>
        </w:rPr>
        <w:t>.</w:t>
      </w:r>
    </w:p>
    <w:p w14:paraId="46DC3CBA" w14:textId="77777777" w:rsidR="00BA1ACF" w:rsidRPr="00470C7C" w:rsidRDefault="00BA1ACF" w:rsidP="00140440">
      <w:pPr>
        <w:tabs>
          <w:tab w:val="clear" w:pos="4419"/>
          <w:tab w:val="clear" w:pos="8838"/>
        </w:tabs>
        <w:jc w:val="both"/>
        <w:rPr>
          <w:rFonts w:eastAsia="Batang" w:cs="Times"/>
          <w:noProof/>
          <w:szCs w:val="24"/>
          <w:lang w:val="es-ES_tradnl"/>
        </w:rPr>
      </w:pPr>
    </w:p>
    <w:p w14:paraId="0A12929A" w14:textId="77777777" w:rsidR="0003391C" w:rsidRPr="00470C7C" w:rsidRDefault="0003391C"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216" w:name="_Toc460432467"/>
      <w:bookmarkStart w:id="217" w:name="_Toc464813921"/>
      <w:r w:rsidRPr="00470C7C">
        <w:rPr>
          <w:rFonts w:eastAsia="Times New Roman" w:cs="Verdana"/>
          <w:b/>
          <w:bCs/>
          <w:caps/>
          <w:noProof/>
          <w:snapToGrid w:val="0"/>
          <w:szCs w:val="20"/>
          <w:lang w:eastAsia="es-ES"/>
        </w:rPr>
        <w:t>V</w:t>
      </w:r>
      <w:r w:rsidR="00F672B7" w:rsidRPr="00470C7C">
        <w:rPr>
          <w:rFonts w:eastAsia="Times New Roman" w:cs="Verdana"/>
          <w:b/>
          <w:bCs/>
          <w:caps/>
          <w:noProof/>
          <w:snapToGrid w:val="0"/>
          <w:szCs w:val="20"/>
          <w:lang w:eastAsia="es-ES"/>
        </w:rPr>
        <w:t>I</w:t>
      </w:r>
      <w:bookmarkEnd w:id="216"/>
      <w:bookmarkEnd w:id="217"/>
    </w:p>
    <w:p w14:paraId="058EC80F" w14:textId="77777777" w:rsidR="0003391C" w:rsidRPr="00470C7C" w:rsidRDefault="0003391C"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218" w:name="_Toc464813922"/>
      <w:r w:rsidRPr="00470C7C">
        <w:rPr>
          <w:rFonts w:eastAsia="Times New Roman" w:cs="Verdana"/>
          <w:b/>
          <w:bCs/>
          <w:caps/>
          <w:noProof/>
          <w:snapToGrid w:val="0"/>
          <w:szCs w:val="20"/>
          <w:lang w:eastAsia="es-ES"/>
        </w:rPr>
        <w:t>HECHOS</w:t>
      </w:r>
      <w:bookmarkEnd w:id="218"/>
      <w:r w:rsidR="00F27346" w:rsidRPr="00470C7C">
        <w:rPr>
          <w:rFonts w:eastAsia="Times New Roman" w:cs="Verdana"/>
          <w:b/>
          <w:bCs/>
          <w:caps/>
          <w:noProof/>
          <w:snapToGrid w:val="0"/>
          <w:szCs w:val="20"/>
          <w:lang w:eastAsia="es-ES"/>
        </w:rPr>
        <w:t xml:space="preserve"> </w:t>
      </w:r>
    </w:p>
    <w:p w14:paraId="519D9E12" w14:textId="77777777" w:rsidR="003D08A4" w:rsidRPr="00470C7C" w:rsidRDefault="003D08A4" w:rsidP="003D08A4">
      <w:pPr>
        <w:pStyle w:val="Prrafodelista"/>
        <w:ind w:left="0"/>
        <w:contextualSpacing w:val="0"/>
        <w:rPr>
          <w:rFonts w:cs="Tahoma"/>
          <w:szCs w:val="20"/>
        </w:rPr>
      </w:pPr>
      <w:bookmarkStart w:id="219" w:name="_Toc383161743"/>
    </w:p>
    <w:p w14:paraId="26C60257" w14:textId="77777777" w:rsidR="003D08A4" w:rsidRPr="00470C7C" w:rsidRDefault="00575B45" w:rsidP="003D08A4">
      <w:pPr>
        <w:pStyle w:val="Prrafodelista"/>
        <w:numPr>
          <w:ilvl w:val="0"/>
          <w:numId w:val="1"/>
        </w:numPr>
        <w:contextualSpacing w:val="0"/>
        <w:rPr>
          <w:rFonts w:cs="Tahoma"/>
          <w:szCs w:val="20"/>
        </w:rPr>
      </w:pPr>
      <w:r w:rsidRPr="00470C7C">
        <w:rPr>
          <w:rFonts w:cs="Tahoma"/>
          <w:szCs w:val="20"/>
        </w:rPr>
        <w:t>En el presente capítulo se expondrá</w:t>
      </w:r>
      <w:r w:rsidR="0002225D" w:rsidRPr="00470C7C">
        <w:rPr>
          <w:rFonts w:cs="Tahoma"/>
          <w:szCs w:val="20"/>
        </w:rPr>
        <w:t xml:space="preserve"> el contexto referente al caso y</w:t>
      </w:r>
      <w:r w:rsidRPr="00470C7C">
        <w:rPr>
          <w:rFonts w:cs="Tahoma"/>
          <w:szCs w:val="20"/>
        </w:rPr>
        <w:t xml:space="preserve"> los hechos </w:t>
      </w:r>
      <w:r w:rsidR="0002225D" w:rsidRPr="00470C7C">
        <w:rPr>
          <w:rFonts w:cs="Tahoma"/>
          <w:szCs w:val="20"/>
        </w:rPr>
        <w:t>concretos</w:t>
      </w:r>
      <w:r w:rsidRPr="00470C7C">
        <w:rPr>
          <w:rFonts w:cs="Tahoma"/>
          <w:szCs w:val="20"/>
        </w:rPr>
        <w:t xml:space="preserve"> </w:t>
      </w:r>
      <w:r w:rsidR="00D87E31" w:rsidRPr="00470C7C">
        <w:rPr>
          <w:rFonts w:cs="Times New Roman"/>
          <w:szCs w:val="20"/>
          <w:lang w:val="es-ES"/>
        </w:rPr>
        <w:t>dentro de la competencia temporal de la Corte</w:t>
      </w:r>
      <w:r w:rsidRPr="00470C7C">
        <w:rPr>
          <w:rFonts w:cs="Times New Roman"/>
          <w:szCs w:val="20"/>
        </w:rPr>
        <w:t>.</w:t>
      </w:r>
    </w:p>
    <w:p w14:paraId="1554895E" w14:textId="77777777" w:rsidR="003D08A4" w:rsidRPr="00470C7C" w:rsidRDefault="003D08A4" w:rsidP="003D08A4">
      <w:pPr>
        <w:pStyle w:val="Prrafodelista"/>
        <w:ind w:left="0"/>
        <w:contextualSpacing w:val="0"/>
        <w:rPr>
          <w:rFonts w:cs="Tahoma"/>
          <w:szCs w:val="20"/>
        </w:rPr>
      </w:pPr>
    </w:p>
    <w:p w14:paraId="672692BE" w14:textId="77777777" w:rsidR="0003391C" w:rsidRPr="00470C7C" w:rsidRDefault="00575B45" w:rsidP="003D08A4">
      <w:pPr>
        <w:pStyle w:val="Prrafodelista"/>
        <w:numPr>
          <w:ilvl w:val="0"/>
          <w:numId w:val="1"/>
        </w:numPr>
        <w:contextualSpacing w:val="0"/>
        <w:rPr>
          <w:rFonts w:cs="Tahoma"/>
          <w:szCs w:val="20"/>
        </w:rPr>
      </w:pPr>
      <w:r w:rsidRPr="00470C7C">
        <w:t xml:space="preserve">Los hechos anteriores a la fecha de ratificación de la competencia contenciosa de la Corte por parte de </w:t>
      </w:r>
      <w:r w:rsidR="00024FCB" w:rsidRPr="00470C7C">
        <w:t>Brasil</w:t>
      </w:r>
      <w:r w:rsidRPr="00470C7C">
        <w:t xml:space="preserve"> (</w:t>
      </w:r>
      <w:r w:rsidR="00024FCB" w:rsidRPr="00470C7C">
        <w:t>10 de diciembre de 1998</w:t>
      </w:r>
      <w:r w:rsidRPr="00470C7C">
        <w:t xml:space="preserve">) únicamente se </w:t>
      </w:r>
      <w:r w:rsidR="00946533" w:rsidRPr="00470C7C">
        <w:t>enuncian</w:t>
      </w:r>
      <w:r w:rsidR="004D156E" w:rsidRPr="00470C7C">
        <w:t xml:space="preserve"> </w:t>
      </w:r>
      <w:r w:rsidRPr="00470C7C">
        <w:t>como parte de</w:t>
      </w:r>
      <w:r w:rsidR="00927115" w:rsidRPr="00470C7C">
        <w:t>l contexto y</w:t>
      </w:r>
      <w:r w:rsidRPr="00470C7C">
        <w:t xml:space="preserve"> </w:t>
      </w:r>
      <w:r w:rsidR="00D85BC5" w:rsidRPr="00470C7C">
        <w:t xml:space="preserve">de </w:t>
      </w:r>
      <w:r w:rsidRPr="00470C7C">
        <w:t>los antecedentes del caso.</w:t>
      </w:r>
      <w:bookmarkEnd w:id="219"/>
    </w:p>
    <w:p w14:paraId="4DD87AAF" w14:textId="77777777" w:rsidR="003D08A4" w:rsidRPr="00470C7C" w:rsidRDefault="003D08A4" w:rsidP="003D08A4">
      <w:pPr>
        <w:pStyle w:val="Prrafodelista"/>
        <w:ind w:left="0"/>
        <w:contextualSpacing w:val="0"/>
        <w:rPr>
          <w:rFonts w:cs="Tahoma"/>
          <w:szCs w:val="20"/>
        </w:rPr>
      </w:pPr>
    </w:p>
    <w:p w14:paraId="04E7687D" w14:textId="77777777" w:rsidR="0003391C" w:rsidRPr="00470C7C" w:rsidRDefault="0003391C" w:rsidP="008B0BCC">
      <w:pPr>
        <w:pStyle w:val="Ttulo2"/>
        <w:numPr>
          <w:ilvl w:val="0"/>
          <w:numId w:val="17"/>
        </w:numPr>
        <w:rPr>
          <w:rFonts w:cs="Arial"/>
          <w:lang w:val="es-ES"/>
        </w:rPr>
      </w:pPr>
      <w:bookmarkStart w:id="220" w:name="_Toc464813923"/>
      <w:r w:rsidRPr="00470C7C">
        <w:rPr>
          <w:rFonts w:eastAsia="Batang"/>
          <w:noProof/>
          <w:lang w:eastAsia="es-ES"/>
        </w:rPr>
        <w:t>Contexto</w:t>
      </w:r>
      <w:bookmarkEnd w:id="220"/>
    </w:p>
    <w:p w14:paraId="3CA03FE1" w14:textId="77777777" w:rsidR="0008427B" w:rsidRPr="00470C7C" w:rsidRDefault="0008427B" w:rsidP="00140440">
      <w:pPr>
        <w:pStyle w:val="Prrafodelista"/>
        <w:autoSpaceDE w:val="0"/>
        <w:autoSpaceDN w:val="0"/>
        <w:adjustRightInd w:val="0"/>
        <w:contextualSpacing w:val="0"/>
        <w:rPr>
          <w:rFonts w:cs="Arial"/>
          <w:i/>
          <w:szCs w:val="20"/>
          <w:lang w:val="es-ES"/>
        </w:rPr>
      </w:pPr>
    </w:p>
    <w:p w14:paraId="6ABF649E" w14:textId="77777777" w:rsidR="0003391C" w:rsidRPr="00470C7C" w:rsidRDefault="0003391C" w:rsidP="00217CA8">
      <w:pPr>
        <w:pStyle w:val="Ttulo3"/>
      </w:pPr>
      <w:bookmarkStart w:id="221" w:name="_Toc460432999"/>
      <w:bookmarkStart w:id="222" w:name="_Toc460441930"/>
      <w:bookmarkStart w:id="223" w:name="_Toc462750748"/>
      <w:bookmarkStart w:id="224" w:name="_Toc462751072"/>
      <w:bookmarkStart w:id="225" w:name="_Toc464813924"/>
      <w:r w:rsidRPr="00470C7C">
        <w:t>A.1</w:t>
      </w:r>
      <w:r w:rsidR="00DC2886" w:rsidRPr="00470C7C">
        <w:t>.</w:t>
      </w:r>
      <w:r w:rsidRPr="00470C7C">
        <w:t xml:space="preserve"> Historia del trabajo esclavo en Brasil</w:t>
      </w:r>
      <w:bookmarkEnd w:id="221"/>
      <w:bookmarkEnd w:id="222"/>
      <w:bookmarkEnd w:id="223"/>
      <w:bookmarkEnd w:id="224"/>
      <w:bookmarkEnd w:id="225"/>
    </w:p>
    <w:p w14:paraId="4B83DEFC" w14:textId="77777777" w:rsidR="0003391C" w:rsidRPr="00470C7C" w:rsidRDefault="0003391C" w:rsidP="00140440">
      <w:pPr>
        <w:autoSpaceDE w:val="0"/>
        <w:autoSpaceDN w:val="0"/>
        <w:adjustRightInd w:val="0"/>
        <w:jc w:val="both"/>
        <w:rPr>
          <w:rFonts w:cs="Arial"/>
          <w:szCs w:val="20"/>
          <w:lang w:val="es-ES"/>
        </w:rPr>
      </w:pPr>
    </w:p>
    <w:p w14:paraId="1D0E3E5E"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comercio de esclavos ha estado históricamente ligado al </w:t>
      </w:r>
      <w:r w:rsidR="001B63D0" w:rsidRPr="00470C7C">
        <w:rPr>
          <w:rFonts w:cs="Arial"/>
          <w:szCs w:val="20"/>
          <w:lang w:val="es-ES"/>
        </w:rPr>
        <w:t>trabajo forzoso</w:t>
      </w:r>
      <w:r w:rsidRPr="00470C7C">
        <w:rPr>
          <w:rFonts w:cs="Arial"/>
          <w:szCs w:val="20"/>
          <w:lang w:val="es-ES"/>
        </w:rPr>
        <w:t xml:space="preserve"> en Brasil y la colonización portuguesa. Para la mitad del siglo XVIII alrededor del 40% de la población esclavizada en Brasil estaba involucrada en el cultivo de caña de azúcar. En 1850 fue abolido el comercio trasnacional de esclavos, lo que fortaleció el movimiento que buscaba la abolición de la esclavitud; posteriormente, en 1888 la esclavitud fue legalmente abolida</w:t>
      </w:r>
      <w:r w:rsidR="00F36464" w:rsidRPr="00470C7C">
        <w:rPr>
          <w:rFonts w:cs="Arial"/>
          <w:szCs w:val="20"/>
          <w:lang w:val="es-ES"/>
        </w:rPr>
        <w:t xml:space="preserve"> en Brasil</w:t>
      </w:r>
      <w:r w:rsidRPr="00470C7C">
        <w:rPr>
          <w:rFonts w:cs="Arial"/>
          <w:szCs w:val="20"/>
          <w:lang w:val="es-ES"/>
        </w:rPr>
        <w:t xml:space="preserve">. </w:t>
      </w:r>
    </w:p>
    <w:p w14:paraId="467B674D"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0736D5EF"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A pesar de la abolición legal, la pobreza y la concentración de la propiedad de las tierras fueron causas estructurales que provocaron la continuación del trabajo esclavo en Brasil</w:t>
      </w:r>
      <w:r w:rsidRPr="00470C7C">
        <w:rPr>
          <w:rStyle w:val="Refdenotaalpie"/>
          <w:rFonts w:cs="Arial"/>
          <w:lang w:val="es-ES"/>
        </w:rPr>
        <w:footnoteReference w:id="63"/>
      </w:r>
      <w:r w:rsidRPr="00470C7C">
        <w:rPr>
          <w:rFonts w:cs="Arial"/>
          <w:szCs w:val="20"/>
          <w:lang w:val="es-ES"/>
        </w:rPr>
        <w:t xml:space="preserve">. Al no tener tierras propias ni </w:t>
      </w:r>
      <w:r w:rsidR="00B73A8A" w:rsidRPr="00470C7C">
        <w:rPr>
          <w:rFonts w:cs="Arial"/>
          <w:szCs w:val="20"/>
          <w:lang w:val="es-ES"/>
        </w:rPr>
        <w:t xml:space="preserve">situaciones laborales </w:t>
      </w:r>
      <w:r w:rsidRPr="00470C7C">
        <w:rPr>
          <w:rFonts w:cs="Arial"/>
          <w:szCs w:val="20"/>
          <w:lang w:val="es-ES"/>
        </w:rPr>
        <w:t>estables</w:t>
      </w:r>
      <w:r w:rsidR="00724BEA" w:rsidRPr="00470C7C">
        <w:rPr>
          <w:rFonts w:cs="Arial"/>
          <w:szCs w:val="20"/>
          <w:lang w:val="es-ES"/>
        </w:rPr>
        <w:t>,</w:t>
      </w:r>
      <w:r w:rsidRPr="00470C7C">
        <w:rPr>
          <w:rFonts w:cs="Arial"/>
          <w:szCs w:val="20"/>
          <w:lang w:val="es-ES"/>
        </w:rPr>
        <w:t xml:space="preserve"> muchos trabajadores en Brasil se sometían a situaciones de explotación aceptando el riesgo de caer en condiciones de trabajo inhumanas y degradantes. En las décadas de 1960 y 1970 el trabajo esclavo en Brasil aumentó debido a la expansión de técnicas más modernas de trabajo rural</w:t>
      </w:r>
      <w:r w:rsidR="00AE53DD" w:rsidRPr="00470C7C">
        <w:rPr>
          <w:rFonts w:cs="Arial"/>
          <w:szCs w:val="20"/>
          <w:lang w:val="es-ES"/>
        </w:rPr>
        <w:t>,</w:t>
      </w:r>
      <w:r w:rsidRPr="00470C7C">
        <w:rPr>
          <w:rFonts w:cs="Arial"/>
          <w:szCs w:val="20"/>
          <w:lang w:val="es-ES"/>
        </w:rPr>
        <w:t xml:space="preserve"> que requerían de un mayor número de trabajadores</w:t>
      </w:r>
      <w:r w:rsidRPr="00470C7C">
        <w:rPr>
          <w:rStyle w:val="Refdenotaalpie"/>
          <w:rFonts w:cs="Arial"/>
          <w:lang w:val="es-ES"/>
        </w:rPr>
        <w:footnoteReference w:id="64"/>
      </w:r>
      <w:r w:rsidRPr="00470C7C">
        <w:rPr>
          <w:rFonts w:cs="Arial"/>
          <w:szCs w:val="20"/>
          <w:lang w:val="es-ES"/>
        </w:rPr>
        <w:t>. A mediados del siglo XX se intensificó la industrialización en la zona amazónica</w:t>
      </w:r>
      <w:r w:rsidRPr="00470C7C">
        <w:rPr>
          <w:rStyle w:val="Refdenotaalpie"/>
          <w:rFonts w:cs="Arial"/>
          <w:lang w:val="es-ES"/>
        </w:rPr>
        <w:footnoteReference w:id="65"/>
      </w:r>
      <w:r w:rsidRPr="00470C7C">
        <w:rPr>
          <w:rFonts w:cs="Arial"/>
          <w:szCs w:val="20"/>
          <w:lang w:val="es-ES"/>
        </w:rPr>
        <w:t>, y se favoreció el fenómeno de posesión ilegal y adjudicación descontrolada de tierras públicas, propiciando con ello la consolidación de prácticas de trabajo esclavo en haciendas de empresas privadas o empresas familiares poseedoras de amplias extensiones de terreno</w:t>
      </w:r>
      <w:r w:rsidRPr="00470C7C">
        <w:rPr>
          <w:rStyle w:val="Refdenotaalpie"/>
          <w:rFonts w:cs="Arial"/>
          <w:lang w:val="es-ES"/>
        </w:rPr>
        <w:footnoteReference w:id="66"/>
      </w:r>
      <w:r w:rsidRPr="00470C7C">
        <w:rPr>
          <w:rFonts w:cs="Times New Roman"/>
          <w:szCs w:val="20"/>
          <w:lang w:val="es-ES"/>
        </w:rPr>
        <w:t xml:space="preserve">. </w:t>
      </w:r>
      <w:r w:rsidRPr="00470C7C">
        <w:rPr>
          <w:rFonts w:cs="Arial"/>
          <w:szCs w:val="20"/>
          <w:lang w:val="es-ES"/>
        </w:rPr>
        <w:t xml:space="preserve">En este contexto existió una ausencia de </w:t>
      </w:r>
      <w:r w:rsidR="00B73A8A" w:rsidRPr="00470C7C">
        <w:rPr>
          <w:rFonts w:cs="Arial"/>
          <w:szCs w:val="20"/>
          <w:lang w:val="es-ES"/>
        </w:rPr>
        <w:t xml:space="preserve">control estatal </w:t>
      </w:r>
      <w:r w:rsidRPr="00470C7C">
        <w:rPr>
          <w:rFonts w:cs="Arial"/>
          <w:szCs w:val="20"/>
          <w:lang w:val="es-ES"/>
        </w:rPr>
        <w:t xml:space="preserve">en la región norte de Brasil, en donde </w:t>
      </w:r>
      <w:r w:rsidR="00B36EBC" w:rsidRPr="00470C7C">
        <w:rPr>
          <w:rFonts w:cs="Arial"/>
          <w:szCs w:val="20"/>
          <w:lang w:val="es-ES"/>
        </w:rPr>
        <w:t>algunas</w:t>
      </w:r>
      <w:r w:rsidRPr="00470C7C">
        <w:rPr>
          <w:rFonts w:cs="Arial"/>
          <w:szCs w:val="20"/>
          <w:lang w:val="es-ES"/>
        </w:rPr>
        <w:t xml:space="preserve"> autoridades regionales se </w:t>
      </w:r>
      <w:r w:rsidR="00B36EBC" w:rsidRPr="00470C7C">
        <w:rPr>
          <w:rFonts w:cs="Arial"/>
          <w:szCs w:val="20"/>
          <w:lang w:val="es-ES"/>
        </w:rPr>
        <w:t xml:space="preserve">habrían convertido </w:t>
      </w:r>
      <w:r w:rsidRPr="00470C7C">
        <w:rPr>
          <w:rFonts w:cs="Arial"/>
          <w:szCs w:val="20"/>
          <w:lang w:val="es-ES"/>
        </w:rPr>
        <w:t>en aliadas de los hacendados</w:t>
      </w:r>
      <w:r w:rsidRPr="00470C7C">
        <w:rPr>
          <w:rStyle w:val="Refdenotaalpie"/>
          <w:rFonts w:cs="Arial"/>
          <w:lang w:val="es-ES"/>
        </w:rPr>
        <w:footnoteReference w:id="67"/>
      </w:r>
      <w:r w:rsidRPr="00470C7C">
        <w:rPr>
          <w:rFonts w:cs="Arial"/>
          <w:szCs w:val="20"/>
          <w:lang w:val="es-ES"/>
        </w:rPr>
        <w:t>. Para el año 1995 el Estado comenzó a reconocer oficialmente la existencia de trabajo esclavo en Brasil</w:t>
      </w:r>
      <w:r w:rsidRPr="00470C7C">
        <w:rPr>
          <w:rStyle w:val="Refdenotaalpie"/>
          <w:rFonts w:cs="Arial"/>
          <w:lang w:val="es-ES"/>
        </w:rPr>
        <w:footnoteReference w:id="68"/>
      </w:r>
      <w:r w:rsidRPr="00470C7C">
        <w:rPr>
          <w:rFonts w:cs="Arial"/>
          <w:szCs w:val="20"/>
          <w:lang w:val="es-ES"/>
        </w:rPr>
        <w:t>. Según la OIT</w:t>
      </w:r>
      <w:r w:rsidR="00D85BC5" w:rsidRPr="00470C7C">
        <w:rPr>
          <w:rFonts w:cs="Arial"/>
          <w:szCs w:val="20"/>
          <w:lang w:val="es-ES"/>
        </w:rPr>
        <w:t>, en</w:t>
      </w:r>
      <w:r w:rsidRPr="00470C7C">
        <w:rPr>
          <w:rFonts w:cs="Arial"/>
          <w:szCs w:val="20"/>
          <w:lang w:val="es-ES"/>
        </w:rPr>
        <w:t xml:space="preserve"> 2010 existían en el mundo 12.3 millones de personas sometidas a </w:t>
      </w:r>
      <w:r w:rsidR="001B63D0" w:rsidRPr="00470C7C">
        <w:rPr>
          <w:rFonts w:cs="Arial"/>
          <w:szCs w:val="20"/>
          <w:lang w:val="es-ES"/>
        </w:rPr>
        <w:t>trabajo forzoso</w:t>
      </w:r>
      <w:r w:rsidRPr="00470C7C">
        <w:rPr>
          <w:rFonts w:cs="Arial"/>
          <w:szCs w:val="20"/>
          <w:lang w:val="es-ES"/>
        </w:rPr>
        <w:t>, 25.000 de las cuales estarían en Brasil</w:t>
      </w:r>
      <w:r w:rsidRPr="00470C7C">
        <w:rPr>
          <w:rStyle w:val="Refdenotaalpie"/>
          <w:rFonts w:cs="Arial"/>
          <w:lang w:val="es-ES"/>
        </w:rPr>
        <w:footnoteReference w:id="69"/>
      </w:r>
      <w:r w:rsidRPr="00470C7C">
        <w:rPr>
          <w:rFonts w:cs="Arial"/>
          <w:szCs w:val="20"/>
          <w:lang w:val="es-ES"/>
        </w:rPr>
        <w:t>.</w:t>
      </w:r>
      <w:r w:rsidRPr="00470C7C">
        <w:rPr>
          <w:rFonts w:cs="Times New Roman"/>
          <w:szCs w:val="20"/>
          <w:lang w:val="es-ES"/>
        </w:rPr>
        <w:t xml:space="preserve"> </w:t>
      </w:r>
    </w:p>
    <w:p w14:paraId="5DB9E6F2" w14:textId="77777777" w:rsidR="0003391C" w:rsidRPr="00470C7C" w:rsidRDefault="0003391C" w:rsidP="00140440">
      <w:pPr>
        <w:pStyle w:val="Prrafodelista"/>
        <w:contextualSpacing w:val="0"/>
        <w:rPr>
          <w:rFonts w:cs="Arial"/>
          <w:szCs w:val="20"/>
          <w:lang w:val="es-ES"/>
        </w:rPr>
      </w:pPr>
    </w:p>
    <w:p w14:paraId="3FDDC9CD" w14:textId="77777777" w:rsidR="0003391C" w:rsidRPr="00470C7C" w:rsidRDefault="0003391C" w:rsidP="008622F3">
      <w:pPr>
        <w:pStyle w:val="Ttulo3"/>
      </w:pPr>
      <w:bookmarkStart w:id="226" w:name="_Toc460433000"/>
      <w:bookmarkStart w:id="227" w:name="_Toc460441931"/>
      <w:bookmarkStart w:id="228" w:name="_Toc462750749"/>
      <w:bookmarkStart w:id="229" w:name="_Toc462751073"/>
      <w:bookmarkStart w:id="230" w:name="_Toc464813925"/>
      <w:r w:rsidRPr="00470C7C">
        <w:t>A.2</w:t>
      </w:r>
      <w:r w:rsidR="00DC2886" w:rsidRPr="00470C7C">
        <w:t>.</w:t>
      </w:r>
      <w:r w:rsidRPr="00470C7C">
        <w:t xml:space="preserve"> Características del trabajo esclavo en Brasil</w:t>
      </w:r>
      <w:bookmarkEnd w:id="226"/>
      <w:bookmarkEnd w:id="227"/>
      <w:bookmarkEnd w:id="228"/>
      <w:bookmarkEnd w:id="229"/>
      <w:bookmarkEnd w:id="230"/>
    </w:p>
    <w:p w14:paraId="3A9388ED" w14:textId="77777777" w:rsidR="0003391C" w:rsidRPr="00470C7C" w:rsidRDefault="0003391C" w:rsidP="00140440">
      <w:pPr>
        <w:autoSpaceDE w:val="0"/>
        <w:autoSpaceDN w:val="0"/>
        <w:adjustRightInd w:val="0"/>
        <w:jc w:val="both"/>
        <w:rPr>
          <w:rFonts w:cs="Arial"/>
          <w:szCs w:val="20"/>
          <w:lang w:val="es-ES"/>
        </w:rPr>
      </w:pPr>
    </w:p>
    <w:p w14:paraId="48F8C291" w14:textId="77777777" w:rsidR="0003391C" w:rsidRPr="00470C7C" w:rsidRDefault="000E0361"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 xml:space="preserve">La </w:t>
      </w:r>
      <w:r w:rsidR="0003391C" w:rsidRPr="00470C7C">
        <w:rPr>
          <w:rFonts w:cs="Arial"/>
          <w:szCs w:val="20"/>
          <w:lang w:val="es-ES"/>
        </w:rPr>
        <w:t>mayor cantidad de víctimas de trabajo esclavo en Brasil son trabajadores originarios de las regiones norte y noreste, de los estados que se caracterizan por ser los más pobres, con mayores índices de analfabetismo y de empleo rural: Maranhão, Piauí y Tocantins</w:t>
      </w:r>
      <w:r w:rsidR="00B36EBC" w:rsidRPr="00470C7C">
        <w:rPr>
          <w:rFonts w:cs="Arial"/>
          <w:szCs w:val="20"/>
          <w:lang w:val="es-ES"/>
        </w:rPr>
        <w:t>,</w:t>
      </w:r>
      <w:r w:rsidR="0003391C" w:rsidRPr="00470C7C">
        <w:rPr>
          <w:rStyle w:val="Refdenotaalpie"/>
          <w:rFonts w:cs="Arial"/>
          <w:lang w:val="es-ES"/>
        </w:rPr>
        <w:footnoteReference w:id="70"/>
      </w:r>
      <w:r w:rsidR="00B36EBC" w:rsidRPr="00470C7C">
        <w:rPr>
          <w:rFonts w:cs="Arial"/>
          <w:szCs w:val="20"/>
          <w:lang w:val="es-ES"/>
        </w:rPr>
        <w:t xml:space="preserve"> entre otros</w:t>
      </w:r>
      <w:r w:rsidR="0003391C" w:rsidRPr="00470C7C">
        <w:rPr>
          <w:rFonts w:cs="Arial"/>
          <w:szCs w:val="20"/>
          <w:lang w:val="es-ES"/>
        </w:rPr>
        <w:t xml:space="preserve">. Los trabajadores provenientes de estos estados se dirigen a los estados con mayor demanda de trabajo esclavo: Pará, Mato Grosso, </w:t>
      </w:r>
      <w:r w:rsidR="00D85BC5" w:rsidRPr="00470C7C">
        <w:rPr>
          <w:rFonts w:cs="Arial"/>
          <w:szCs w:val="20"/>
          <w:lang w:val="es-ES"/>
        </w:rPr>
        <w:t xml:space="preserve">Maranhão </w:t>
      </w:r>
      <w:r w:rsidR="0003391C" w:rsidRPr="00470C7C">
        <w:rPr>
          <w:rFonts w:cs="Arial"/>
          <w:szCs w:val="20"/>
          <w:lang w:val="es-ES"/>
        </w:rPr>
        <w:t>y Tocantins</w:t>
      </w:r>
      <w:r w:rsidR="0003391C" w:rsidRPr="00470C7C">
        <w:rPr>
          <w:rStyle w:val="Refdenotaalpie"/>
          <w:rFonts w:cs="Arial"/>
          <w:lang w:val="es-ES"/>
        </w:rPr>
        <w:footnoteReference w:id="71"/>
      </w:r>
      <w:r w:rsidR="0003391C" w:rsidRPr="00470C7C">
        <w:rPr>
          <w:rFonts w:cs="Arial"/>
          <w:szCs w:val="20"/>
          <w:lang w:val="es-ES"/>
        </w:rPr>
        <w:t>. Las actividades donde más se emplea trabajo esclavo son la ganadería, la agricultura a gran escala, la deforestación y la explotación de carbón</w:t>
      </w:r>
      <w:r w:rsidR="0003391C" w:rsidRPr="00470C7C">
        <w:rPr>
          <w:rStyle w:val="Refdenotaalpie"/>
          <w:rFonts w:cs="Arial"/>
          <w:lang w:val="es-ES"/>
        </w:rPr>
        <w:footnoteReference w:id="72"/>
      </w:r>
      <w:r w:rsidR="0003391C" w:rsidRPr="00470C7C">
        <w:rPr>
          <w:rFonts w:cs="Arial"/>
          <w:szCs w:val="20"/>
          <w:lang w:val="es-ES"/>
        </w:rPr>
        <w:t>.</w:t>
      </w:r>
    </w:p>
    <w:p w14:paraId="0A4CFFAF" w14:textId="77777777" w:rsidR="0003391C" w:rsidRPr="00470C7C" w:rsidRDefault="0003391C" w:rsidP="00140440">
      <w:pPr>
        <w:pStyle w:val="Prrafodelista"/>
        <w:autoSpaceDE w:val="0"/>
        <w:autoSpaceDN w:val="0"/>
        <w:adjustRightInd w:val="0"/>
        <w:ind w:left="0"/>
        <w:contextualSpacing w:val="0"/>
        <w:rPr>
          <w:rFonts w:cs="Times New Roman"/>
          <w:szCs w:val="20"/>
          <w:lang w:val="es-ES"/>
        </w:rPr>
      </w:pPr>
    </w:p>
    <w:p w14:paraId="46F9893B"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Los trabajadores, en su mayoría hombres pobres</w:t>
      </w:r>
      <w:r w:rsidR="00951161" w:rsidRPr="00470C7C">
        <w:rPr>
          <w:rFonts w:cs="Arial"/>
          <w:szCs w:val="20"/>
          <w:lang w:val="es-ES"/>
        </w:rPr>
        <w:t>,</w:t>
      </w:r>
      <w:r w:rsidRPr="00470C7C">
        <w:rPr>
          <w:rFonts w:cs="Arial"/>
          <w:szCs w:val="20"/>
          <w:lang w:val="es-ES"/>
        </w:rPr>
        <w:t xml:space="preserve"> </w:t>
      </w:r>
      <w:r w:rsidR="00951161" w:rsidRPr="00470C7C">
        <w:rPr>
          <w:rFonts w:cs="Arial"/>
          <w:szCs w:val="20"/>
          <w:lang w:val="es-ES"/>
        </w:rPr>
        <w:t>“</w:t>
      </w:r>
      <w:r w:rsidR="00C57C01" w:rsidRPr="00470C7C">
        <w:rPr>
          <w:rFonts w:cs="Arial"/>
          <w:szCs w:val="20"/>
          <w:lang w:val="es-ES"/>
        </w:rPr>
        <w:t>afrodescendientes o morenos (</w:t>
      </w:r>
      <w:r w:rsidR="00C57C01" w:rsidRPr="00470C7C">
        <w:rPr>
          <w:rFonts w:cs="Arial"/>
          <w:i/>
          <w:szCs w:val="20"/>
          <w:lang w:val="es-ES"/>
        </w:rPr>
        <w:t>mulatos</w:t>
      </w:r>
      <w:r w:rsidR="00C57C01" w:rsidRPr="00470C7C">
        <w:rPr>
          <w:rFonts w:cs="Arial"/>
          <w:szCs w:val="20"/>
          <w:lang w:val="es-ES"/>
        </w:rPr>
        <w:t>)</w:t>
      </w:r>
      <w:r w:rsidR="00951161" w:rsidRPr="00470C7C">
        <w:rPr>
          <w:rFonts w:cs="Arial"/>
          <w:szCs w:val="20"/>
          <w:lang w:val="es-ES"/>
        </w:rPr>
        <w:t>”</w:t>
      </w:r>
      <w:r w:rsidR="00951161" w:rsidRPr="00470C7C">
        <w:rPr>
          <w:rStyle w:val="Refdenotaalpie"/>
          <w:lang w:val="es-ES"/>
        </w:rPr>
        <w:footnoteReference w:id="73"/>
      </w:r>
      <w:r w:rsidR="00951161" w:rsidRPr="00470C7C">
        <w:rPr>
          <w:rFonts w:cs="Arial"/>
          <w:szCs w:val="20"/>
          <w:lang w:val="es-ES"/>
        </w:rPr>
        <w:t>,</w:t>
      </w:r>
      <w:r w:rsidR="00C57C01" w:rsidRPr="00470C7C">
        <w:rPr>
          <w:rFonts w:cs="Arial"/>
          <w:szCs w:val="20"/>
          <w:lang w:val="es-ES"/>
        </w:rPr>
        <w:t xml:space="preserve"> </w:t>
      </w:r>
      <w:r w:rsidRPr="00470C7C">
        <w:rPr>
          <w:rFonts w:cs="Arial"/>
          <w:szCs w:val="20"/>
          <w:lang w:val="es-ES"/>
        </w:rPr>
        <w:t>entre 18 y 40 años de edad</w:t>
      </w:r>
      <w:r w:rsidRPr="00470C7C">
        <w:rPr>
          <w:rStyle w:val="Refdenotaalpie"/>
          <w:rFonts w:cs="Arial"/>
          <w:lang w:val="es-ES"/>
        </w:rPr>
        <w:footnoteReference w:id="74"/>
      </w:r>
      <w:r w:rsidRPr="00470C7C">
        <w:rPr>
          <w:rFonts w:cs="Arial"/>
          <w:szCs w:val="20"/>
          <w:lang w:val="es-ES"/>
        </w:rPr>
        <w:t xml:space="preserve">, son reclutados en sus estados de origen por los </w:t>
      </w:r>
      <w:r w:rsidR="00CB2CC7" w:rsidRPr="00470C7C">
        <w:rPr>
          <w:rFonts w:cs="Arial"/>
          <w:i/>
          <w:szCs w:val="20"/>
          <w:lang w:val="es-ES"/>
        </w:rPr>
        <w:t>gatos</w:t>
      </w:r>
      <w:r w:rsidRPr="00470C7C">
        <w:rPr>
          <w:rStyle w:val="Refdenotaalpie"/>
          <w:rFonts w:cs="Arial"/>
          <w:lang w:val="es-ES"/>
        </w:rPr>
        <w:footnoteReference w:id="75"/>
      </w:r>
      <w:r w:rsidRPr="00470C7C">
        <w:rPr>
          <w:rFonts w:cs="Arial"/>
          <w:szCs w:val="20"/>
          <w:lang w:val="es-ES"/>
        </w:rPr>
        <w:t xml:space="preserve"> para trabajar en estados alejados, con la promesa de salarios atractivos</w:t>
      </w:r>
      <w:r w:rsidRPr="00470C7C">
        <w:rPr>
          <w:rStyle w:val="Refdenotaalpie"/>
          <w:rFonts w:cs="Arial"/>
          <w:lang w:val="es-ES"/>
        </w:rPr>
        <w:footnoteReference w:id="76"/>
      </w:r>
      <w:r w:rsidRPr="00470C7C">
        <w:rPr>
          <w:rFonts w:cs="Times New Roman"/>
          <w:szCs w:val="20"/>
          <w:lang w:val="es-ES"/>
        </w:rPr>
        <w:t xml:space="preserve">. </w:t>
      </w:r>
      <w:r w:rsidRPr="00470C7C">
        <w:rPr>
          <w:rFonts w:cs="Arial"/>
          <w:szCs w:val="20"/>
          <w:lang w:val="es-ES"/>
        </w:rPr>
        <w:t xml:space="preserve">Al llegar a las haciendas, los trabajadores son informados de que están en deuda con sus contratistas por su transporte, alimentación y hospedaje. Los salarios prometidos son reducidos y no cubren los costos ya asumidos. En algunos casos los trabajadores se endeudan cada vez más debido a que tienen que comprar todo lo que necesitan en las tiendas de las haciendas, </w:t>
      </w:r>
      <w:r w:rsidR="00F36464" w:rsidRPr="00470C7C">
        <w:rPr>
          <w:rFonts w:cs="Arial"/>
          <w:szCs w:val="20"/>
          <w:lang w:val="es-ES"/>
        </w:rPr>
        <w:t>a</w:t>
      </w:r>
      <w:r w:rsidRPr="00470C7C">
        <w:rPr>
          <w:rFonts w:cs="Arial"/>
          <w:szCs w:val="20"/>
          <w:lang w:val="es-ES"/>
        </w:rPr>
        <w:t xml:space="preserve"> precios inflados. Su deuda aumenta tanto que nunca pueden pagarla y se ven obligados a continuar trabajando</w:t>
      </w:r>
      <w:r w:rsidRPr="00470C7C">
        <w:rPr>
          <w:rStyle w:val="Refdenotaalpie"/>
          <w:rFonts w:cs="Arial"/>
          <w:lang w:val="es-ES"/>
        </w:rPr>
        <w:footnoteReference w:id="77"/>
      </w:r>
      <w:r w:rsidRPr="00470C7C">
        <w:rPr>
          <w:rFonts w:cs="Arial"/>
          <w:szCs w:val="20"/>
          <w:lang w:val="es-ES"/>
        </w:rPr>
        <w:t xml:space="preserve">. </w:t>
      </w:r>
    </w:p>
    <w:p w14:paraId="6E128029" w14:textId="77777777" w:rsidR="0003391C" w:rsidRPr="00470C7C" w:rsidRDefault="0003391C" w:rsidP="00140440">
      <w:pPr>
        <w:pStyle w:val="Prrafodelista"/>
        <w:contextualSpacing w:val="0"/>
        <w:rPr>
          <w:rFonts w:cs="Times New Roman"/>
          <w:szCs w:val="20"/>
          <w:lang w:val="es-ES"/>
        </w:rPr>
      </w:pPr>
    </w:p>
    <w:p w14:paraId="56CB9C08"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Times New Roman"/>
          <w:szCs w:val="20"/>
          <w:lang w:val="es-ES"/>
        </w:rPr>
        <w:t xml:space="preserve">Los trabajadores normalmente son vigilados por guardias armados que no les permiten </w:t>
      </w:r>
      <w:r w:rsidR="0044118F" w:rsidRPr="00470C7C">
        <w:rPr>
          <w:rFonts w:cs="Times New Roman"/>
          <w:szCs w:val="20"/>
          <w:lang w:val="es-ES"/>
        </w:rPr>
        <w:t>salir</w:t>
      </w:r>
      <w:r w:rsidR="005077BD" w:rsidRPr="00470C7C">
        <w:rPr>
          <w:rFonts w:cs="Times New Roman"/>
          <w:szCs w:val="20"/>
          <w:lang w:val="es-ES"/>
        </w:rPr>
        <w:t xml:space="preserve"> </w:t>
      </w:r>
      <w:r w:rsidRPr="00470C7C">
        <w:rPr>
          <w:rFonts w:cs="Times New Roman"/>
          <w:szCs w:val="20"/>
          <w:lang w:val="es-ES"/>
        </w:rPr>
        <w:t>de las haciendas. Si intentan huir usualmente son agredidos</w:t>
      </w:r>
      <w:r w:rsidRPr="00470C7C">
        <w:rPr>
          <w:rStyle w:val="Refdenotaalpie"/>
          <w:lang w:val="es-ES"/>
        </w:rPr>
        <w:footnoteReference w:id="78"/>
      </w:r>
      <w:r w:rsidRPr="00470C7C">
        <w:rPr>
          <w:rFonts w:cs="Times New Roman"/>
          <w:szCs w:val="20"/>
          <w:lang w:val="es-ES"/>
        </w:rPr>
        <w:t>. Además, la localización geográfica de las haciendas puede ser por sí misma un elemento que limita la libertad de los trabajadores</w:t>
      </w:r>
      <w:r w:rsidR="004865E0" w:rsidRPr="00470C7C">
        <w:rPr>
          <w:rFonts w:cs="Times New Roman"/>
          <w:szCs w:val="20"/>
          <w:lang w:val="es-ES"/>
        </w:rPr>
        <w:t>,</w:t>
      </w:r>
      <w:r w:rsidRPr="00470C7C">
        <w:rPr>
          <w:rFonts w:cs="Times New Roman"/>
          <w:szCs w:val="20"/>
          <w:lang w:val="es-ES"/>
        </w:rPr>
        <w:t xml:space="preserve"> puesto que muchas veces el acceso a centros urbanos es casi imposible, debido no</w:t>
      </w:r>
      <w:r w:rsidR="00B54FB3" w:rsidRPr="00470C7C">
        <w:rPr>
          <w:rFonts w:cs="Times New Roman"/>
          <w:szCs w:val="20"/>
          <w:lang w:val="es-ES"/>
        </w:rPr>
        <w:t xml:space="preserve"> solo</w:t>
      </w:r>
      <w:r w:rsidR="00711223" w:rsidRPr="00470C7C">
        <w:rPr>
          <w:rFonts w:cs="Times New Roman"/>
          <w:szCs w:val="20"/>
          <w:lang w:val="es-ES"/>
        </w:rPr>
        <w:t xml:space="preserve"> </w:t>
      </w:r>
      <w:r w:rsidRPr="00470C7C">
        <w:rPr>
          <w:rFonts w:cs="Times New Roman"/>
          <w:szCs w:val="20"/>
          <w:lang w:val="es-ES"/>
        </w:rPr>
        <w:t>a la distancia sino también a la precariedad de las vías de acceso</w:t>
      </w:r>
      <w:r w:rsidRPr="00470C7C">
        <w:rPr>
          <w:rStyle w:val="Refdenotaalpie"/>
          <w:lang w:val="es-ES"/>
        </w:rPr>
        <w:footnoteReference w:id="79"/>
      </w:r>
      <w:r w:rsidRPr="00470C7C">
        <w:rPr>
          <w:rFonts w:cs="Times New Roman"/>
          <w:szCs w:val="20"/>
          <w:lang w:val="es-ES"/>
        </w:rPr>
        <w:t>. Algunos trabajadores sufren abuso físico, sexual y verbal, además de trabajar en condiciones peligrosas</w:t>
      </w:r>
      <w:r w:rsidR="00F36464" w:rsidRPr="00470C7C">
        <w:rPr>
          <w:rFonts w:cs="Times New Roman"/>
          <w:szCs w:val="20"/>
          <w:lang w:val="es-ES"/>
        </w:rPr>
        <w:t>,</w:t>
      </w:r>
      <w:r w:rsidRPr="00470C7C">
        <w:rPr>
          <w:rFonts w:cs="Times New Roman"/>
          <w:szCs w:val="20"/>
          <w:lang w:val="es-ES"/>
        </w:rPr>
        <w:t xml:space="preserve"> antihigiénicas</w:t>
      </w:r>
      <w:r w:rsidR="00F36464" w:rsidRPr="00470C7C">
        <w:rPr>
          <w:rFonts w:cs="Times New Roman"/>
          <w:szCs w:val="20"/>
          <w:lang w:val="es-ES"/>
        </w:rPr>
        <w:t xml:space="preserve"> y degradantes</w:t>
      </w:r>
      <w:r w:rsidRPr="00470C7C">
        <w:rPr>
          <w:rStyle w:val="Refdenotaalpie"/>
          <w:lang w:val="es-ES"/>
        </w:rPr>
        <w:footnoteReference w:id="80"/>
      </w:r>
      <w:r w:rsidRPr="00470C7C">
        <w:rPr>
          <w:rFonts w:cs="Times New Roman"/>
          <w:szCs w:val="20"/>
          <w:lang w:val="es-ES"/>
        </w:rPr>
        <w:t>. Debido a su extrema pobreza, su situación de vulnerabilidad y su desesperación por trabajar, los trabajadores</w:t>
      </w:r>
      <w:r w:rsidR="00F36464" w:rsidRPr="00470C7C">
        <w:rPr>
          <w:rFonts w:cs="Times New Roman"/>
          <w:szCs w:val="20"/>
          <w:lang w:val="es-ES"/>
        </w:rPr>
        <w:t xml:space="preserve"> muchas veces</w:t>
      </w:r>
      <w:r w:rsidRPr="00470C7C">
        <w:rPr>
          <w:rFonts w:cs="Times New Roman"/>
          <w:szCs w:val="20"/>
          <w:lang w:val="es-ES"/>
        </w:rPr>
        <w:t xml:space="preserve"> aceptan las condiciones de trabajo</w:t>
      </w:r>
      <w:r w:rsidR="00B73A8A" w:rsidRPr="00470C7C">
        <w:rPr>
          <w:rFonts w:cs="Times New Roman"/>
          <w:szCs w:val="20"/>
          <w:lang w:val="es-ES"/>
        </w:rPr>
        <w:t xml:space="preserve"> antes descritas</w:t>
      </w:r>
      <w:r w:rsidRPr="00470C7C">
        <w:rPr>
          <w:rStyle w:val="Refdenotaalpie"/>
          <w:lang w:val="es-ES"/>
        </w:rPr>
        <w:footnoteReference w:id="81"/>
      </w:r>
      <w:r w:rsidRPr="00470C7C">
        <w:rPr>
          <w:rFonts w:cs="Times New Roman"/>
          <w:szCs w:val="20"/>
          <w:lang w:val="es-ES"/>
        </w:rPr>
        <w:t>.</w:t>
      </w:r>
    </w:p>
    <w:p w14:paraId="5C2DB18D" w14:textId="77777777" w:rsidR="0003391C" w:rsidRPr="00470C7C" w:rsidRDefault="0003391C" w:rsidP="00140440">
      <w:pPr>
        <w:pStyle w:val="Prrafodelista"/>
        <w:autoSpaceDE w:val="0"/>
        <w:autoSpaceDN w:val="0"/>
        <w:adjustRightInd w:val="0"/>
        <w:ind w:left="0"/>
        <w:contextualSpacing w:val="0"/>
        <w:rPr>
          <w:rFonts w:cs="Times New Roman"/>
          <w:szCs w:val="20"/>
          <w:lang w:val="es-ES"/>
        </w:rPr>
      </w:pPr>
    </w:p>
    <w:p w14:paraId="60015579"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 xml:space="preserve">Respecto a las investigaciones por estos hechos, de acuerdo con la OIT la impunidad respecto al sometimiento a trabajo esclavo se debe a la articulación de los terratenientes con </w:t>
      </w:r>
      <w:r w:rsidR="00F36464" w:rsidRPr="00470C7C">
        <w:rPr>
          <w:rFonts w:cs="Arial"/>
          <w:szCs w:val="20"/>
          <w:lang w:val="es-ES"/>
        </w:rPr>
        <w:t xml:space="preserve">sectores de </w:t>
      </w:r>
      <w:r w:rsidRPr="00470C7C">
        <w:rPr>
          <w:rFonts w:cs="Arial"/>
          <w:szCs w:val="20"/>
          <w:lang w:val="es-ES"/>
        </w:rPr>
        <w:t>los poderes</w:t>
      </w:r>
      <w:r w:rsidR="000D4EF8" w:rsidRPr="00470C7C">
        <w:rPr>
          <w:rFonts w:cs="Arial"/>
          <w:szCs w:val="20"/>
          <w:lang w:val="es-ES"/>
        </w:rPr>
        <w:t xml:space="preserve"> </w:t>
      </w:r>
      <w:r w:rsidRPr="00470C7C">
        <w:rPr>
          <w:rFonts w:cs="Arial"/>
          <w:szCs w:val="20"/>
          <w:lang w:val="es-ES"/>
        </w:rPr>
        <w:t>federal</w:t>
      </w:r>
      <w:r w:rsidR="00236F0B" w:rsidRPr="00470C7C">
        <w:rPr>
          <w:rFonts w:cs="Arial"/>
          <w:szCs w:val="20"/>
          <w:lang w:val="es-ES"/>
        </w:rPr>
        <w:t>es</w:t>
      </w:r>
      <w:r w:rsidRPr="00470C7C">
        <w:rPr>
          <w:rFonts w:cs="Arial"/>
          <w:szCs w:val="20"/>
          <w:lang w:val="es-ES"/>
        </w:rPr>
        <w:t>, estaduales y municipales en Brasil. Muchos terratenientes ejercen dominio e influencia en diferentes instancias del poder nacional, ya sea de forma directa o indirecta</w:t>
      </w:r>
      <w:r w:rsidRPr="00470C7C">
        <w:rPr>
          <w:rStyle w:val="Refdenotaalpie"/>
          <w:rFonts w:cs="Arial"/>
          <w:lang w:val="es-ES"/>
        </w:rPr>
        <w:footnoteReference w:id="82"/>
      </w:r>
      <w:r w:rsidRPr="00470C7C">
        <w:rPr>
          <w:rFonts w:cs="Arial"/>
          <w:szCs w:val="20"/>
          <w:lang w:val="es-ES"/>
        </w:rPr>
        <w:t xml:space="preserve">. </w:t>
      </w:r>
    </w:p>
    <w:p w14:paraId="2E38E856" w14:textId="77777777" w:rsidR="0003391C" w:rsidRPr="00470C7C" w:rsidRDefault="0003391C" w:rsidP="00140440">
      <w:pPr>
        <w:pStyle w:val="Prrafodelista"/>
        <w:autoSpaceDE w:val="0"/>
        <w:autoSpaceDN w:val="0"/>
        <w:adjustRightInd w:val="0"/>
        <w:ind w:left="0"/>
        <w:contextualSpacing w:val="0"/>
        <w:rPr>
          <w:rFonts w:cs="Times New Roman"/>
          <w:szCs w:val="20"/>
          <w:lang w:val="es-ES"/>
        </w:rPr>
      </w:pPr>
    </w:p>
    <w:p w14:paraId="5835FBDD" w14:textId="77777777" w:rsidR="0003391C" w:rsidRPr="00470C7C" w:rsidRDefault="0003391C" w:rsidP="008622F3">
      <w:pPr>
        <w:pStyle w:val="Ttulo3"/>
      </w:pPr>
      <w:bookmarkStart w:id="231" w:name="_Toc460433001"/>
      <w:bookmarkStart w:id="232" w:name="_Toc460441932"/>
      <w:bookmarkStart w:id="233" w:name="_Toc462750750"/>
      <w:bookmarkStart w:id="234" w:name="_Toc462751074"/>
      <w:bookmarkStart w:id="235" w:name="_Toc464813926"/>
      <w:r w:rsidRPr="00470C7C">
        <w:t>A.3</w:t>
      </w:r>
      <w:r w:rsidR="00DC2886" w:rsidRPr="00470C7C">
        <w:t>.</w:t>
      </w:r>
      <w:r w:rsidRPr="00470C7C">
        <w:t xml:space="preserve"> Medidas adoptadas por el Estado</w:t>
      </w:r>
      <w:bookmarkEnd w:id="231"/>
      <w:bookmarkEnd w:id="232"/>
      <w:bookmarkEnd w:id="233"/>
      <w:bookmarkEnd w:id="234"/>
      <w:bookmarkEnd w:id="235"/>
    </w:p>
    <w:p w14:paraId="2A0C3836" w14:textId="77777777" w:rsidR="0003391C" w:rsidRPr="00470C7C" w:rsidRDefault="0003391C" w:rsidP="00140440">
      <w:pPr>
        <w:pStyle w:val="Prrafodelista"/>
        <w:contextualSpacing w:val="0"/>
        <w:rPr>
          <w:rFonts w:cs="Times New Roman"/>
          <w:szCs w:val="20"/>
          <w:lang w:val="es-ES"/>
        </w:rPr>
      </w:pPr>
    </w:p>
    <w:p w14:paraId="31D52AD0" w14:textId="77777777" w:rsidR="000D47F8" w:rsidRPr="00470C7C" w:rsidRDefault="0003391C" w:rsidP="00140440">
      <w:pPr>
        <w:pStyle w:val="Prrafodelista"/>
        <w:numPr>
          <w:ilvl w:val="0"/>
          <w:numId w:val="1"/>
        </w:numPr>
        <w:autoSpaceDE w:val="0"/>
        <w:autoSpaceDN w:val="0"/>
        <w:adjustRightInd w:val="0"/>
        <w:contextualSpacing w:val="0"/>
        <w:rPr>
          <w:rFonts w:eastAsia="Batang" w:cs="Times"/>
          <w:szCs w:val="24"/>
          <w:lang w:val="es-MX"/>
        </w:rPr>
      </w:pPr>
      <w:r w:rsidRPr="00470C7C">
        <w:rPr>
          <w:rFonts w:cs="Arial"/>
          <w:szCs w:val="20"/>
          <w:lang w:val="es-ES"/>
        </w:rPr>
        <w:t xml:space="preserve">A partir de 1995, el Estado brasileño reconoció la existencia de trabajo esclavo y </w:t>
      </w:r>
      <w:r w:rsidR="00A95E5E" w:rsidRPr="00470C7C">
        <w:rPr>
          <w:rFonts w:cs="Arial"/>
          <w:szCs w:val="20"/>
          <w:lang w:val="es-ES"/>
        </w:rPr>
        <w:t xml:space="preserve">pasó a tomar </w:t>
      </w:r>
      <w:r w:rsidRPr="00470C7C">
        <w:rPr>
          <w:rFonts w:cs="Arial"/>
          <w:szCs w:val="20"/>
          <w:lang w:val="es-ES"/>
        </w:rPr>
        <w:t>medidas tendientes a combatirlo</w:t>
      </w:r>
      <w:r w:rsidRPr="00470C7C">
        <w:rPr>
          <w:rStyle w:val="Refdenotaalpie"/>
          <w:rFonts w:cs="Arial"/>
          <w:lang w:val="es-ES"/>
        </w:rPr>
        <w:footnoteReference w:id="83"/>
      </w:r>
      <w:r w:rsidRPr="00470C7C">
        <w:rPr>
          <w:rFonts w:cs="Arial"/>
          <w:szCs w:val="20"/>
          <w:lang w:val="es-ES"/>
        </w:rPr>
        <w:t xml:space="preserve">. </w:t>
      </w:r>
    </w:p>
    <w:p w14:paraId="59D83412" w14:textId="77777777" w:rsidR="000D47F8" w:rsidRPr="00470C7C" w:rsidRDefault="000D47F8" w:rsidP="00140440">
      <w:pPr>
        <w:pStyle w:val="Prrafodelista"/>
        <w:autoSpaceDE w:val="0"/>
        <w:autoSpaceDN w:val="0"/>
        <w:adjustRightInd w:val="0"/>
        <w:ind w:left="0"/>
        <w:contextualSpacing w:val="0"/>
        <w:rPr>
          <w:rFonts w:eastAsia="Batang" w:cs="Times"/>
          <w:szCs w:val="24"/>
          <w:lang w:val="es-MX"/>
        </w:rPr>
      </w:pPr>
    </w:p>
    <w:p w14:paraId="56526D74" w14:textId="77777777" w:rsidR="00B130B5" w:rsidRPr="00470C7C" w:rsidRDefault="00B562AE" w:rsidP="00140440">
      <w:pPr>
        <w:pStyle w:val="Prrafodelista"/>
        <w:numPr>
          <w:ilvl w:val="0"/>
          <w:numId w:val="1"/>
        </w:numPr>
        <w:autoSpaceDE w:val="0"/>
        <w:autoSpaceDN w:val="0"/>
        <w:adjustRightInd w:val="0"/>
        <w:contextualSpacing w:val="0"/>
        <w:rPr>
          <w:rFonts w:eastAsia="Batang" w:cs="Times"/>
          <w:szCs w:val="24"/>
          <w:lang w:val="es-MX"/>
        </w:rPr>
      </w:pPr>
      <w:r w:rsidRPr="00470C7C">
        <w:rPr>
          <w:rFonts w:cs="Arial"/>
          <w:szCs w:val="20"/>
          <w:lang w:val="es-ES"/>
        </w:rPr>
        <w:t xml:space="preserve">Para ello, </w:t>
      </w:r>
      <w:r w:rsidR="00A56B1B" w:rsidRPr="00470C7C">
        <w:rPr>
          <w:rFonts w:cs="Arial"/>
          <w:szCs w:val="20"/>
          <w:lang w:val="es-ES"/>
        </w:rPr>
        <w:t>e</w:t>
      </w:r>
      <w:r w:rsidR="0003391C" w:rsidRPr="00470C7C">
        <w:rPr>
          <w:rFonts w:cs="Arial"/>
          <w:szCs w:val="20"/>
          <w:lang w:val="es-ES"/>
        </w:rPr>
        <w:t xml:space="preserve">ntre otras medidas, </w:t>
      </w:r>
      <w:r w:rsidR="00EC0B4B" w:rsidRPr="00470C7C">
        <w:rPr>
          <w:rFonts w:eastAsia="Batang" w:cs="Times"/>
          <w:szCs w:val="24"/>
          <w:lang w:val="es-MX"/>
        </w:rPr>
        <w:t xml:space="preserve">emitió el Decreto número 1.538, por el que creó el Grupo Interministerial para Erradicar el </w:t>
      </w:r>
      <w:r w:rsidR="001B63D0" w:rsidRPr="00470C7C">
        <w:rPr>
          <w:rFonts w:eastAsia="Batang" w:cs="Times"/>
          <w:szCs w:val="24"/>
          <w:lang w:val="es-MX"/>
        </w:rPr>
        <w:t xml:space="preserve">Trabajo </w:t>
      </w:r>
      <w:proofErr w:type="gramStart"/>
      <w:r w:rsidR="00F2604C" w:rsidRPr="00470C7C">
        <w:rPr>
          <w:rFonts w:eastAsia="Batang" w:cs="Times"/>
          <w:szCs w:val="24"/>
          <w:lang w:val="es-MX"/>
        </w:rPr>
        <w:t>F</w:t>
      </w:r>
      <w:r w:rsidR="001B63D0" w:rsidRPr="00470C7C">
        <w:rPr>
          <w:rFonts w:eastAsia="Batang" w:cs="Times"/>
          <w:szCs w:val="24"/>
          <w:lang w:val="es-MX"/>
        </w:rPr>
        <w:t>orzoso</w:t>
      </w:r>
      <w:r w:rsidR="00EC0B4B" w:rsidRPr="00470C7C">
        <w:rPr>
          <w:rFonts w:eastAsia="Batang" w:cs="Times"/>
          <w:szCs w:val="24"/>
          <w:lang w:val="es-MX"/>
        </w:rPr>
        <w:t xml:space="preserve">  (</w:t>
      </w:r>
      <w:proofErr w:type="gramEnd"/>
      <w:r w:rsidR="00EC0B4B" w:rsidRPr="00470C7C">
        <w:rPr>
          <w:rFonts w:eastAsia="Batang" w:cs="Times"/>
          <w:szCs w:val="24"/>
          <w:lang w:val="es-MX"/>
        </w:rPr>
        <w:t>GERTRAF), integrado por diversos ministerios y coordinado por el Ministerio del Trabajo, con la participación de varias entidades, instituciones</w:t>
      </w:r>
      <w:r w:rsidR="00846555" w:rsidRPr="00470C7C">
        <w:rPr>
          <w:rFonts w:eastAsia="Batang" w:cs="Times"/>
          <w:szCs w:val="24"/>
          <w:lang w:val="es-MX"/>
        </w:rPr>
        <w:t>,</w:t>
      </w:r>
      <w:r w:rsidR="00A3249B" w:rsidRPr="00470C7C">
        <w:rPr>
          <w:rFonts w:eastAsia="Batang" w:cs="Times"/>
          <w:szCs w:val="24"/>
          <w:lang w:val="es-MX"/>
        </w:rPr>
        <w:t xml:space="preserve"> y</w:t>
      </w:r>
      <w:r w:rsidR="00EC0B4B" w:rsidRPr="00470C7C">
        <w:rPr>
          <w:rFonts w:eastAsia="Batang" w:cs="Times"/>
          <w:szCs w:val="24"/>
          <w:lang w:val="es-MX"/>
        </w:rPr>
        <w:t xml:space="preserve"> la </w:t>
      </w:r>
      <w:r w:rsidR="00A3249B" w:rsidRPr="00470C7C">
        <w:rPr>
          <w:rFonts w:eastAsia="Batang" w:cs="Times"/>
          <w:szCs w:val="24"/>
          <w:lang w:val="es-MX"/>
        </w:rPr>
        <w:t xml:space="preserve">propia </w:t>
      </w:r>
      <w:r w:rsidR="00EC0B4B" w:rsidRPr="00470C7C">
        <w:rPr>
          <w:rFonts w:eastAsia="Batang" w:cs="Times"/>
          <w:szCs w:val="24"/>
          <w:lang w:val="es-MX"/>
        </w:rPr>
        <w:t>Organización Internacional del Trabajo (OIT)</w:t>
      </w:r>
      <w:r w:rsidR="00A3249B" w:rsidRPr="00470C7C">
        <w:rPr>
          <w:rFonts w:eastAsia="Batang" w:cs="Times"/>
          <w:szCs w:val="24"/>
          <w:lang w:val="es-MX"/>
        </w:rPr>
        <w:t>. Asimismo, fue creado</w:t>
      </w:r>
      <w:r w:rsidR="00A56B1B" w:rsidRPr="00470C7C">
        <w:rPr>
          <w:rFonts w:cs="Arial"/>
          <w:szCs w:val="20"/>
          <w:lang w:val="es-ES"/>
        </w:rPr>
        <w:t xml:space="preserve"> el “Grupo Especial de Fiscalización Móvil” </w:t>
      </w:r>
      <w:r w:rsidR="00A56B1B" w:rsidRPr="00470C7C">
        <w:rPr>
          <w:rFonts w:eastAsia="Batang" w:cs="Times"/>
          <w:szCs w:val="24"/>
          <w:lang w:val="es-MX"/>
        </w:rPr>
        <w:t xml:space="preserve">con atribuciones para actuar en </w:t>
      </w:r>
      <w:r w:rsidR="00846555" w:rsidRPr="00470C7C">
        <w:rPr>
          <w:rFonts w:eastAsia="Batang" w:cs="Times"/>
          <w:szCs w:val="24"/>
          <w:lang w:val="es-MX"/>
        </w:rPr>
        <w:t>zonas</w:t>
      </w:r>
      <w:r w:rsidR="00A56B1B" w:rsidRPr="00470C7C">
        <w:rPr>
          <w:rFonts w:eastAsia="Batang" w:cs="Times"/>
          <w:szCs w:val="24"/>
          <w:lang w:val="es-MX"/>
        </w:rPr>
        <w:t xml:space="preserve"> rural</w:t>
      </w:r>
      <w:r w:rsidR="00846555" w:rsidRPr="00470C7C">
        <w:rPr>
          <w:rFonts w:eastAsia="Batang" w:cs="Times"/>
          <w:szCs w:val="24"/>
          <w:lang w:val="es-MX"/>
        </w:rPr>
        <w:t>es</w:t>
      </w:r>
      <w:r w:rsidR="00A56B1B" w:rsidRPr="00470C7C">
        <w:rPr>
          <w:rFonts w:eastAsia="Batang" w:cs="Times"/>
          <w:szCs w:val="24"/>
          <w:lang w:val="es-MX"/>
        </w:rPr>
        <w:t xml:space="preserve"> e investigar denuncias de trabajo esclavo, apoyando las operaciones del Grupo Interministerial para Erradicar el </w:t>
      </w:r>
      <w:r w:rsidR="001B63D0" w:rsidRPr="00470C7C">
        <w:rPr>
          <w:rFonts w:eastAsia="Batang" w:cs="Times"/>
          <w:szCs w:val="24"/>
          <w:lang w:val="es-MX"/>
        </w:rPr>
        <w:t xml:space="preserve">Trabajo </w:t>
      </w:r>
      <w:r w:rsidR="00A3249B" w:rsidRPr="00470C7C">
        <w:rPr>
          <w:rFonts w:eastAsia="Batang" w:cs="Times"/>
          <w:szCs w:val="24"/>
          <w:lang w:val="es-MX"/>
        </w:rPr>
        <w:t>F</w:t>
      </w:r>
      <w:r w:rsidR="001B63D0" w:rsidRPr="00470C7C">
        <w:rPr>
          <w:rFonts w:eastAsia="Batang" w:cs="Times"/>
          <w:szCs w:val="24"/>
          <w:lang w:val="es-MX"/>
        </w:rPr>
        <w:t>orzoso</w:t>
      </w:r>
      <w:r w:rsidR="0003391C" w:rsidRPr="00470C7C">
        <w:rPr>
          <w:rStyle w:val="Refdenotaalpie"/>
          <w:rFonts w:cs="Arial"/>
          <w:lang w:val="es-ES"/>
        </w:rPr>
        <w:footnoteReference w:id="84"/>
      </w:r>
      <w:r w:rsidR="00A56B1B" w:rsidRPr="00470C7C">
        <w:rPr>
          <w:rFonts w:cs="Arial"/>
          <w:szCs w:val="20"/>
          <w:lang w:val="es-ES"/>
        </w:rPr>
        <w:t>.</w:t>
      </w:r>
    </w:p>
    <w:p w14:paraId="333DEFF4" w14:textId="77777777" w:rsidR="00B130B5" w:rsidRPr="00470C7C" w:rsidRDefault="00B130B5" w:rsidP="00140440">
      <w:pPr>
        <w:pStyle w:val="Prrafodelista"/>
        <w:autoSpaceDE w:val="0"/>
        <w:autoSpaceDN w:val="0"/>
        <w:adjustRightInd w:val="0"/>
        <w:ind w:left="0"/>
        <w:contextualSpacing w:val="0"/>
        <w:rPr>
          <w:rFonts w:eastAsia="Batang" w:cs="Times"/>
          <w:szCs w:val="24"/>
          <w:lang w:val="es-MX"/>
        </w:rPr>
      </w:pPr>
    </w:p>
    <w:p w14:paraId="6A2B444C" w14:textId="77777777" w:rsidR="00B130B5" w:rsidRPr="00470C7C" w:rsidRDefault="00B130B5" w:rsidP="00140440">
      <w:pPr>
        <w:pStyle w:val="Prrafodelista"/>
        <w:numPr>
          <w:ilvl w:val="0"/>
          <w:numId w:val="1"/>
        </w:numPr>
        <w:autoSpaceDE w:val="0"/>
        <w:autoSpaceDN w:val="0"/>
        <w:adjustRightInd w:val="0"/>
        <w:contextualSpacing w:val="0"/>
        <w:rPr>
          <w:rFonts w:eastAsia="Batang" w:cs="Times"/>
          <w:szCs w:val="24"/>
          <w:lang w:val="es-MX"/>
        </w:rPr>
      </w:pPr>
      <w:r w:rsidRPr="00470C7C">
        <w:rPr>
          <w:rFonts w:cs="Times New Roman"/>
          <w:szCs w:val="20"/>
          <w:lang w:val="es-ES"/>
        </w:rPr>
        <w:t>E</w:t>
      </w:r>
      <w:r w:rsidR="0003391C" w:rsidRPr="00470C7C">
        <w:rPr>
          <w:rFonts w:cs="Times New Roman"/>
          <w:szCs w:val="20"/>
          <w:lang w:val="es-ES"/>
        </w:rPr>
        <w:t>n 2002 realizó</w:t>
      </w:r>
      <w:r w:rsidR="00516087" w:rsidRPr="00470C7C">
        <w:rPr>
          <w:rFonts w:cs="Times New Roman"/>
          <w:szCs w:val="20"/>
          <w:lang w:val="es-ES"/>
        </w:rPr>
        <w:t>,</w:t>
      </w:r>
      <w:r w:rsidR="0003391C" w:rsidRPr="00470C7C">
        <w:rPr>
          <w:rFonts w:cs="Times New Roman"/>
          <w:szCs w:val="20"/>
          <w:lang w:val="es-ES"/>
        </w:rPr>
        <w:t xml:space="preserve"> junto con la OIT</w:t>
      </w:r>
      <w:r w:rsidR="00516087" w:rsidRPr="00470C7C">
        <w:rPr>
          <w:rFonts w:cs="Times New Roman"/>
          <w:szCs w:val="20"/>
          <w:lang w:val="es-ES"/>
        </w:rPr>
        <w:t>,</w:t>
      </w:r>
      <w:r w:rsidR="0003391C" w:rsidRPr="00470C7C">
        <w:rPr>
          <w:rFonts w:cs="Times New Roman"/>
          <w:szCs w:val="20"/>
          <w:lang w:val="es-ES"/>
        </w:rPr>
        <w:t xml:space="preserve"> el Proyecto de Cooperación Técnica “Combate al </w:t>
      </w:r>
      <w:r w:rsidR="00516087" w:rsidRPr="00470C7C">
        <w:rPr>
          <w:rFonts w:cs="Times New Roman"/>
          <w:szCs w:val="20"/>
          <w:lang w:val="es-ES"/>
        </w:rPr>
        <w:t>T</w:t>
      </w:r>
      <w:r w:rsidR="0003391C" w:rsidRPr="00470C7C">
        <w:rPr>
          <w:rFonts w:cs="Times New Roman"/>
          <w:szCs w:val="20"/>
          <w:lang w:val="es-ES"/>
        </w:rPr>
        <w:t xml:space="preserve">rabajo </w:t>
      </w:r>
      <w:r w:rsidR="00516087" w:rsidRPr="00470C7C">
        <w:rPr>
          <w:rFonts w:cs="Times New Roman"/>
          <w:szCs w:val="20"/>
          <w:lang w:val="es-ES"/>
        </w:rPr>
        <w:t xml:space="preserve">Esclavo </w:t>
      </w:r>
      <w:r w:rsidR="0003391C" w:rsidRPr="00470C7C">
        <w:rPr>
          <w:rFonts w:cs="Times New Roman"/>
          <w:szCs w:val="20"/>
          <w:lang w:val="es-ES"/>
        </w:rPr>
        <w:t>en Brasil”</w:t>
      </w:r>
      <w:r w:rsidR="0003391C" w:rsidRPr="00470C7C">
        <w:rPr>
          <w:rStyle w:val="Refdenotaalpie"/>
          <w:lang w:val="es-ES"/>
        </w:rPr>
        <w:footnoteReference w:id="85"/>
      </w:r>
      <w:r w:rsidR="00846555" w:rsidRPr="00470C7C">
        <w:rPr>
          <w:rFonts w:cs="Times New Roman"/>
          <w:szCs w:val="20"/>
          <w:lang w:val="es-ES"/>
        </w:rPr>
        <w:t>.</w:t>
      </w:r>
      <w:r w:rsidR="000D47F8" w:rsidRPr="00470C7C">
        <w:rPr>
          <w:rFonts w:cs="Times New Roman"/>
          <w:szCs w:val="20"/>
          <w:lang w:val="es-ES"/>
        </w:rPr>
        <w:t xml:space="preserve"> </w:t>
      </w:r>
      <w:r w:rsidR="00516087" w:rsidRPr="00470C7C">
        <w:rPr>
          <w:rFonts w:cs="Times New Roman"/>
          <w:szCs w:val="20"/>
          <w:lang w:val="es-ES"/>
        </w:rPr>
        <w:t xml:space="preserve">Creó </w:t>
      </w:r>
      <w:r w:rsidR="00EC0B4B" w:rsidRPr="00470C7C">
        <w:rPr>
          <w:rFonts w:eastAsia="Batang" w:cs="Times"/>
          <w:szCs w:val="24"/>
          <w:lang w:val="es-MX"/>
        </w:rPr>
        <w:t>la Coordina</w:t>
      </w:r>
      <w:r w:rsidR="00516087" w:rsidRPr="00470C7C">
        <w:rPr>
          <w:rFonts w:eastAsia="Batang" w:cs="Times"/>
          <w:szCs w:val="24"/>
          <w:lang w:val="es-MX"/>
        </w:rPr>
        <w:t xml:space="preserve">ción </w:t>
      </w:r>
      <w:r w:rsidR="00EC0B4B" w:rsidRPr="00470C7C">
        <w:rPr>
          <w:rFonts w:eastAsia="Batang" w:cs="Times"/>
          <w:szCs w:val="24"/>
          <w:lang w:val="es-MX"/>
        </w:rPr>
        <w:t>Nacional de Erradicación del Trabajo Esclavo</w:t>
      </w:r>
      <w:r w:rsidR="00B81F17" w:rsidRPr="00470C7C">
        <w:rPr>
          <w:rStyle w:val="Refdenotaalpie"/>
          <w:rFonts w:eastAsia="Batang"/>
          <w:lang w:val="es-MX"/>
        </w:rPr>
        <w:footnoteReference w:id="86"/>
      </w:r>
      <w:r w:rsidR="00EC0B4B" w:rsidRPr="00470C7C">
        <w:rPr>
          <w:rFonts w:eastAsia="Batang" w:cs="Times"/>
          <w:szCs w:val="24"/>
          <w:lang w:val="es-MX"/>
        </w:rPr>
        <w:t xml:space="preserve"> </w:t>
      </w:r>
      <w:r w:rsidR="00D358F7" w:rsidRPr="00470C7C">
        <w:rPr>
          <w:rFonts w:eastAsia="Batang" w:cs="Times"/>
          <w:szCs w:val="24"/>
          <w:lang w:val="es-MX"/>
        </w:rPr>
        <w:t xml:space="preserve">y </w:t>
      </w:r>
      <w:r w:rsidR="0003391C" w:rsidRPr="00470C7C">
        <w:rPr>
          <w:rFonts w:cs="Times New Roman"/>
          <w:szCs w:val="20"/>
          <w:lang w:val="es-ES"/>
        </w:rPr>
        <w:t xml:space="preserve">lanzó el </w:t>
      </w:r>
      <w:r w:rsidR="0003391C" w:rsidRPr="00470C7C">
        <w:rPr>
          <w:rFonts w:cs="Arial"/>
          <w:szCs w:val="20"/>
          <w:lang w:val="es-ES"/>
        </w:rPr>
        <w:t>Primer Plan Nacional para la erradicación de la esclavitud en Brasil</w:t>
      </w:r>
      <w:r w:rsidR="0003391C" w:rsidRPr="00470C7C">
        <w:rPr>
          <w:rStyle w:val="Refdenotaalpie"/>
          <w:rFonts w:cs="Arial"/>
          <w:lang w:val="es-ES"/>
        </w:rPr>
        <w:footnoteReference w:id="87"/>
      </w:r>
      <w:r w:rsidR="00EF132D" w:rsidRPr="00470C7C">
        <w:rPr>
          <w:rFonts w:cs="Arial"/>
          <w:szCs w:val="20"/>
          <w:lang w:val="es-ES"/>
        </w:rPr>
        <w:t xml:space="preserve">. </w:t>
      </w:r>
      <w:r w:rsidR="0003391C" w:rsidRPr="00470C7C">
        <w:rPr>
          <w:rFonts w:cs="Arial"/>
          <w:szCs w:val="20"/>
          <w:lang w:val="es-ES"/>
        </w:rPr>
        <w:t xml:space="preserve"> Además, </w:t>
      </w:r>
      <w:r w:rsidR="0022029E" w:rsidRPr="00470C7C">
        <w:rPr>
          <w:rFonts w:eastAsia="Batang" w:cs="Times"/>
          <w:szCs w:val="24"/>
          <w:lang w:val="es-MX"/>
        </w:rPr>
        <w:t>emitió la Ley número 10608/2002, relativ</w:t>
      </w:r>
      <w:r w:rsidR="006F33EB" w:rsidRPr="00470C7C">
        <w:rPr>
          <w:rFonts w:eastAsia="Batang" w:cs="Times"/>
          <w:szCs w:val="24"/>
          <w:lang w:val="es-MX"/>
        </w:rPr>
        <w:t>a</w:t>
      </w:r>
      <w:r w:rsidR="0022029E" w:rsidRPr="00470C7C">
        <w:rPr>
          <w:rFonts w:eastAsia="Batang" w:cs="Times"/>
          <w:szCs w:val="24"/>
          <w:lang w:val="es-MX"/>
        </w:rPr>
        <w:t xml:space="preserve"> al seguro de desempleo de trabajadores rescatados bajo el régimen de </w:t>
      </w:r>
      <w:r w:rsidR="001B63D0" w:rsidRPr="00470C7C">
        <w:rPr>
          <w:rFonts w:eastAsia="Batang" w:cs="Times"/>
          <w:szCs w:val="24"/>
          <w:lang w:val="es-MX"/>
        </w:rPr>
        <w:t>trabajo forzoso</w:t>
      </w:r>
      <w:r w:rsidR="0022029E" w:rsidRPr="00470C7C">
        <w:rPr>
          <w:rFonts w:eastAsia="Batang" w:cs="Times"/>
          <w:szCs w:val="24"/>
          <w:lang w:val="es-MX"/>
        </w:rPr>
        <w:t xml:space="preserve"> o condición análoga </w:t>
      </w:r>
      <w:r w:rsidR="00696CD2" w:rsidRPr="00470C7C">
        <w:rPr>
          <w:rFonts w:eastAsia="Batang" w:cs="Times"/>
          <w:szCs w:val="24"/>
          <w:lang w:val="es-MX"/>
        </w:rPr>
        <w:t xml:space="preserve">a la </w:t>
      </w:r>
      <w:r w:rsidR="0022029E" w:rsidRPr="00470C7C">
        <w:rPr>
          <w:rFonts w:eastAsia="Batang" w:cs="Times"/>
          <w:szCs w:val="24"/>
          <w:lang w:val="es-MX"/>
        </w:rPr>
        <w:t>de esclavo</w:t>
      </w:r>
      <w:r w:rsidR="00CD01BD" w:rsidRPr="00470C7C">
        <w:rPr>
          <w:rStyle w:val="Refdenotaalpie"/>
          <w:rFonts w:eastAsia="Batang"/>
          <w:lang w:val="es-MX"/>
        </w:rPr>
        <w:footnoteReference w:id="88"/>
      </w:r>
      <w:r w:rsidRPr="00470C7C">
        <w:rPr>
          <w:rFonts w:eastAsia="Batang" w:cs="Times"/>
          <w:szCs w:val="24"/>
          <w:lang w:val="es-MX"/>
        </w:rPr>
        <w:t>.</w:t>
      </w:r>
      <w:r w:rsidRPr="00470C7C">
        <w:rPr>
          <w:rFonts w:eastAsia="Batang" w:cs="Times"/>
          <w:b/>
          <w:szCs w:val="24"/>
          <w:lang w:val="es-MX"/>
        </w:rPr>
        <w:t xml:space="preserve"> </w:t>
      </w:r>
    </w:p>
    <w:p w14:paraId="18E7FD97" w14:textId="77777777" w:rsidR="00B130B5" w:rsidRPr="00470C7C" w:rsidRDefault="00B130B5" w:rsidP="00140440">
      <w:pPr>
        <w:pStyle w:val="Prrafodelista"/>
        <w:autoSpaceDE w:val="0"/>
        <w:autoSpaceDN w:val="0"/>
        <w:adjustRightInd w:val="0"/>
        <w:ind w:left="0"/>
        <w:contextualSpacing w:val="0"/>
        <w:rPr>
          <w:rFonts w:eastAsia="Batang" w:cs="Times"/>
          <w:szCs w:val="24"/>
          <w:lang w:val="es-MX"/>
        </w:rPr>
      </w:pPr>
    </w:p>
    <w:p w14:paraId="16F84580" w14:textId="77777777" w:rsidR="00B130B5" w:rsidRPr="00470C7C" w:rsidRDefault="0022029E" w:rsidP="00140440">
      <w:pPr>
        <w:pStyle w:val="Prrafodelista"/>
        <w:numPr>
          <w:ilvl w:val="0"/>
          <w:numId w:val="1"/>
        </w:numPr>
        <w:autoSpaceDE w:val="0"/>
        <w:autoSpaceDN w:val="0"/>
        <w:adjustRightInd w:val="0"/>
        <w:contextualSpacing w:val="0"/>
        <w:rPr>
          <w:rFonts w:eastAsia="Batang" w:cs="Times"/>
          <w:szCs w:val="24"/>
          <w:lang w:val="es-MX"/>
        </w:rPr>
      </w:pPr>
      <w:r w:rsidRPr="00470C7C">
        <w:rPr>
          <w:rFonts w:eastAsia="Batang" w:cs="Times"/>
          <w:szCs w:val="24"/>
          <w:lang w:val="es-MX"/>
        </w:rPr>
        <w:t>E</w:t>
      </w:r>
      <w:r w:rsidR="00516087" w:rsidRPr="00470C7C">
        <w:rPr>
          <w:rFonts w:eastAsia="Batang" w:cs="Times"/>
          <w:szCs w:val="24"/>
          <w:lang w:val="es-MX"/>
        </w:rPr>
        <w:t xml:space="preserve">n </w:t>
      </w:r>
      <w:r w:rsidRPr="00470C7C">
        <w:rPr>
          <w:rFonts w:eastAsia="Batang" w:cs="Times"/>
          <w:szCs w:val="24"/>
          <w:lang w:val="es-MX"/>
        </w:rPr>
        <w:t xml:space="preserve">2003 aprobó la Ley número 10803/2003, </w:t>
      </w:r>
      <w:r w:rsidR="00FE030D" w:rsidRPr="00470C7C">
        <w:rPr>
          <w:rFonts w:eastAsia="Batang" w:cs="Times"/>
          <w:szCs w:val="24"/>
          <w:lang w:val="es-MX"/>
        </w:rPr>
        <w:t>por la</w:t>
      </w:r>
      <w:r w:rsidRPr="00470C7C">
        <w:rPr>
          <w:rFonts w:eastAsia="Batang" w:cs="Times"/>
          <w:szCs w:val="24"/>
          <w:lang w:val="es-MX"/>
        </w:rPr>
        <w:t xml:space="preserve"> que se modificó la redacción del artículo 149 del </w:t>
      </w:r>
      <w:r w:rsidR="00BE60E8" w:rsidRPr="00470C7C">
        <w:rPr>
          <w:rFonts w:eastAsia="Batang" w:cs="Times"/>
          <w:szCs w:val="24"/>
          <w:lang w:val="es-MX"/>
        </w:rPr>
        <w:t>Código Penal brasileño</w:t>
      </w:r>
      <w:r w:rsidR="00846555" w:rsidRPr="00470C7C">
        <w:rPr>
          <w:rFonts w:eastAsia="Batang" w:cs="Times"/>
          <w:szCs w:val="24"/>
          <w:lang w:val="es-MX"/>
        </w:rPr>
        <w:t>.</w:t>
      </w:r>
      <w:r w:rsidRPr="00470C7C">
        <w:rPr>
          <w:rFonts w:eastAsia="Batang" w:cs="Times"/>
          <w:szCs w:val="24"/>
          <w:lang w:val="es-MX"/>
        </w:rPr>
        <w:t xml:space="preserve"> </w:t>
      </w:r>
      <w:r w:rsidR="006F33EB" w:rsidRPr="00470C7C">
        <w:rPr>
          <w:rFonts w:eastAsia="Batang" w:cs="Times"/>
          <w:szCs w:val="24"/>
          <w:lang w:val="es-MX"/>
        </w:rPr>
        <w:t xml:space="preserve">Definió </w:t>
      </w:r>
      <w:r w:rsidRPr="00470C7C">
        <w:rPr>
          <w:rFonts w:eastAsia="Batang" w:cs="Times"/>
          <w:szCs w:val="24"/>
          <w:lang w:val="es-MX"/>
        </w:rPr>
        <w:t>el concepto de trabajo esclavo contemporáneo, precisando conductas de esclavitud por deuda, por jornada exhaustiva y condiciones degradantes</w:t>
      </w:r>
      <w:r w:rsidR="00FA2412" w:rsidRPr="00470C7C">
        <w:rPr>
          <w:rStyle w:val="Refdenotaalpie"/>
          <w:rFonts w:eastAsia="Batang"/>
          <w:lang w:val="es-MX"/>
        </w:rPr>
        <w:footnoteReference w:id="89"/>
      </w:r>
      <w:r w:rsidR="00FE030D" w:rsidRPr="00470C7C">
        <w:rPr>
          <w:rFonts w:eastAsia="Batang" w:cs="Times"/>
          <w:szCs w:val="24"/>
          <w:lang w:val="es-MX"/>
        </w:rPr>
        <w:t>.</w:t>
      </w:r>
      <w:r w:rsidR="000D47F8" w:rsidRPr="00470C7C">
        <w:rPr>
          <w:rFonts w:eastAsia="Batang" w:cs="Times"/>
          <w:szCs w:val="24"/>
          <w:lang w:val="es-MX"/>
        </w:rPr>
        <w:t xml:space="preserve"> </w:t>
      </w:r>
      <w:r w:rsidR="00FE030D" w:rsidRPr="00470C7C">
        <w:rPr>
          <w:rFonts w:eastAsia="Batang" w:cs="Times"/>
          <w:szCs w:val="24"/>
          <w:lang w:val="es-MX"/>
        </w:rPr>
        <w:t>D</w:t>
      </w:r>
      <w:r w:rsidR="000D47F8" w:rsidRPr="00470C7C">
        <w:rPr>
          <w:rFonts w:eastAsia="Batang" w:cs="Times"/>
          <w:szCs w:val="24"/>
          <w:lang w:val="es-MX"/>
        </w:rPr>
        <w:t xml:space="preserve">ictó </w:t>
      </w:r>
      <w:r w:rsidRPr="00470C7C">
        <w:rPr>
          <w:rFonts w:eastAsia="Batang" w:cs="Times"/>
          <w:szCs w:val="24"/>
          <w:lang w:val="es-MX"/>
        </w:rPr>
        <w:t xml:space="preserve">las ordenanzas </w:t>
      </w:r>
      <w:r w:rsidR="00724BEA" w:rsidRPr="00470C7C">
        <w:rPr>
          <w:rFonts w:eastAsia="Batang" w:cs="Times"/>
          <w:szCs w:val="24"/>
          <w:lang w:val="es-MX"/>
        </w:rPr>
        <w:t>No.</w:t>
      </w:r>
      <w:r w:rsidRPr="00470C7C">
        <w:rPr>
          <w:rFonts w:eastAsia="Batang" w:cs="Times"/>
          <w:szCs w:val="24"/>
          <w:lang w:val="es-MX"/>
        </w:rPr>
        <w:t xml:space="preserve"> 540</w:t>
      </w:r>
      <w:r w:rsidR="00516087" w:rsidRPr="00470C7C">
        <w:rPr>
          <w:rFonts w:eastAsia="Batang" w:cs="Times"/>
          <w:szCs w:val="24"/>
          <w:lang w:val="es-MX"/>
        </w:rPr>
        <w:t>,</w:t>
      </w:r>
      <w:r w:rsidRPr="00470C7C">
        <w:rPr>
          <w:rFonts w:eastAsia="Batang" w:cs="Times"/>
          <w:szCs w:val="24"/>
          <w:lang w:val="es-MX"/>
        </w:rPr>
        <w:t xml:space="preserve"> de 15 de octubre de 2004</w:t>
      </w:r>
      <w:r w:rsidR="00516087" w:rsidRPr="00470C7C">
        <w:rPr>
          <w:rFonts w:eastAsia="Batang" w:cs="Times"/>
          <w:szCs w:val="24"/>
          <w:lang w:val="es-MX"/>
        </w:rPr>
        <w:t>,</w:t>
      </w:r>
      <w:r w:rsidRPr="00470C7C">
        <w:rPr>
          <w:rFonts w:eastAsia="Batang" w:cs="Times"/>
          <w:szCs w:val="24"/>
          <w:lang w:val="es-MX"/>
        </w:rPr>
        <w:t xml:space="preserve"> y </w:t>
      </w:r>
      <w:r w:rsidR="00724BEA" w:rsidRPr="00470C7C">
        <w:rPr>
          <w:rFonts w:eastAsia="Batang" w:cs="Times"/>
          <w:szCs w:val="24"/>
          <w:lang w:val="es-MX"/>
        </w:rPr>
        <w:t xml:space="preserve">No. </w:t>
      </w:r>
      <w:r w:rsidRPr="00470C7C">
        <w:rPr>
          <w:rFonts w:eastAsia="Batang" w:cs="Times"/>
          <w:szCs w:val="24"/>
          <w:lang w:val="es-MX"/>
        </w:rPr>
        <w:t>2</w:t>
      </w:r>
      <w:r w:rsidR="00516087" w:rsidRPr="00470C7C">
        <w:rPr>
          <w:rFonts w:eastAsia="Batang" w:cs="Times"/>
          <w:szCs w:val="24"/>
          <w:lang w:val="es-MX"/>
        </w:rPr>
        <w:t>,</w:t>
      </w:r>
      <w:r w:rsidRPr="00470C7C">
        <w:rPr>
          <w:rFonts w:eastAsia="Batang" w:cs="Times"/>
          <w:szCs w:val="24"/>
          <w:lang w:val="es-MX"/>
        </w:rPr>
        <w:t xml:space="preserve"> de 12 de mayo de 2011</w:t>
      </w:r>
      <w:r w:rsidR="00FE030D" w:rsidRPr="00470C7C">
        <w:rPr>
          <w:rFonts w:eastAsia="Batang" w:cs="Times"/>
          <w:szCs w:val="24"/>
          <w:lang w:val="es-MX"/>
        </w:rPr>
        <w:t>, por las</w:t>
      </w:r>
      <w:r w:rsidR="000D47F8" w:rsidRPr="00470C7C">
        <w:rPr>
          <w:rFonts w:eastAsia="Batang" w:cs="Times"/>
          <w:szCs w:val="24"/>
          <w:lang w:val="es-MX"/>
        </w:rPr>
        <w:t xml:space="preserve"> que </w:t>
      </w:r>
      <w:r w:rsidRPr="00470C7C">
        <w:rPr>
          <w:rFonts w:eastAsia="Batang" w:cs="Times"/>
          <w:szCs w:val="24"/>
          <w:lang w:val="es-MX"/>
        </w:rPr>
        <w:t xml:space="preserve">instituyó el Registro de Empleadores Infractores (llamada </w:t>
      </w:r>
      <w:r w:rsidR="00FE030D" w:rsidRPr="00470C7C">
        <w:rPr>
          <w:rFonts w:eastAsia="Batang" w:cs="Times"/>
          <w:szCs w:val="24"/>
          <w:lang w:val="es-MX"/>
        </w:rPr>
        <w:t>“</w:t>
      </w:r>
      <w:r w:rsidR="00516087" w:rsidRPr="00470C7C">
        <w:rPr>
          <w:rFonts w:eastAsia="Batang" w:cs="Times"/>
          <w:szCs w:val="24"/>
          <w:lang w:val="es-MX"/>
        </w:rPr>
        <w:t>l</w:t>
      </w:r>
      <w:r w:rsidRPr="00470C7C">
        <w:rPr>
          <w:rFonts w:eastAsia="Batang" w:cs="Times"/>
          <w:szCs w:val="24"/>
          <w:lang w:val="es-MX"/>
        </w:rPr>
        <w:t xml:space="preserve">ista </w:t>
      </w:r>
      <w:r w:rsidR="00516087" w:rsidRPr="00470C7C">
        <w:rPr>
          <w:rFonts w:eastAsia="Batang" w:cs="Times"/>
          <w:szCs w:val="24"/>
          <w:lang w:val="es-MX"/>
        </w:rPr>
        <w:t>s</w:t>
      </w:r>
      <w:r w:rsidRPr="00470C7C">
        <w:rPr>
          <w:rFonts w:eastAsia="Batang" w:cs="Times"/>
          <w:szCs w:val="24"/>
          <w:lang w:val="es-MX"/>
        </w:rPr>
        <w:t>uja</w:t>
      </w:r>
      <w:r w:rsidR="00FE030D" w:rsidRPr="00470C7C">
        <w:rPr>
          <w:rFonts w:eastAsia="Batang" w:cs="Times"/>
          <w:szCs w:val="24"/>
          <w:lang w:val="es-MX"/>
        </w:rPr>
        <w:t>”</w:t>
      </w:r>
      <w:r w:rsidRPr="00470C7C">
        <w:rPr>
          <w:rFonts w:eastAsia="Batang" w:cs="Times"/>
          <w:szCs w:val="24"/>
          <w:lang w:val="es-MX"/>
        </w:rPr>
        <w:t>), que contiene los nombres de los infractores por emplear trabajadores en condiciones de esclav</w:t>
      </w:r>
      <w:r w:rsidR="006F33EB" w:rsidRPr="00470C7C">
        <w:rPr>
          <w:rFonts w:eastAsia="Batang" w:cs="Times"/>
          <w:szCs w:val="24"/>
          <w:lang w:val="es-MX"/>
        </w:rPr>
        <w:t>itud,</w:t>
      </w:r>
      <w:r w:rsidRPr="00470C7C">
        <w:rPr>
          <w:rFonts w:eastAsia="Batang" w:cs="Times"/>
          <w:szCs w:val="24"/>
          <w:lang w:val="es-MX"/>
        </w:rPr>
        <w:t xml:space="preserve"> para </w:t>
      </w:r>
      <w:r w:rsidR="006F33EB" w:rsidRPr="00470C7C">
        <w:rPr>
          <w:rFonts w:eastAsia="Batang" w:cs="Times"/>
          <w:szCs w:val="24"/>
          <w:lang w:val="es-MX"/>
        </w:rPr>
        <w:t xml:space="preserve">la </w:t>
      </w:r>
      <w:r w:rsidRPr="00470C7C">
        <w:rPr>
          <w:rFonts w:eastAsia="Batang" w:cs="Times"/>
          <w:szCs w:val="24"/>
          <w:lang w:val="es-MX"/>
        </w:rPr>
        <w:t xml:space="preserve">consulta </w:t>
      </w:r>
      <w:r w:rsidR="006F33EB" w:rsidRPr="00470C7C">
        <w:rPr>
          <w:rFonts w:eastAsia="Batang" w:cs="Times"/>
          <w:szCs w:val="24"/>
          <w:lang w:val="es-MX"/>
        </w:rPr>
        <w:t xml:space="preserve">por parte </w:t>
      </w:r>
      <w:r w:rsidRPr="00470C7C">
        <w:rPr>
          <w:rFonts w:eastAsia="Batang" w:cs="Times"/>
          <w:szCs w:val="24"/>
          <w:lang w:val="es-MX"/>
        </w:rPr>
        <w:t>de instituciones financieras en casos de solicitudes de créditos</w:t>
      </w:r>
      <w:r w:rsidR="0003391C" w:rsidRPr="00470C7C">
        <w:rPr>
          <w:rStyle w:val="Refdenotaalpie"/>
          <w:rFonts w:cs="Arial"/>
          <w:bCs/>
          <w:lang w:val="es-ES"/>
        </w:rPr>
        <w:footnoteReference w:id="90"/>
      </w:r>
      <w:r w:rsidR="00FE030D" w:rsidRPr="00470C7C">
        <w:rPr>
          <w:rFonts w:cs="Arial"/>
          <w:bCs/>
          <w:szCs w:val="20"/>
          <w:lang w:val="es-ES"/>
        </w:rPr>
        <w:t>. A</w:t>
      </w:r>
      <w:r w:rsidRPr="00470C7C">
        <w:rPr>
          <w:rFonts w:eastAsia="Batang" w:cs="Times"/>
          <w:szCs w:val="24"/>
          <w:lang w:val="es-MX"/>
        </w:rPr>
        <w:t xml:space="preserve">demás, el </w:t>
      </w:r>
      <w:r w:rsidR="000D47F8" w:rsidRPr="00470C7C">
        <w:rPr>
          <w:rFonts w:eastAsia="Batang" w:cs="Times"/>
          <w:szCs w:val="24"/>
          <w:lang w:val="es-MX"/>
        </w:rPr>
        <w:t xml:space="preserve">31 de julio de 2003 </w:t>
      </w:r>
      <w:r w:rsidRPr="00470C7C">
        <w:rPr>
          <w:rFonts w:eastAsia="Batang" w:cs="Times"/>
          <w:szCs w:val="24"/>
          <w:lang w:val="es-MX"/>
        </w:rPr>
        <w:t xml:space="preserve">integró la Comisión Nacional para la Erradicación del Trabajo Esclavo (CONATRAE), que sustituyó el Grupo Interministerial para Erradicar el </w:t>
      </w:r>
      <w:r w:rsidR="001B63D0" w:rsidRPr="00470C7C">
        <w:rPr>
          <w:rFonts w:eastAsia="Batang" w:cs="Times"/>
          <w:szCs w:val="24"/>
          <w:lang w:val="es-MX"/>
        </w:rPr>
        <w:t>Trabajo forzoso</w:t>
      </w:r>
      <w:r w:rsidRPr="00470C7C">
        <w:rPr>
          <w:rFonts w:eastAsia="Batang" w:cs="Times"/>
          <w:szCs w:val="24"/>
          <w:lang w:val="es-MX"/>
        </w:rPr>
        <w:t xml:space="preserve"> (GERTRAF), impulsado en 1995</w:t>
      </w:r>
      <w:r w:rsidR="00D358F7" w:rsidRPr="00470C7C">
        <w:rPr>
          <w:rFonts w:eastAsia="Batang" w:cs="Times"/>
          <w:szCs w:val="24"/>
          <w:lang w:val="es-MX"/>
        </w:rPr>
        <w:t>. E</w:t>
      </w:r>
      <w:r w:rsidRPr="00470C7C">
        <w:rPr>
          <w:rFonts w:eastAsia="Batang" w:cs="Times"/>
          <w:szCs w:val="24"/>
          <w:lang w:val="es-MX"/>
        </w:rPr>
        <w:t xml:space="preserve">sta comisión incorporó la participación de un mayor número de instituciones del Estado </w:t>
      </w:r>
      <w:r w:rsidR="00516087" w:rsidRPr="00470C7C">
        <w:rPr>
          <w:rFonts w:eastAsia="Batang" w:cs="Times"/>
          <w:szCs w:val="24"/>
          <w:lang w:val="es-MX"/>
        </w:rPr>
        <w:t>b</w:t>
      </w:r>
      <w:r w:rsidRPr="00470C7C">
        <w:rPr>
          <w:rFonts w:eastAsia="Batang" w:cs="Times"/>
          <w:szCs w:val="24"/>
          <w:lang w:val="es-MX"/>
        </w:rPr>
        <w:t xml:space="preserve">rasileño y miembros de la </w:t>
      </w:r>
      <w:r w:rsidR="00D358F7" w:rsidRPr="00470C7C">
        <w:rPr>
          <w:rFonts w:eastAsia="Batang" w:cs="Times"/>
          <w:szCs w:val="24"/>
          <w:lang w:val="es-MX"/>
        </w:rPr>
        <w:t>sociedad</w:t>
      </w:r>
      <w:r w:rsidRPr="00470C7C">
        <w:rPr>
          <w:rFonts w:eastAsia="Batang" w:cs="Times"/>
          <w:szCs w:val="24"/>
          <w:lang w:val="es-MX"/>
        </w:rPr>
        <w:t xml:space="preserve"> civil, con la finalidad de articular políticas públicas para combatir el trabajo esclavo.</w:t>
      </w:r>
    </w:p>
    <w:p w14:paraId="4D8F0974" w14:textId="77777777" w:rsidR="00B130B5" w:rsidRPr="00470C7C" w:rsidRDefault="00B130B5" w:rsidP="00140440">
      <w:pPr>
        <w:pStyle w:val="Prrafodelista"/>
        <w:autoSpaceDE w:val="0"/>
        <w:autoSpaceDN w:val="0"/>
        <w:adjustRightInd w:val="0"/>
        <w:ind w:left="0"/>
        <w:contextualSpacing w:val="0"/>
        <w:rPr>
          <w:rFonts w:eastAsia="Batang" w:cs="Times"/>
          <w:szCs w:val="24"/>
          <w:lang w:val="es-MX"/>
        </w:rPr>
      </w:pPr>
    </w:p>
    <w:p w14:paraId="036A8BB3" w14:textId="77777777" w:rsidR="00B130B5" w:rsidRPr="00470C7C" w:rsidRDefault="0022029E" w:rsidP="00140440">
      <w:pPr>
        <w:pStyle w:val="Prrafodelista"/>
        <w:numPr>
          <w:ilvl w:val="0"/>
          <w:numId w:val="1"/>
        </w:numPr>
        <w:autoSpaceDE w:val="0"/>
        <w:autoSpaceDN w:val="0"/>
        <w:adjustRightInd w:val="0"/>
        <w:contextualSpacing w:val="0"/>
        <w:rPr>
          <w:rFonts w:eastAsia="Batang" w:cs="Times"/>
          <w:szCs w:val="24"/>
          <w:lang w:val="es-MX"/>
        </w:rPr>
      </w:pPr>
      <w:r w:rsidRPr="00470C7C">
        <w:rPr>
          <w:rFonts w:eastAsia="Batang" w:cs="Times"/>
          <w:szCs w:val="24"/>
          <w:lang w:val="es-MX"/>
        </w:rPr>
        <w:t xml:space="preserve"> </w:t>
      </w:r>
      <w:r w:rsidR="00ED71C3" w:rsidRPr="00470C7C">
        <w:rPr>
          <w:rFonts w:eastAsia="Batang" w:cs="Times"/>
          <w:szCs w:val="24"/>
          <w:lang w:val="es-MX"/>
        </w:rPr>
        <w:t xml:space="preserve">En diciembre de 2007 el Supremo Tribunal Federal de Brasil fijó </w:t>
      </w:r>
      <w:r w:rsidR="00D92104" w:rsidRPr="00470C7C">
        <w:rPr>
          <w:rFonts w:eastAsia="Batang" w:cs="Times"/>
          <w:szCs w:val="24"/>
          <w:lang w:val="es-MX"/>
        </w:rPr>
        <w:t xml:space="preserve">un </w:t>
      </w:r>
      <w:r w:rsidR="00ED71C3" w:rsidRPr="00470C7C">
        <w:rPr>
          <w:rFonts w:eastAsia="Batang" w:cs="Times"/>
          <w:szCs w:val="24"/>
          <w:lang w:val="es-MX"/>
        </w:rPr>
        <w:t xml:space="preserve">criterio definitivo en el recurso extraordinario número RE No. 398041, </w:t>
      </w:r>
      <w:r w:rsidR="00D92104" w:rsidRPr="00470C7C">
        <w:rPr>
          <w:rFonts w:eastAsia="Batang" w:cs="Times"/>
          <w:szCs w:val="24"/>
          <w:lang w:val="es-MX"/>
        </w:rPr>
        <w:t xml:space="preserve">acerca de </w:t>
      </w:r>
      <w:r w:rsidR="00ED71C3" w:rsidRPr="00470C7C">
        <w:rPr>
          <w:rFonts w:eastAsia="Batang" w:cs="Times"/>
          <w:szCs w:val="24"/>
          <w:lang w:val="es-MX"/>
        </w:rPr>
        <w:t xml:space="preserve">que la justicia federal es la instancia competente del Poder Judicial para juzgar los delitos relativos a condiciones análogas </w:t>
      </w:r>
      <w:r w:rsidR="00696CD2" w:rsidRPr="00470C7C">
        <w:rPr>
          <w:rFonts w:eastAsia="Batang" w:cs="Times"/>
          <w:szCs w:val="24"/>
          <w:lang w:val="es-MX"/>
        </w:rPr>
        <w:t xml:space="preserve">a las </w:t>
      </w:r>
      <w:r w:rsidR="00ED71C3" w:rsidRPr="00470C7C">
        <w:rPr>
          <w:rFonts w:eastAsia="Batang" w:cs="Times"/>
          <w:szCs w:val="24"/>
          <w:lang w:val="es-MX"/>
        </w:rPr>
        <w:t xml:space="preserve">de esclavo previsto en el artículo 149 del </w:t>
      </w:r>
      <w:r w:rsidR="00BE60E8" w:rsidRPr="00470C7C">
        <w:rPr>
          <w:rFonts w:eastAsia="Batang" w:cs="Times"/>
          <w:szCs w:val="24"/>
          <w:lang w:val="es-MX"/>
        </w:rPr>
        <w:t>Código Penal brasileño</w:t>
      </w:r>
      <w:r w:rsidR="00ED71C3" w:rsidRPr="00470C7C">
        <w:rPr>
          <w:rFonts w:eastAsia="Batang" w:cs="Times"/>
          <w:szCs w:val="24"/>
          <w:lang w:val="es-MX"/>
        </w:rPr>
        <w:t>.</w:t>
      </w:r>
    </w:p>
    <w:p w14:paraId="297DFC5D" w14:textId="77777777" w:rsidR="00B130B5" w:rsidRPr="00470C7C" w:rsidRDefault="00B130B5" w:rsidP="00140440">
      <w:pPr>
        <w:pStyle w:val="Prrafodelista"/>
        <w:autoSpaceDE w:val="0"/>
        <w:autoSpaceDN w:val="0"/>
        <w:adjustRightInd w:val="0"/>
        <w:ind w:left="0"/>
        <w:contextualSpacing w:val="0"/>
        <w:rPr>
          <w:rFonts w:eastAsia="Batang" w:cs="Times"/>
          <w:szCs w:val="24"/>
          <w:lang w:val="es-MX"/>
        </w:rPr>
      </w:pPr>
    </w:p>
    <w:p w14:paraId="61474750" w14:textId="77777777" w:rsidR="0003391C" w:rsidRPr="00470C7C" w:rsidRDefault="00ED71C3" w:rsidP="00140440">
      <w:pPr>
        <w:pStyle w:val="Prrafodelista"/>
        <w:numPr>
          <w:ilvl w:val="0"/>
          <w:numId w:val="1"/>
        </w:numPr>
        <w:autoSpaceDE w:val="0"/>
        <w:autoSpaceDN w:val="0"/>
        <w:adjustRightInd w:val="0"/>
        <w:contextualSpacing w:val="0"/>
        <w:rPr>
          <w:rFonts w:eastAsia="Batang" w:cs="Times"/>
          <w:szCs w:val="24"/>
          <w:lang w:val="es-MX"/>
        </w:rPr>
      </w:pPr>
      <w:r w:rsidRPr="00470C7C">
        <w:rPr>
          <w:rFonts w:eastAsia="Batang" w:cs="Times"/>
          <w:szCs w:val="24"/>
          <w:lang w:val="es-MX"/>
        </w:rPr>
        <w:t xml:space="preserve"> En 2008 implementó el Segundo Plan Nacional para la Erradicación del Trabajo Esclavo</w:t>
      </w:r>
      <w:r w:rsidR="0003391C" w:rsidRPr="00470C7C">
        <w:rPr>
          <w:rStyle w:val="Refdenotaalpie"/>
          <w:rFonts w:cs="Arial"/>
          <w:lang w:val="es-ES"/>
        </w:rPr>
        <w:footnoteReference w:id="91"/>
      </w:r>
      <w:r w:rsidR="0003391C" w:rsidRPr="00470C7C">
        <w:rPr>
          <w:rFonts w:cs="Arial"/>
          <w:szCs w:val="20"/>
          <w:lang w:val="es-ES"/>
        </w:rPr>
        <w:t>.</w:t>
      </w:r>
      <w:r w:rsidRPr="00470C7C">
        <w:rPr>
          <w:rFonts w:eastAsia="Batang" w:cs="Times"/>
          <w:szCs w:val="24"/>
          <w:lang w:val="es-MX"/>
        </w:rPr>
        <w:t xml:space="preserve"> </w:t>
      </w:r>
      <w:r w:rsidR="00D92104" w:rsidRPr="00470C7C">
        <w:rPr>
          <w:rFonts w:eastAsia="Batang" w:cs="Times"/>
          <w:szCs w:val="24"/>
          <w:lang w:val="es-MX"/>
        </w:rPr>
        <w:t>En 2009</w:t>
      </w:r>
      <w:r w:rsidRPr="00470C7C">
        <w:rPr>
          <w:rFonts w:eastAsia="Batang" w:cs="Times"/>
          <w:szCs w:val="24"/>
          <w:lang w:val="es-MX"/>
        </w:rPr>
        <w:t xml:space="preserve"> </w:t>
      </w:r>
      <w:r w:rsidR="000D47F8" w:rsidRPr="00470C7C">
        <w:rPr>
          <w:rFonts w:eastAsia="Batang" w:cs="Times"/>
          <w:szCs w:val="24"/>
          <w:lang w:val="es-MX"/>
        </w:rPr>
        <w:t>emitió la Ley 12064</w:t>
      </w:r>
      <w:r w:rsidR="00D92104" w:rsidRPr="00470C7C">
        <w:rPr>
          <w:rFonts w:eastAsia="Batang" w:cs="Times"/>
          <w:szCs w:val="24"/>
          <w:lang w:val="es-MX"/>
        </w:rPr>
        <w:t>/2009</w:t>
      </w:r>
      <w:r w:rsidR="000D47F8" w:rsidRPr="00470C7C">
        <w:rPr>
          <w:rFonts w:eastAsia="Batang" w:cs="Times"/>
          <w:szCs w:val="24"/>
          <w:lang w:val="es-MX"/>
        </w:rPr>
        <w:t xml:space="preserve"> por la cual </w:t>
      </w:r>
      <w:r w:rsidRPr="00470C7C">
        <w:rPr>
          <w:rFonts w:eastAsia="Batang" w:cs="Times"/>
          <w:szCs w:val="24"/>
          <w:lang w:val="es-MX"/>
        </w:rPr>
        <w:t>creó el Día Nacional de Combate al Trabajo Esclavo.</w:t>
      </w:r>
      <w:r w:rsidR="00D92104" w:rsidRPr="00470C7C">
        <w:rPr>
          <w:rFonts w:eastAsia="Batang" w:cs="Times"/>
          <w:szCs w:val="24"/>
          <w:lang w:val="es-MX"/>
        </w:rPr>
        <w:t xml:space="preserve"> El 22 de junio de 2010 el Banco Central de Brasil emitió la resolución No. 3876</w:t>
      </w:r>
      <w:r w:rsidR="009B5CAE" w:rsidRPr="00470C7C">
        <w:rPr>
          <w:rFonts w:eastAsia="Batang" w:cs="Times"/>
          <w:szCs w:val="24"/>
          <w:lang w:val="es-MX"/>
        </w:rPr>
        <w:t>,</w:t>
      </w:r>
      <w:r w:rsidR="00D92104" w:rsidRPr="00470C7C">
        <w:rPr>
          <w:rFonts w:eastAsia="Batang" w:cs="Times"/>
          <w:szCs w:val="24"/>
          <w:lang w:val="es-MX"/>
        </w:rPr>
        <w:t xml:space="preserve"> por </w:t>
      </w:r>
      <w:r w:rsidRPr="00470C7C">
        <w:rPr>
          <w:rFonts w:eastAsia="Batang" w:cs="Times"/>
          <w:szCs w:val="24"/>
          <w:lang w:val="es-MX"/>
        </w:rPr>
        <w:t>l</w:t>
      </w:r>
      <w:r w:rsidR="00D92104" w:rsidRPr="00470C7C">
        <w:rPr>
          <w:rFonts w:eastAsia="Batang" w:cs="Times"/>
          <w:szCs w:val="24"/>
          <w:lang w:val="es-MX"/>
        </w:rPr>
        <w:t>a que prohibió</w:t>
      </w:r>
      <w:r w:rsidRPr="00470C7C">
        <w:rPr>
          <w:rFonts w:eastAsia="Batang" w:cs="Times"/>
          <w:szCs w:val="24"/>
          <w:lang w:val="es-MX"/>
        </w:rPr>
        <w:t xml:space="preserve"> la concesión de crédito rural para personas físicas y jurídicas inscritas en el Registro de Empleadores (</w:t>
      </w:r>
      <w:r w:rsidR="00EC29DB" w:rsidRPr="00470C7C">
        <w:rPr>
          <w:rFonts w:eastAsia="Batang" w:cs="Times"/>
          <w:szCs w:val="24"/>
          <w:lang w:val="es-MX"/>
        </w:rPr>
        <w:t>“</w:t>
      </w:r>
      <w:r w:rsidRPr="00470C7C">
        <w:rPr>
          <w:rFonts w:eastAsia="Batang" w:cs="Times"/>
          <w:szCs w:val="24"/>
          <w:lang w:val="es-MX"/>
        </w:rPr>
        <w:t>Lista Suja</w:t>
      </w:r>
      <w:r w:rsidR="00EC29DB" w:rsidRPr="00470C7C">
        <w:rPr>
          <w:rFonts w:eastAsia="Batang" w:cs="Times"/>
          <w:szCs w:val="24"/>
          <w:lang w:val="es-MX"/>
        </w:rPr>
        <w:t>”</w:t>
      </w:r>
      <w:r w:rsidRPr="00470C7C">
        <w:rPr>
          <w:rFonts w:eastAsia="Batang" w:cs="Times"/>
          <w:szCs w:val="24"/>
          <w:lang w:val="es-MX"/>
        </w:rPr>
        <w:t>) que mantuvieran trabajadores en condiciones análogas de esclavitud</w:t>
      </w:r>
      <w:r w:rsidR="00AE2300" w:rsidRPr="00470C7C">
        <w:rPr>
          <w:rStyle w:val="Refdenotaalpie"/>
          <w:rFonts w:eastAsia="Batang"/>
          <w:lang w:val="es-MX"/>
        </w:rPr>
        <w:footnoteReference w:id="92"/>
      </w:r>
      <w:r w:rsidR="00D92104" w:rsidRPr="00470C7C">
        <w:rPr>
          <w:rFonts w:eastAsia="Batang" w:cs="Times"/>
          <w:szCs w:val="24"/>
          <w:lang w:val="es-MX"/>
        </w:rPr>
        <w:t>.</w:t>
      </w:r>
      <w:r w:rsidRPr="00470C7C">
        <w:rPr>
          <w:rFonts w:eastAsia="Batang" w:cs="Times"/>
          <w:szCs w:val="24"/>
          <w:lang w:val="es-MX"/>
        </w:rPr>
        <w:t xml:space="preserve"> </w:t>
      </w:r>
      <w:r w:rsidR="00D92104" w:rsidRPr="00470C7C">
        <w:rPr>
          <w:rFonts w:eastAsia="Batang" w:cs="Times"/>
          <w:szCs w:val="24"/>
          <w:lang w:val="es-MX"/>
        </w:rPr>
        <w:t>E</w:t>
      </w:r>
      <w:r w:rsidRPr="00470C7C">
        <w:rPr>
          <w:rFonts w:eastAsia="Batang" w:cs="Times"/>
          <w:szCs w:val="24"/>
          <w:lang w:val="es-MX"/>
        </w:rPr>
        <w:t>l 5 de junio de 2014</w:t>
      </w:r>
      <w:r w:rsidR="008C11EE" w:rsidRPr="00470C7C">
        <w:rPr>
          <w:rFonts w:eastAsia="Batang" w:cs="Times"/>
          <w:szCs w:val="24"/>
          <w:lang w:val="es-MX"/>
        </w:rPr>
        <w:t xml:space="preserve"> </w:t>
      </w:r>
      <w:r w:rsidRPr="00470C7C">
        <w:rPr>
          <w:rFonts w:eastAsia="Batang" w:cs="Times"/>
          <w:szCs w:val="24"/>
          <w:lang w:val="es-MX"/>
        </w:rPr>
        <w:t>publicó la enmienda constitucional número 81 que en su artículo 243 determinó que las propiedades urbanas y rurales de cualqu</w:t>
      </w:r>
      <w:r w:rsidR="008C11EE" w:rsidRPr="00470C7C">
        <w:rPr>
          <w:rFonts w:eastAsia="Batang" w:cs="Times"/>
          <w:szCs w:val="24"/>
          <w:lang w:val="es-MX"/>
        </w:rPr>
        <w:t>ier región del país donde fuera</w:t>
      </w:r>
      <w:r w:rsidRPr="00470C7C">
        <w:rPr>
          <w:rFonts w:eastAsia="Batang" w:cs="Times"/>
          <w:szCs w:val="24"/>
          <w:lang w:val="es-MX"/>
        </w:rPr>
        <w:t xml:space="preserve"> localizadas, entre otras, explotación de trabajo esclavo serían expropiadas</w:t>
      </w:r>
      <w:r w:rsidR="004A37D6" w:rsidRPr="00470C7C">
        <w:rPr>
          <w:rStyle w:val="Refdenotaalpie"/>
          <w:rFonts w:eastAsia="Batang"/>
          <w:lang w:val="es-MX"/>
        </w:rPr>
        <w:footnoteReference w:id="93"/>
      </w:r>
      <w:r w:rsidRPr="00470C7C">
        <w:rPr>
          <w:rFonts w:eastAsia="Batang" w:cs="Times"/>
          <w:szCs w:val="24"/>
          <w:lang w:val="es-MX"/>
        </w:rPr>
        <w:t>.</w:t>
      </w:r>
    </w:p>
    <w:p w14:paraId="0687A580" w14:textId="77777777" w:rsidR="006C2FBE" w:rsidRPr="00470C7C" w:rsidRDefault="006C2FBE" w:rsidP="00140440">
      <w:pPr>
        <w:pStyle w:val="Prrafodelista"/>
        <w:autoSpaceDE w:val="0"/>
        <w:autoSpaceDN w:val="0"/>
        <w:adjustRightInd w:val="0"/>
        <w:ind w:left="0"/>
        <w:contextualSpacing w:val="0"/>
        <w:rPr>
          <w:rFonts w:eastAsia="Batang" w:cs="Times"/>
          <w:szCs w:val="24"/>
          <w:lang w:val="es-MX"/>
        </w:rPr>
      </w:pPr>
    </w:p>
    <w:p w14:paraId="1CE4E662"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 xml:space="preserve">Asimismo, el Estado brasileño ha </w:t>
      </w:r>
      <w:r w:rsidR="00552A30" w:rsidRPr="00470C7C">
        <w:rPr>
          <w:rFonts w:cs="Arial"/>
          <w:szCs w:val="20"/>
          <w:lang w:val="es-ES"/>
        </w:rPr>
        <w:t>creado</w:t>
      </w:r>
      <w:r w:rsidRPr="00470C7C">
        <w:rPr>
          <w:rFonts w:cs="Arial"/>
          <w:szCs w:val="20"/>
          <w:lang w:val="es-ES"/>
        </w:rPr>
        <w:t xml:space="preserve"> cursos coordinados por la CONATRAE con el fin de capacitar y sensibilizar sobre el tema a jueces del trabajo y jueces federales</w:t>
      </w:r>
      <w:r w:rsidRPr="00470C7C">
        <w:rPr>
          <w:rStyle w:val="Refdenotaalpie"/>
          <w:rFonts w:cs="Arial"/>
          <w:lang w:val="es-ES"/>
        </w:rPr>
        <w:footnoteReference w:id="94"/>
      </w:r>
      <w:r w:rsidRPr="00470C7C">
        <w:rPr>
          <w:rFonts w:cs="Arial"/>
          <w:szCs w:val="20"/>
          <w:lang w:val="es-ES"/>
        </w:rPr>
        <w:t xml:space="preserve">. </w:t>
      </w:r>
    </w:p>
    <w:p w14:paraId="14671100" w14:textId="77777777" w:rsidR="0003391C" w:rsidRPr="00470C7C" w:rsidRDefault="0003391C" w:rsidP="00140440">
      <w:pPr>
        <w:pStyle w:val="Prrafodelista"/>
        <w:contextualSpacing w:val="0"/>
        <w:rPr>
          <w:rFonts w:cs="Times New Roman"/>
          <w:szCs w:val="20"/>
          <w:lang w:val="es-ES"/>
        </w:rPr>
      </w:pPr>
    </w:p>
    <w:p w14:paraId="5103E6D8" w14:textId="77777777" w:rsidR="0003391C" w:rsidRPr="00470C7C" w:rsidRDefault="00DC2886" w:rsidP="00EF4DFF">
      <w:pPr>
        <w:pStyle w:val="Ttulo2"/>
        <w:numPr>
          <w:ilvl w:val="0"/>
          <w:numId w:val="0"/>
        </w:numPr>
        <w:rPr>
          <w:rFonts w:eastAsia="Batang"/>
          <w:noProof/>
          <w:lang w:eastAsia="es-ES"/>
        </w:rPr>
      </w:pPr>
      <w:bookmarkStart w:id="236" w:name="_Toc464813927"/>
      <w:r w:rsidRPr="00470C7C">
        <w:rPr>
          <w:rFonts w:eastAsia="Batang"/>
          <w:noProof/>
          <w:lang w:eastAsia="es-ES"/>
        </w:rPr>
        <w:tab/>
      </w:r>
      <w:r w:rsidR="0014534A" w:rsidRPr="00470C7C">
        <w:rPr>
          <w:rFonts w:eastAsia="Batang"/>
          <w:noProof/>
          <w:lang w:eastAsia="es-ES"/>
        </w:rPr>
        <w:t>A.4</w:t>
      </w:r>
      <w:r w:rsidRPr="00470C7C">
        <w:rPr>
          <w:rFonts w:eastAsia="Batang"/>
          <w:noProof/>
          <w:lang w:eastAsia="es-ES"/>
        </w:rPr>
        <w:t>.</w:t>
      </w:r>
      <w:r w:rsidR="0014534A" w:rsidRPr="00470C7C">
        <w:rPr>
          <w:rFonts w:eastAsia="Batang"/>
          <w:noProof/>
          <w:lang w:eastAsia="es-ES"/>
        </w:rPr>
        <w:t xml:space="preserve"> </w:t>
      </w:r>
      <w:r w:rsidR="0003391C" w:rsidRPr="00470C7C">
        <w:rPr>
          <w:rFonts w:eastAsia="Batang"/>
          <w:noProof/>
          <w:lang w:eastAsia="es-ES"/>
        </w:rPr>
        <w:t>Legislación interna aplicable</w:t>
      </w:r>
      <w:bookmarkEnd w:id="236"/>
    </w:p>
    <w:p w14:paraId="1DBBCF00" w14:textId="77777777" w:rsidR="0003391C" w:rsidRPr="00470C7C" w:rsidRDefault="0003391C" w:rsidP="00140440">
      <w:pPr>
        <w:autoSpaceDE w:val="0"/>
        <w:autoSpaceDN w:val="0"/>
        <w:adjustRightInd w:val="0"/>
        <w:jc w:val="both"/>
        <w:rPr>
          <w:rFonts w:cs="Arial"/>
          <w:szCs w:val="20"/>
          <w:lang w:val="es-ES"/>
        </w:rPr>
      </w:pPr>
    </w:p>
    <w:p w14:paraId="4901075E" w14:textId="77777777" w:rsidR="00BE60E8" w:rsidRPr="00470C7C" w:rsidRDefault="00BE60E8" w:rsidP="00BE60E8">
      <w:pPr>
        <w:pStyle w:val="Prrafodelista"/>
        <w:numPr>
          <w:ilvl w:val="0"/>
          <w:numId w:val="1"/>
        </w:numPr>
        <w:autoSpaceDE w:val="0"/>
        <w:autoSpaceDN w:val="0"/>
        <w:adjustRightInd w:val="0"/>
        <w:contextualSpacing w:val="0"/>
        <w:rPr>
          <w:rFonts w:cs="Arial"/>
          <w:sz w:val="16"/>
          <w:szCs w:val="20"/>
          <w:lang w:val="es-ES"/>
        </w:rPr>
      </w:pPr>
      <w:r w:rsidRPr="00470C7C">
        <w:rPr>
          <w:rFonts w:cs="Arial"/>
          <w:szCs w:val="20"/>
          <w:lang w:val="es-ES"/>
        </w:rPr>
        <w:t>En 1943 se expidió la Consolidación de Leyes del Trabajo</w:t>
      </w:r>
      <w:r w:rsidRPr="00470C7C">
        <w:rPr>
          <w:rStyle w:val="Refdenotaalpie"/>
          <w:rFonts w:cs="Arial"/>
          <w:lang w:val="es-ES"/>
        </w:rPr>
        <w:footnoteReference w:id="95"/>
      </w:r>
      <w:r w:rsidRPr="00470C7C">
        <w:rPr>
          <w:rFonts w:cs="Arial"/>
          <w:szCs w:val="20"/>
          <w:lang w:val="es-ES"/>
        </w:rPr>
        <w:t xml:space="preserve"> y en 1973 el Estatuto del Trabajador Rural</w:t>
      </w:r>
      <w:r w:rsidRPr="00470C7C">
        <w:rPr>
          <w:rStyle w:val="Refdenotaalpie"/>
          <w:rFonts w:cs="Arial"/>
          <w:lang w:val="es-ES"/>
        </w:rPr>
        <w:footnoteReference w:id="96"/>
      </w:r>
      <w:r w:rsidRPr="00470C7C">
        <w:rPr>
          <w:rFonts w:cs="Arial"/>
          <w:szCs w:val="20"/>
          <w:lang w:val="es-ES"/>
        </w:rPr>
        <w:t xml:space="preserve">. Estas normas no contemplaban una prohibición expresa del trabajo esclavo, pero establecían infracciones en materia laboral que correspondían con las </w:t>
      </w:r>
      <w:r w:rsidR="004A037C" w:rsidRPr="00470C7C">
        <w:rPr>
          <w:rFonts w:cs="Arial"/>
          <w:szCs w:val="20"/>
          <w:lang w:val="es-ES"/>
        </w:rPr>
        <w:t>conductas</w:t>
      </w:r>
      <w:r w:rsidR="00D3407A" w:rsidRPr="00470C7C">
        <w:rPr>
          <w:rFonts w:cs="Arial"/>
          <w:szCs w:val="20"/>
          <w:lang w:val="es-ES"/>
        </w:rPr>
        <w:t xml:space="preserve"> </w:t>
      </w:r>
      <w:r w:rsidRPr="00470C7C">
        <w:rPr>
          <w:rFonts w:cs="Arial"/>
          <w:szCs w:val="20"/>
          <w:lang w:val="es-ES"/>
        </w:rPr>
        <w:t xml:space="preserve">que configuraban el trabajo esclavo. </w:t>
      </w:r>
    </w:p>
    <w:p w14:paraId="47848F38" w14:textId="77777777" w:rsidR="00BE60E8" w:rsidRPr="00470C7C" w:rsidRDefault="00BE60E8" w:rsidP="00BE60E8">
      <w:pPr>
        <w:pStyle w:val="Prrafodelista"/>
        <w:autoSpaceDE w:val="0"/>
        <w:autoSpaceDN w:val="0"/>
        <w:adjustRightInd w:val="0"/>
        <w:ind w:left="0"/>
        <w:contextualSpacing w:val="0"/>
        <w:rPr>
          <w:rFonts w:cs="Arial"/>
          <w:sz w:val="16"/>
          <w:szCs w:val="20"/>
          <w:lang w:val="es-ES"/>
        </w:rPr>
      </w:pPr>
    </w:p>
    <w:p w14:paraId="43772AAA"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artículo 7 de la Constitución de Brasil de 1988 consagra los derechos de los trabajadores urbanos y rurales</w:t>
      </w:r>
      <w:r w:rsidRPr="00470C7C">
        <w:rPr>
          <w:rStyle w:val="Refdenotaalpie"/>
          <w:rFonts w:cs="Arial"/>
          <w:lang w:val="es-ES"/>
        </w:rPr>
        <w:footnoteReference w:id="97"/>
      </w:r>
      <w:r w:rsidRPr="00470C7C">
        <w:rPr>
          <w:rFonts w:cs="Arial"/>
          <w:szCs w:val="20"/>
          <w:lang w:val="es-ES"/>
        </w:rPr>
        <w:t xml:space="preserve">. El artículo 149 del </w:t>
      </w:r>
      <w:r w:rsidR="00BE60E8" w:rsidRPr="00470C7C">
        <w:rPr>
          <w:rFonts w:cs="Arial"/>
          <w:szCs w:val="20"/>
          <w:lang w:val="es-ES"/>
        </w:rPr>
        <w:t>Código Penal brasileño</w:t>
      </w:r>
      <w:r w:rsidRPr="00470C7C">
        <w:rPr>
          <w:rFonts w:cs="Arial"/>
          <w:szCs w:val="20"/>
          <w:lang w:val="es-ES"/>
        </w:rPr>
        <w:t xml:space="preserve"> de 1940 previó por primera vez, de forma genérica, la conducta de reducción de una persona a condiciones análogas a la </w:t>
      </w:r>
      <w:r w:rsidR="00696CD2" w:rsidRPr="00470C7C">
        <w:rPr>
          <w:rFonts w:cs="Arial"/>
          <w:szCs w:val="20"/>
          <w:lang w:val="es-ES"/>
        </w:rPr>
        <w:t xml:space="preserve">de esclavo </w:t>
      </w:r>
      <w:r w:rsidRPr="00470C7C">
        <w:rPr>
          <w:rFonts w:cs="Arial"/>
          <w:szCs w:val="20"/>
          <w:lang w:val="es-ES"/>
        </w:rPr>
        <w:t xml:space="preserve">en los siguientes términos: </w:t>
      </w:r>
    </w:p>
    <w:p w14:paraId="4DAC94FF"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70DCE149" w14:textId="77777777" w:rsidR="0003391C" w:rsidRPr="00470C7C" w:rsidRDefault="0003391C" w:rsidP="00140440">
      <w:pPr>
        <w:pStyle w:val="Prrafodelista"/>
        <w:autoSpaceDE w:val="0"/>
        <w:autoSpaceDN w:val="0"/>
        <w:adjustRightInd w:val="0"/>
        <w:ind w:right="720"/>
        <w:contextualSpacing w:val="0"/>
        <w:rPr>
          <w:rFonts w:cs="Arial"/>
          <w:szCs w:val="20"/>
          <w:lang w:val="es-ES"/>
        </w:rPr>
      </w:pPr>
      <w:r w:rsidRPr="00470C7C">
        <w:rPr>
          <w:rFonts w:cs="Arial"/>
          <w:sz w:val="16"/>
          <w:szCs w:val="20"/>
          <w:lang w:val="es-ES"/>
        </w:rPr>
        <w:t xml:space="preserve">“Reducir a alguien a condiciones análogas a la </w:t>
      </w:r>
      <w:r w:rsidR="009C380B" w:rsidRPr="00470C7C">
        <w:rPr>
          <w:rFonts w:cs="Arial"/>
          <w:sz w:val="16"/>
          <w:szCs w:val="20"/>
          <w:lang w:val="es-ES"/>
        </w:rPr>
        <w:t>de esclavo</w:t>
      </w:r>
      <w:r w:rsidRPr="00470C7C">
        <w:rPr>
          <w:rFonts w:cs="Arial"/>
          <w:sz w:val="16"/>
          <w:szCs w:val="20"/>
          <w:lang w:val="es-ES"/>
        </w:rPr>
        <w:t>: Pena de reclusión de 2 a 8 años”</w:t>
      </w:r>
      <w:r w:rsidRPr="00470C7C">
        <w:rPr>
          <w:rStyle w:val="Refdenotaalpie"/>
          <w:rFonts w:cs="Arial"/>
          <w:sz w:val="16"/>
          <w:lang w:val="es-ES"/>
        </w:rPr>
        <w:footnoteReference w:id="98"/>
      </w:r>
      <w:r w:rsidRPr="00470C7C">
        <w:rPr>
          <w:rFonts w:cs="Times New Roman"/>
          <w:sz w:val="16"/>
          <w:szCs w:val="20"/>
          <w:lang w:val="es-ES"/>
        </w:rPr>
        <w:t>.</w:t>
      </w:r>
      <w:r w:rsidRPr="00470C7C">
        <w:rPr>
          <w:rFonts w:cs="Times New Roman"/>
          <w:szCs w:val="20"/>
          <w:lang w:val="es-ES"/>
        </w:rPr>
        <w:t xml:space="preserve"> </w:t>
      </w:r>
    </w:p>
    <w:p w14:paraId="64BBA7E0"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0E242E0B"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Times New Roman"/>
          <w:szCs w:val="20"/>
          <w:lang w:val="es-ES"/>
        </w:rPr>
        <w:t xml:space="preserve">Asimismo, el artículo </w:t>
      </w:r>
      <w:r w:rsidRPr="00470C7C">
        <w:rPr>
          <w:rFonts w:cs="Arial"/>
          <w:szCs w:val="20"/>
          <w:lang w:val="es-ES"/>
        </w:rPr>
        <w:t xml:space="preserve">197 </w:t>
      </w:r>
      <w:proofErr w:type="gramStart"/>
      <w:r w:rsidRPr="00470C7C">
        <w:rPr>
          <w:rFonts w:cs="Arial"/>
          <w:szCs w:val="20"/>
          <w:lang w:val="es-ES"/>
        </w:rPr>
        <w:t xml:space="preserve">del </w:t>
      </w:r>
      <w:r w:rsidRPr="00470C7C">
        <w:rPr>
          <w:rFonts w:cs="Times New Roman"/>
          <w:szCs w:val="20"/>
          <w:lang w:val="es-ES"/>
        </w:rPr>
        <w:t xml:space="preserve"> </w:t>
      </w:r>
      <w:r w:rsidR="00BE60E8" w:rsidRPr="00470C7C">
        <w:rPr>
          <w:rFonts w:cs="Arial"/>
          <w:szCs w:val="20"/>
          <w:lang w:val="es-ES"/>
        </w:rPr>
        <w:t>Código</w:t>
      </w:r>
      <w:proofErr w:type="gramEnd"/>
      <w:r w:rsidR="00BE60E8" w:rsidRPr="00470C7C">
        <w:rPr>
          <w:rFonts w:cs="Arial"/>
          <w:szCs w:val="20"/>
          <w:lang w:val="es-ES"/>
        </w:rPr>
        <w:t xml:space="preserve"> Penal brasileño</w:t>
      </w:r>
      <w:r w:rsidRPr="00470C7C">
        <w:rPr>
          <w:rFonts w:cs="Arial"/>
          <w:szCs w:val="20"/>
          <w:lang w:val="es-ES"/>
        </w:rPr>
        <w:t xml:space="preserve"> contemplaba el delito de “atentado contra la libertad de trabajo”</w:t>
      </w:r>
      <w:r w:rsidRPr="00470C7C">
        <w:rPr>
          <w:rStyle w:val="Refdenotaalpie"/>
          <w:rFonts w:cs="Arial"/>
          <w:lang w:val="es-ES"/>
        </w:rPr>
        <w:footnoteReference w:id="99"/>
      </w:r>
      <w:r w:rsidRPr="00470C7C">
        <w:rPr>
          <w:rFonts w:cs="Arial"/>
          <w:szCs w:val="20"/>
          <w:lang w:val="es-ES"/>
        </w:rPr>
        <w:t xml:space="preserve">; y </w:t>
      </w:r>
      <w:r w:rsidR="008044C2" w:rsidRPr="00470C7C">
        <w:rPr>
          <w:rFonts w:cs="Arial"/>
          <w:szCs w:val="20"/>
          <w:lang w:val="es-ES"/>
        </w:rPr>
        <w:t>e</w:t>
      </w:r>
      <w:r w:rsidRPr="00470C7C">
        <w:rPr>
          <w:rFonts w:cs="Arial"/>
          <w:szCs w:val="20"/>
          <w:lang w:val="es-ES"/>
        </w:rPr>
        <w:t>l artículo 207</w:t>
      </w:r>
      <w:r w:rsidRPr="00470C7C">
        <w:rPr>
          <w:rFonts w:cs="Times New Roman"/>
          <w:szCs w:val="20"/>
          <w:lang w:val="es-ES"/>
        </w:rPr>
        <w:t xml:space="preserve"> </w:t>
      </w:r>
      <w:r w:rsidRPr="00470C7C">
        <w:rPr>
          <w:rFonts w:cs="Arial"/>
          <w:szCs w:val="20"/>
          <w:lang w:val="es-ES"/>
        </w:rPr>
        <w:t>contemplaba el delito de “reclutamiento ilegal de trabajadores de un</w:t>
      </w:r>
      <w:r w:rsidR="00EE2ADA" w:rsidRPr="00470C7C">
        <w:rPr>
          <w:rFonts w:cs="Arial"/>
          <w:szCs w:val="20"/>
          <w:lang w:val="es-ES"/>
        </w:rPr>
        <w:t>a</w:t>
      </w:r>
      <w:r w:rsidRPr="00470C7C">
        <w:rPr>
          <w:rFonts w:cs="Arial"/>
          <w:szCs w:val="20"/>
          <w:lang w:val="es-ES"/>
        </w:rPr>
        <w:t xml:space="preserve"> local</w:t>
      </w:r>
      <w:r w:rsidR="00EE2ADA" w:rsidRPr="00470C7C">
        <w:rPr>
          <w:rFonts w:cs="Arial"/>
          <w:szCs w:val="20"/>
          <w:lang w:val="es-ES"/>
        </w:rPr>
        <w:t>idad</w:t>
      </w:r>
      <w:r w:rsidRPr="00470C7C">
        <w:rPr>
          <w:rFonts w:cs="Arial"/>
          <w:szCs w:val="20"/>
          <w:lang w:val="es-ES"/>
        </w:rPr>
        <w:t xml:space="preserve"> a otr</w:t>
      </w:r>
      <w:r w:rsidR="00EE2ADA" w:rsidRPr="00470C7C">
        <w:rPr>
          <w:rFonts w:cs="Arial"/>
          <w:szCs w:val="20"/>
          <w:lang w:val="es-ES"/>
        </w:rPr>
        <w:t>a</w:t>
      </w:r>
      <w:r w:rsidRPr="00470C7C">
        <w:rPr>
          <w:rFonts w:cs="Arial"/>
          <w:szCs w:val="20"/>
          <w:lang w:val="es-ES"/>
        </w:rPr>
        <w:t xml:space="preserve"> del territorio nacional”</w:t>
      </w:r>
      <w:r w:rsidRPr="00470C7C">
        <w:rPr>
          <w:rStyle w:val="Refdenotaalpie"/>
          <w:rFonts w:cs="Arial"/>
          <w:lang w:val="es-ES"/>
        </w:rPr>
        <w:footnoteReference w:id="100"/>
      </w:r>
      <w:r w:rsidRPr="00470C7C">
        <w:rPr>
          <w:rFonts w:cs="Arial"/>
          <w:szCs w:val="20"/>
          <w:lang w:val="es-ES"/>
        </w:rPr>
        <w:t>.</w:t>
      </w:r>
      <w:r w:rsidRPr="00470C7C">
        <w:rPr>
          <w:rFonts w:cs="Times New Roman"/>
          <w:szCs w:val="20"/>
          <w:lang w:val="es-ES"/>
        </w:rPr>
        <w:t xml:space="preserve"> Al momento de los hechos del presente caso es</w:t>
      </w:r>
      <w:r w:rsidR="00EE2ADA" w:rsidRPr="00470C7C">
        <w:rPr>
          <w:rFonts w:cs="Times New Roman"/>
          <w:szCs w:val="20"/>
          <w:lang w:val="es-ES"/>
        </w:rPr>
        <w:t>t</w:t>
      </w:r>
      <w:r w:rsidRPr="00470C7C">
        <w:rPr>
          <w:rFonts w:cs="Times New Roman"/>
          <w:szCs w:val="20"/>
          <w:lang w:val="es-ES"/>
        </w:rPr>
        <w:t>a era la normativa aplicable.</w:t>
      </w:r>
      <w:r w:rsidRPr="00470C7C">
        <w:rPr>
          <w:rFonts w:cs="Arial"/>
          <w:sz w:val="16"/>
          <w:szCs w:val="20"/>
          <w:lang w:val="es-ES"/>
        </w:rPr>
        <w:t xml:space="preserve"> </w:t>
      </w:r>
    </w:p>
    <w:p w14:paraId="1D072487"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3611224A" w14:textId="77777777" w:rsidR="0003391C" w:rsidRPr="00470C7C" w:rsidRDefault="0003391C" w:rsidP="00140440">
      <w:pPr>
        <w:pStyle w:val="Prrafodelista"/>
        <w:numPr>
          <w:ilvl w:val="0"/>
          <w:numId w:val="1"/>
        </w:numPr>
        <w:autoSpaceDE w:val="0"/>
        <w:autoSpaceDN w:val="0"/>
        <w:adjustRightInd w:val="0"/>
        <w:contextualSpacing w:val="0"/>
        <w:rPr>
          <w:rFonts w:cs="Arial"/>
          <w:sz w:val="16"/>
          <w:szCs w:val="20"/>
          <w:lang w:val="es-ES"/>
        </w:rPr>
      </w:pPr>
      <w:r w:rsidRPr="00470C7C">
        <w:rPr>
          <w:rFonts w:cs="Arial"/>
          <w:szCs w:val="20"/>
          <w:lang w:val="es-ES"/>
        </w:rPr>
        <w:t xml:space="preserve">En 1994 se promulgó la primera Instrucción Administrativa que establecía el procedimiento adecuado para realizar fiscalizaciones laborales en contextos rurales y estableció las orientaciones en cuanto al procedimiento que debía ser adoptado en casos de </w:t>
      </w:r>
      <w:r w:rsidR="001B63D0" w:rsidRPr="00470C7C">
        <w:rPr>
          <w:rFonts w:cs="Arial"/>
          <w:szCs w:val="20"/>
          <w:lang w:val="es-ES"/>
        </w:rPr>
        <w:t>trabajo forzoso</w:t>
      </w:r>
      <w:r w:rsidRPr="00470C7C">
        <w:rPr>
          <w:rFonts w:cs="Arial"/>
          <w:szCs w:val="20"/>
          <w:lang w:val="es-ES"/>
        </w:rPr>
        <w:t xml:space="preserve"> y otras situaciones que pusieran en riesgo la vida o la salud de los trabajadores</w:t>
      </w:r>
      <w:r w:rsidRPr="00470C7C">
        <w:rPr>
          <w:rStyle w:val="Refdenotaalpie"/>
          <w:rFonts w:cs="Arial"/>
          <w:lang w:val="es-ES"/>
        </w:rPr>
        <w:t xml:space="preserve"> </w:t>
      </w:r>
      <w:r w:rsidRPr="00470C7C">
        <w:rPr>
          <w:rStyle w:val="Refdenotaalpie"/>
          <w:rFonts w:cs="Arial"/>
          <w:lang w:val="es-ES"/>
        </w:rPr>
        <w:footnoteReference w:id="101"/>
      </w:r>
      <w:r w:rsidR="00E006E8" w:rsidRPr="00470C7C">
        <w:rPr>
          <w:rFonts w:cs="Arial"/>
          <w:szCs w:val="20"/>
          <w:lang w:val="es-ES"/>
        </w:rPr>
        <w:t>.</w:t>
      </w:r>
      <w:r w:rsidRPr="00470C7C">
        <w:rPr>
          <w:rFonts w:cs="Arial"/>
          <w:szCs w:val="20"/>
          <w:lang w:val="es-ES"/>
        </w:rPr>
        <w:t xml:space="preserve"> </w:t>
      </w:r>
      <w:r w:rsidR="00E006E8" w:rsidRPr="00470C7C">
        <w:rPr>
          <w:rFonts w:cs="Arial"/>
          <w:szCs w:val="20"/>
          <w:lang w:val="es-ES"/>
        </w:rPr>
        <w:t>E</w:t>
      </w:r>
      <w:r w:rsidRPr="00470C7C">
        <w:rPr>
          <w:rFonts w:cs="Arial"/>
          <w:szCs w:val="20"/>
          <w:lang w:val="es-ES"/>
        </w:rPr>
        <w:t>sta norma fue reformada en 2006</w:t>
      </w:r>
      <w:r w:rsidR="005504F7" w:rsidRPr="00470C7C">
        <w:rPr>
          <w:rFonts w:cs="Arial"/>
          <w:szCs w:val="20"/>
          <w:lang w:val="es-ES"/>
        </w:rPr>
        <w:t xml:space="preserve"> y 2009</w:t>
      </w:r>
      <w:r w:rsidRPr="00470C7C">
        <w:rPr>
          <w:rStyle w:val="Refdenotaalpie"/>
          <w:rFonts w:cs="Arial"/>
          <w:lang w:val="es-ES"/>
        </w:rPr>
        <w:footnoteReference w:id="102"/>
      </w:r>
      <w:r w:rsidRPr="00470C7C">
        <w:rPr>
          <w:rFonts w:cs="Arial"/>
          <w:szCs w:val="20"/>
          <w:lang w:val="es-ES"/>
        </w:rPr>
        <w:t xml:space="preserve">. </w:t>
      </w:r>
    </w:p>
    <w:p w14:paraId="4A5D4327" w14:textId="77777777" w:rsidR="0003391C" w:rsidRPr="00470C7C" w:rsidRDefault="0003391C" w:rsidP="00140440">
      <w:pPr>
        <w:pStyle w:val="Prrafodelista"/>
        <w:contextualSpacing w:val="0"/>
        <w:rPr>
          <w:rFonts w:cs="Arial"/>
          <w:sz w:val="16"/>
          <w:szCs w:val="20"/>
          <w:lang w:val="es-ES"/>
        </w:rPr>
      </w:pPr>
    </w:p>
    <w:p w14:paraId="76E619F0"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Mediante Ley No. 10.803 de 2003 se modificó el artículo 149 del </w:t>
      </w:r>
      <w:r w:rsidR="00BE60E8" w:rsidRPr="00470C7C">
        <w:rPr>
          <w:rFonts w:cs="Arial"/>
          <w:szCs w:val="20"/>
          <w:lang w:val="es-ES"/>
        </w:rPr>
        <w:t>Código Penal brasileño</w:t>
      </w:r>
      <w:r w:rsidRPr="00470C7C">
        <w:rPr>
          <w:rFonts w:cs="Arial"/>
          <w:szCs w:val="20"/>
          <w:lang w:val="es-ES"/>
        </w:rPr>
        <w:t xml:space="preserve">, y se tipificó como delito toda conducta que redujera a una persona a condiciones análogas a la </w:t>
      </w:r>
      <w:r w:rsidR="00696CD2" w:rsidRPr="00470C7C">
        <w:rPr>
          <w:rFonts w:cs="Arial"/>
          <w:szCs w:val="20"/>
          <w:lang w:val="es-ES"/>
        </w:rPr>
        <w:t>de esclavo</w:t>
      </w:r>
      <w:r w:rsidRPr="00470C7C">
        <w:rPr>
          <w:rFonts w:cs="Arial"/>
          <w:szCs w:val="20"/>
          <w:lang w:val="es-ES"/>
        </w:rPr>
        <w:t>, en los siguientes términos:</w:t>
      </w:r>
    </w:p>
    <w:p w14:paraId="747E062B"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21BF94BC" w14:textId="77777777" w:rsidR="0003391C" w:rsidRPr="00470C7C" w:rsidRDefault="0003391C" w:rsidP="00140440">
      <w:pPr>
        <w:autoSpaceDE w:val="0"/>
        <w:autoSpaceDN w:val="0"/>
        <w:adjustRightInd w:val="0"/>
        <w:ind w:left="720" w:right="720"/>
        <w:jc w:val="both"/>
        <w:rPr>
          <w:rFonts w:cs="Times New Roman"/>
          <w:sz w:val="16"/>
          <w:szCs w:val="20"/>
          <w:lang w:val="es-ES"/>
        </w:rPr>
      </w:pPr>
      <w:r w:rsidRPr="00470C7C">
        <w:rPr>
          <w:rFonts w:cs="Arial"/>
          <w:sz w:val="16"/>
          <w:szCs w:val="20"/>
          <w:lang w:val="es-ES"/>
        </w:rPr>
        <w:t xml:space="preserve">Art. 149. Reducir a alguien a una condición análoga a la </w:t>
      </w:r>
      <w:r w:rsidR="009C380B" w:rsidRPr="00470C7C">
        <w:rPr>
          <w:rFonts w:cs="Arial"/>
          <w:sz w:val="16"/>
          <w:szCs w:val="20"/>
          <w:lang w:val="es-ES"/>
        </w:rPr>
        <w:t>de esclavo</w:t>
      </w:r>
      <w:r w:rsidRPr="00470C7C">
        <w:rPr>
          <w:rFonts w:cs="Arial"/>
          <w:sz w:val="16"/>
          <w:szCs w:val="20"/>
          <w:lang w:val="es-ES"/>
        </w:rPr>
        <w:t xml:space="preserve">, o someterlo a trabajos forzados o a una jornada agotadora, o someterlo a condiciones degradantes de trabajo, o restringir de cualquier manera, su locomoción, en virtud de deuda adquirida con el empleador </w:t>
      </w:r>
      <w:r w:rsidRPr="00470C7C">
        <w:rPr>
          <w:rFonts w:cs="Times New Roman"/>
          <w:sz w:val="16"/>
          <w:szCs w:val="20"/>
          <w:lang w:val="es-ES"/>
        </w:rPr>
        <w:t>o su representante.</w:t>
      </w:r>
    </w:p>
    <w:p w14:paraId="4DB9C68A" w14:textId="77777777" w:rsidR="00B130B5" w:rsidRPr="00470C7C" w:rsidRDefault="00B130B5" w:rsidP="00140440">
      <w:pPr>
        <w:autoSpaceDE w:val="0"/>
        <w:autoSpaceDN w:val="0"/>
        <w:adjustRightInd w:val="0"/>
        <w:ind w:left="720" w:right="720"/>
        <w:jc w:val="both"/>
        <w:rPr>
          <w:rFonts w:cs="Arial"/>
          <w:sz w:val="16"/>
          <w:szCs w:val="20"/>
          <w:lang w:val="es-ES"/>
        </w:rPr>
      </w:pPr>
    </w:p>
    <w:p w14:paraId="6B027898" w14:textId="77777777" w:rsidR="0003391C" w:rsidRPr="00470C7C" w:rsidRDefault="0003391C" w:rsidP="00140440">
      <w:pPr>
        <w:autoSpaceDE w:val="0"/>
        <w:autoSpaceDN w:val="0"/>
        <w:adjustRightInd w:val="0"/>
        <w:ind w:left="720" w:right="720"/>
        <w:jc w:val="both"/>
        <w:rPr>
          <w:rFonts w:cs="Times New Roman"/>
          <w:sz w:val="16"/>
          <w:szCs w:val="20"/>
          <w:lang w:val="es-ES"/>
        </w:rPr>
      </w:pPr>
      <w:r w:rsidRPr="00470C7C">
        <w:rPr>
          <w:rFonts w:cs="Arial"/>
          <w:sz w:val="16"/>
          <w:szCs w:val="20"/>
          <w:lang w:val="es-ES"/>
        </w:rPr>
        <w:t>Pena - reclusión de dos a ocho años y una multa, además de la sanción que corresponda por la violencia.</w:t>
      </w:r>
    </w:p>
    <w:p w14:paraId="58D93E9A" w14:textId="77777777" w:rsidR="0003391C" w:rsidRPr="00470C7C" w:rsidRDefault="0003391C" w:rsidP="00140440">
      <w:pPr>
        <w:autoSpaceDE w:val="0"/>
        <w:autoSpaceDN w:val="0"/>
        <w:adjustRightInd w:val="0"/>
        <w:ind w:left="720" w:right="720"/>
        <w:jc w:val="both"/>
        <w:rPr>
          <w:rFonts w:cs="Times New Roman"/>
          <w:sz w:val="16"/>
          <w:szCs w:val="20"/>
          <w:lang w:val="es-ES"/>
        </w:rPr>
      </w:pPr>
    </w:p>
    <w:p w14:paraId="21437CA1"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1. Las mismas penas se aplican a aquellos que:</w:t>
      </w:r>
    </w:p>
    <w:p w14:paraId="3510E86F" w14:textId="77777777" w:rsidR="0003391C" w:rsidRPr="00470C7C" w:rsidRDefault="0003391C" w:rsidP="00140440">
      <w:pPr>
        <w:autoSpaceDE w:val="0"/>
        <w:autoSpaceDN w:val="0"/>
        <w:adjustRightInd w:val="0"/>
        <w:ind w:left="720" w:right="720"/>
        <w:jc w:val="both"/>
        <w:rPr>
          <w:rFonts w:cs="Arial"/>
          <w:sz w:val="16"/>
          <w:szCs w:val="20"/>
          <w:lang w:val="es-ES"/>
        </w:rPr>
      </w:pPr>
    </w:p>
    <w:p w14:paraId="64B1A9C9"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I.- restrinjan el uso de cualquier medio de transporte del empleado con el fin de retenerlo en el lugar de trabajo.</w:t>
      </w:r>
    </w:p>
    <w:p w14:paraId="0ECB7E75"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II.- mantenga abierta la vigilancia en el lugar de trabajo o tome posesión de documentos o bienes personales de los trabajadores con el fin de retenerlo en el lugar de trabajo. </w:t>
      </w:r>
    </w:p>
    <w:p w14:paraId="2FBEFA57" w14:textId="77777777" w:rsidR="0003391C" w:rsidRPr="00470C7C" w:rsidRDefault="0003391C" w:rsidP="00140440">
      <w:pPr>
        <w:autoSpaceDE w:val="0"/>
        <w:autoSpaceDN w:val="0"/>
        <w:adjustRightInd w:val="0"/>
        <w:ind w:left="720" w:right="720"/>
        <w:jc w:val="both"/>
        <w:rPr>
          <w:rFonts w:cs="Arial"/>
          <w:sz w:val="16"/>
          <w:szCs w:val="20"/>
          <w:lang w:val="es-ES"/>
        </w:rPr>
      </w:pPr>
    </w:p>
    <w:p w14:paraId="4C96990C"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2. La pena se aumentará en una mitad si el delito se comete: </w:t>
      </w:r>
    </w:p>
    <w:p w14:paraId="487A391A" w14:textId="77777777" w:rsidR="0003391C" w:rsidRPr="00470C7C" w:rsidRDefault="0003391C" w:rsidP="00140440">
      <w:pPr>
        <w:autoSpaceDE w:val="0"/>
        <w:autoSpaceDN w:val="0"/>
        <w:adjustRightInd w:val="0"/>
        <w:ind w:left="720" w:right="720"/>
        <w:jc w:val="both"/>
        <w:rPr>
          <w:rFonts w:cs="Arial"/>
          <w:sz w:val="16"/>
          <w:szCs w:val="20"/>
          <w:lang w:val="es-ES"/>
        </w:rPr>
      </w:pPr>
    </w:p>
    <w:p w14:paraId="13ED68D3"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I.- en contra de un niño o adolescente; </w:t>
      </w:r>
    </w:p>
    <w:p w14:paraId="15DB19FB"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II.- por motivos de raza, color, etnia, religión u origen.</w:t>
      </w:r>
    </w:p>
    <w:p w14:paraId="118075EC" w14:textId="77777777" w:rsidR="0003391C" w:rsidRPr="00470C7C" w:rsidRDefault="0003391C" w:rsidP="00140440">
      <w:pPr>
        <w:autoSpaceDE w:val="0"/>
        <w:autoSpaceDN w:val="0"/>
        <w:adjustRightInd w:val="0"/>
        <w:ind w:left="720" w:right="720"/>
        <w:jc w:val="both"/>
        <w:rPr>
          <w:rFonts w:cs="Arial"/>
          <w:szCs w:val="20"/>
          <w:lang w:val="es-ES"/>
        </w:rPr>
      </w:pPr>
    </w:p>
    <w:p w14:paraId="08389A02" w14:textId="77777777" w:rsidR="0003391C" w:rsidRPr="00470C7C" w:rsidRDefault="00DC2886" w:rsidP="00EF4DFF">
      <w:pPr>
        <w:pStyle w:val="Ttulo2"/>
        <w:numPr>
          <w:ilvl w:val="0"/>
          <w:numId w:val="0"/>
        </w:numPr>
        <w:rPr>
          <w:rFonts w:eastAsia="Batang"/>
          <w:noProof/>
          <w:lang w:eastAsia="es-ES"/>
        </w:rPr>
      </w:pPr>
      <w:bookmarkStart w:id="237" w:name="_Toc464813928"/>
      <w:r w:rsidRPr="00470C7C">
        <w:rPr>
          <w:rFonts w:eastAsia="Batang"/>
          <w:noProof/>
          <w:lang w:eastAsia="es-ES"/>
        </w:rPr>
        <w:tab/>
      </w:r>
      <w:r w:rsidR="0014534A" w:rsidRPr="00470C7C">
        <w:rPr>
          <w:rFonts w:eastAsia="Batang"/>
          <w:noProof/>
          <w:lang w:eastAsia="es-ES"/>
        </w:rPr>
        <w:t>A.5</w:t>
      </w:r>
      <w:r w:rsidRPr="00470C7C">
        <w:rPr>
          <w:rFonts w:eastAsia="Batang"/>
          <w:noProof/>
          <w:lang w:eastAsia="es-ES"/>
        </w:rPr>
        <w:t>.</w:t>
      </w:r>
      <w:r w:rsidR="0014534A" w:rsidRPr="00470C7C">
        <w:rPr>
          <w:rFonts w:eastAsia="Batang"/>
          <w:noProof/>
          <w:lang w:eastAsia="es-ES"/>
        </w:rPr>
        <w:t xml:space="preserve"> </w:t>
      </w:r>
      <w:r w:rsidR="00E93D34" w:rsidRPr="00470C7C">
        <w:rPr>
          <w:rFonts w:eastAsia="Batang"/>
          <w:noProof/>
          <w:lang w:eastAsia="es-ES"/>
        </w:rPr>
        <w:t>Antecedentes</w:t>
      </w:r>
      <w:bookmarkEnd w:id="237"/>
    </w:p>
    <w:p w14:paraId="7E78E5D6" w14:textId="77777777" w:rsidR="0003391C" w:rsidRPr="00470C7C" w:rsidRDefault="0003391C" w:rsidP="00140440">
      <w:pPr>
        <w:pStyle w:val="Prrafodelista"/>
        <w:contextualSpacing w:val="0"/>
        <w:rPr>
          <w:rFonts w:cs="Times New Roman"/>
          <w:szCs w:val="20"/>
          <w:lang w:val="es-ES"/>
        </w:rPr>
      </w:pPr>
    </w:p>
    <w:p w14:paraId="7F163BE6" w14:textId="77777777" w:rsidR="0003391C" w:rsidRPr="00470C7C" w:rsidRDefault="0003391C" w:rsidP="008622F3">
      <w:pPr>
        <w:pStyle w:val="Ttulo3"/>
      </w:pPr>
      <w:bookmarkStart w:id="238" w:name="_Toc460433004"/>
      <w:bookmarkStart w:id="239" w:name="_Toc460441935"/>
      <w:bookmarkStart w:id="240" w:name="_Toc462750753"/>
      <w:bookmarkStart w:id="241" w:name="_Toc462751077"/>
      <w:bookmarkStart w:id="242" w:name="_Toc464813929"/>
      <w:r w:rsidRPr="00470C7C">
        <w:rPr>
          <w:b w:val="0"/>
        </w:rPr>
        <w:t>Sobre la Hacienda Brasil Verde</w:t>
      </w:r>
      <w:bookmarkEnd w:id="238"/>
      <w:bookmarkEnd w:id="239"/>
      <w:bookmarkEnd w:id="240"/>
      <w:bookmarkEnd w:id="241"/>
      <w:bookmarkEnd w:id="242"/>
    </w:p>
    <w:p w14:paraId="1304DBD2" w14:textId="77777777" w:rsidR="0003391C" w:rsidRPr="00470C7C" w:rsidRDefault="0003391C" w:rsidP="00140440">
      <w:pPr>
        <w:pStyle w:val="Prrafodelista"/>
        <w:contextualSpacing w:val="0"/>
        <w:rPr>
          <w:rFonts w:cs="Times New Roman"/>
          <w:szCs w:val="20"/>
          <w:lang w:val="es-ES"/>
        </w:rPr>
      </w:pPr>
    </w:p>
    <w:p w14:paraId="3C71C51B"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 xml:space="preserve">La </w:t>
      </w:r>
      <w:r w:rsidRPr="00470C7C">
        <w:rPr>
          <w:rFonts w:cs="Arial"/>
          <w:iCs/>
          <w:szCs w:val="20"/>
          <w:lang w:val="es-ES"/>
        </w:rPr>
        <w:t>Hacienda Brasil Verde</w:t>
      </w:r>
      <w:r w:rsidRPr="00470C7C">
        <w:rPr>
          <w:rFonts w:cs="Arial"/>
          <w:i/>
          <w:iCs/>
          <w:szCs w:val="20"/>
          <w:lang w:val="es-ES"/>
        </w:rPr>
        <w:t xml:space="preserve"> </w:t>
      </w:r>
      <w:r w:rsidRPr="00470C7C">
        <w:rPr>
          <w:rFonts w:cs="Arial"/>
          <w:szCs w:val="20"/>
          <w:lang w:val="es-ES"/>
        </w:rPr>
        <w:t xml:space="preserve">se encuentra ubicada en el municipio de </w:t>
      </w:r>
      <w:proofErr w:type="spellStart"/>
      <w:r w:rsidRPr="00470C7C">
        <w:rPr>
          <w:rFonts w:cs="Arial"/>
          <w:szCs w:val="20"/>
          <w:lang w:val="es-ES"/>
        </w:rPr>
        <w:t>Sapucaia</w:t>
      </w:r>
      <w:proofErr w:type="spellEnd"/>
      <w:r w:rsidRPr="00470C7C">
        <w:rPr>
          <w:rFonts w:cs="Arial"/>
          <w:szCs w:val="20"/>
          <w:lang w:val="es-ES"/>
        </w:rPr>
        <w:t>, en el</w:t>
      </w:r>
      <w:r w:rsidR="000077CB" w:rsidRPr="00470C7C">
        <w:rPr>
          <w:rFonts w:cs="Arial"/>
          <w:szCs w:val="20"/>
          <w:lang w:val="es-ES"/>
        </w:rPr>
        <w:t xml:space="preserve"> sur del</w:t>
      </w:r>
      <w:r w:rsidRPr="00470C7C">
        <w:rPr>
          <w:rFonts w:cs="Arial"/>
          <w:szCs w:val="20"/>
          <w:lang w:val="es-ES"/>
        </w:rPr>
        <w:t xml:space="preserve"> </w:t>
      </w:r>
      <w:r w:rsidR="000077CB" w:rsidRPr="00470C7C">
        <w:rPr>
          <w:rFonts w:cs="Arial"/>
          <w:szCs w:val="20"/>
          <w:lang w:val="es-ES"/>
        </w:rPr>
        <w:t>E</w:t>
      </w:r>
      <w:r w:rsidRPr="00470C7C">
        <w:rPr>
          <w:rFonts w:cs="Arial"/>
          <w:szCs w:val="20"/>
          <w:lang w:val="es-ES"/>
        </w:rPr>
        <w:t>stado de Pará, en la República Federativa de Brasil</w:t>
      </w:r>
      <w:r w:rsidRPr="00470C7C">
        <w:rPr>
          <w:rStyle w:val="Refdenotaalpie"/>
          <w:rFonts w:cs="Arial"/>
          <w:lang w:val="es-ES"/>
        </w:rPr>
        <w:footnoteReference w:id="103"/>
      </w:r>
      <w:r w:rsidRPr="00470C7C">
        <w:rPr>
          <w:rFonts w:cs="Arial"/>
          <w:szCs w:val="20"/>
          <w:lang w:val="es-ES"/>
        </w:rPr>
        <w:t xml:space="preserve">. El área total de la Hacienda es de 1.780 </w:t>
      </w:r>
      <w:proofErr w:type="spellStart"/>
      <w:r w:rsidRPr="00470C7C">
        <w:rPr>
          <w:rFonts w:cs="Arial"/>
          <w:i/>
          <w:iCs/>
          <w:szCs w:val="20"/>
          <w:lang w:val="es-ES"/>
        </w:rPr>
        <w:t>alqueires</w:t>
      </w:r>
      <w:proofErr w:type="spellEnd"/>
      <w:r w:rsidRPr="00470C7C">
        <w:rPr>
          <w:rFonts w:cs="Arial"/>
          <w:i/>
          <w:iCs/>
          <w:szCs w:val="20"/>
          <w:lang w:val="es-ES"/>
        </w:rPr>
        <w:t xml:space="preserve"> </w:t>
      </w:r>
      <w:r w:rsidRPr="00470C7C">
        <w:rPr>
          <w:rFonts w:cs="Arial"/>
          <w:szCs w:val="20"/>
          <w:lang w:val="es-ES"/>
        </w:rPr>
        <w:t>(8.544 hectáreas), donde se crían cabezas de ganado</w:t>
      </w:r>
      <w:r w:rsidRPr="00470C7C">
        <w:rPr>
          <w:rStyle w:val="Refdenotaalpie"/>
          <w:rFonts w:cs="Arial"/>
          <w:lang w:val="es-ES"/>
        </w:rPr>
        <w:footnoteReference w:id="104"/>
      </w:r>
      <w:r w:rsidRPr="00470C7C">
        <w:rPr>
          <w:rFonts w:cs="Times New Roman"/>
          <w:szCs w:val="20"/>
          <w:lang w:val="es-ES"/>
        </w:rPr>
        <w:t xml:space="preserve">. </w:t>
      </w:r>
      <w:r w:rsidRPr="00470C7C">
        <w:rPr>
          <w:rFonts w:cs="Arial"/>
          <w:szCs w:val="20"/>
          <w:lang w:val="es-ES"/>
        </w:rPr>
        <w:t xml:space="preserve">El propietario de la </w:t>
      </w:r>
      <w:r w:rsidRPr="00470C7C">
        <w:rPr>
          <w:rFonts w:cs="Arial"/>
          <w:iCs/>
          <w:szCs w:val="20"/>
          <w:lang w:val="es-ES"/>
        </w:rPr>
        <w:t>Hacienda Brasil Verde</w:t>
      </w:r>
      <w:r w:rsidRPr="00470C7C">
        <w:rPr>
          <w:rFonts w:cs="Arial"/>
          <w:i/>
          <w:iCs/>
          <w:szCs w:val="20"/>
          <w:lang w:val="es-ES"/>
        </w:rPr>
        <w:t xml:space="preserve"> </w:t>
      </w:r>
      <w:r w:rsidR="00B40811" w:rsidRPr="00470C7C">
        <w:rPr>
          <w:rFonts w:cs="Arial"/>
          <w:szCs w:val="20"/>
          <w:lang w:val="es-ES"/>
        </w:rPr>
        <w:t xml:space="preserve">al momento de los hechos era </w:t>
      </w:r>
      <w:r w:rsidRPr="00470C7C">
        <w:rPr>
          <w:rFonts w:cs="Arial"/>
          <w:szCs w:val="20"/>
          <w:lang w:val="es-ES"/>
        </w:rPr>
        <w:t xml:space="preserve">João Luis </w:t>
      </w:r>
      <w:proofErr w:type="spellStart"/>
      <w:r w:rsidRPr="00470C7C">
        <w:rPr>
          <w:rFonts w:cs="Arial"/>
          <w:szCs w:val="20"/>
          <w:lang w:val="es-ES"/>
        </w:rPr>
        <w:t>Quagliato</w:t>
      </w:r>
      <w:proofErr w:type="spellEnd"/>
      <w:r w:rsidRPr="00470C7C">
        <w:rPr>
          <w:rFonts w:cs="Arial"/>
          <w:szCs w:val="20"/>
          <w:lang w:val="es-ES"/>
        </w:rPr>
        <w:t xml:space="preserve"> Neto</w:t>
      </w:r>
      <w:r w:rsidRPr="00470C7C">
        <w:rPr>
          <w:rStyle w:val="Refdenotaalpie"/>
          <w:rFonts w:cs="Arial"/>
          <w:lang w:val="es-ES"/>
        </w:rPr>
        <w:footnoteReference w:id="105"/>
      </w:r>
      <w:r w:rsidRPr="00470C7C">
        <w:rPr>
          <w:rFonts w:cs="Times New Roman"/>
          <w:szCs w:val="20"/>
          <w:lang w:val="es-ES"/>
        </w:rPr>
        <w:t>.</w:t>
      </w:r>
    </w:p>
    <w:p w14:paraId="73A37106" w14:textId="77777777" w:rsidR="00307DD9" w:rsidRPr="00470C7C" w:rsidRDefault="00307DD9" w:rsidP="00140440">
      <w:pPr>
        <w:autoSpaceDE w:val="0"/>
        <w:autoSpaceDN w:val="0"/>
        <w:adjustRightInd w:val="0"/>
        <w:jc w:val="both"/>
        <w:rPr>
          <w:rFonts w:cs="Arial"/>
          <w:i/>
          <w:iCs/>
          <w:szCs w:val="20"/>
          <w:lang w:val="es-ES"/>
        </w:rPr>
      </w:pPr>
    </w:p>
    <w:p w14:paraId="6033F9AD" w14:textId="77777777" w:rsidR="0003391C" w:rsidRPr="00470C7C" w:rsidRDefault="0003391C" w:rsidP="008622F3">
      <w:pPr>
        <w:pStyle w:val="Ttulo3"/>
        <w:rPr>
          <w:b w:val="0"/>
        </w:rPr>
      </w:pPr>
      <w:bookmarkStart w:id="243" w:name="_Toc460433005"/>
      <w:bookmarkStart w:id="244" w:name="_Toc460441936"/>
      <w:bookmarkStart w:id="245" w:name="_Toc462750754"/>
      <w:bookmarkStart w:id="246" w:name="_Toc462751078"/>
      <w:bookmarkStart w:id="247" w:name="_Toc464813930"/>
      <w:r w:rsidRPr="00470C7C">
        <w:rPr>
          <w:b w:val="0"/>
        </w:rPr>
        <w:t>Las denuncias presentadas en diciembre de 1988 y enero de 1989</w:t>
      </w:r>
      <w:bookmarkEnd w:id="243"/>
      <w:bookmarkEnd w:id="244"/>
      <w:bookmarkEnd w:id="245"/>
      <w:bookmarkEnd w:id="246"/>
      <w:bookmarkEnd w:id="247"/>
    </w:p>
    <w:p w14:paraId="44FE3D7C" w14:textId="77777777" w:rsidR="0003391C" w:rsidRPr="00470C7C" w:rsidRDefault="0003391C" w:rsidP="00140440">
      <w:pPr>
        <w:pStyle w:val="Prrafodelista"/>
        <w:autoSpaceDE w:val="0"/>
        <w:autoSpaceDN w:val="0"/>
        <w:adjustRightInd w:val="0"/>
        <w:ind w:left="0"/>
        <w:contextualSpacing w:val="0"/>
        <w:rPr>
          <w:rFonts w:cs="Times New Roman"/>
          <w:i/>
          <w:iCs/>
          <w:szCs w:val="20"/>
          <w:lang w:val="es-ES"/>
        </w:rPr>
      </w:pPr>
    </w:p>
    <w:p w14:paraId="68899D81" w14:textId="77777777" w:rsidR="0003391C" w:rsidRPr="00470C7C" w:rsidRDefault="0003391C" w:rsidP="00140440">
      <w:pPr>
        <w:pStyle w:val="Prrafodelista"/>
        <w:numPr>
          <w:ilvl w:val="0"/>
          <w:numId w:val="1"/>
        </w:numPr>
        <w:autoSpaceDE w:val="0"/>
        <w:autoSpaceDN w:val="0"/>
        <w:adjustRightInd w:val="0"/>
        <w:contextualSpacing w:val="0"/>
        <w:rPr>
          <w:rFonts w:cs="Times New Roman"/>
          <w:i/>
          <w:iCs/>
          <w:szCs w:val="20"/>
          <w:lang w:val="es-ES"/>
        </w:rPr>
      </w:pPr>
      <w:r w:rsidRPr="00470C7C">
        <w:rPr>
          <w:rFonts w:cs="Arial"/>
          <w:szCs w:val="20"/>
          <w:lang w:val="es-ES"/>
        </w:rPr>
        <w:t xml:space="preserve">El 21 de diciembre de 1988 la Comisión Pastoral de la Tierra y la Diócesis de </w:t>
      </w:r>
      <w:proofErr w:type="spellStart"/>
      <w:r w:rsidR="00C315C5" w:rsidRPr="00470C7C">
        <w:rPr>
          <w:rFonts w:cs="Arial"/>
          <w:szCs w:val="20"/>
          <w:lang w:val="es-ES"/>
        </w:rPr>
        <w:t>Conceição</w:t>
      </w:r>
      <w:proofErr w:type="spellEnd"/>
      <w:r w:rsidR="00C315C5" w:rsidRPr="00470C7C">
        <w:rPr>
          <w:rFonts w:cs="Arial"/>
          <w:szCs w:val="20"/>
          <w:lang w:val="es-ES"/>
        </w:rPr>
        <w:t xml:space="preserve"> de </w:t>
      </w:r>
      <w:proofErr w:type="spellStart"/>
      <w:r w:rsidRPr="00470C7C">
        <w:rPr>
          <w:rFonts w:cs="Arial"/>
          <w:szCs w:val="20"/>
          <w:lang w:val="es-ES"/>
        </w:rPr>
        <w:t>Araguaia</w:t>
      </w:r>
      <w:proofErr w:type="spellEnd"/>
      <w:r w:rsidRPr="00470C7C">
        <w:rPr>
          <w:rFonts w:cs="Arial"/>
          <w:szCs w:val="20"/>
          <w:lang w:val="es-ES"/>
        </w:rPr>
        <w:t xml:space="preserve">, junto con José Teodoro da Silva y Miguel Ferreira da Cruz, padre </w:t>
      </w:r>
      <w:r w:rsidRPr="00470C7C">
        <w:rPr>
          <w:rFonts w:cs="Times New Roman"/>
          <w:szCs w:val="20"/>
          <w:lang w:val="es-ES"/>
        </w:rPr>
        <w:t xml:space="preserve">y </w:t>
      </w:r>
      <w:r w:rsidRPr="00470C7C">
        <w:rPr>
          <w:rFonts w:cs="Arial"/>
          <w:szCs w:val="20"/>
          <w:lang w:val="es-ES"/>
        </w:rPr>
        <w:t xml:space="preserve">hermano respectivamente de </w:t>
      </w:r>
      <w:proofErr w:type="spellStart"/>
      <w:r w:rsidRPr="00470C7C">
        <w:rPr>
          <w:rFonts w:cs="Arial"/>
          <w:szCs w:val="20"/>
          <w:lang w:val="es-ES"/>
        </w:rPr>
        <w:t>lron</w:t>
      </w:r>
      <w:proofErr w:type="spellEnd"/>
      <w:r w:rsidRPr="00470C7C">
        <w:rPr>
          <w:rFonts w:cs="Arial"/>
          <w:szCs w:val="20"/>
          <w:lang w:val="es-ES"/>
        </w:rPr>
        <w:t xml:space="preserve"> Canuto da Silva, de 17 años, </w:t>
      </w:r>
      <w:r w:rsidRPr="00470C7C">
        <w:rPr>
          <w:rFonts w:cs="Times New Roman"/>
          <w:szCs w:val="20"/>
          <w:lang w:val="es-ES"/>
        </w:rPr>
        <w:t xml:space="preserve">y </w:t>
      </w:r>
      <w:r w:rsidR="00200C04" w:rsidRPr="00470C7C">
        <w:rPr>
          <w:rFonts w:cs="Arial"/>
          <w:szCs w:val="20"/>
          <w:lang w:val="es-ES"/>
        </w:rPr>
        <w:t xml:space="preserve">Luis Ferreira </w:t>
      </w:r>
      <w:r w:rsidR="00867094" w:rsidRPr="00470C7C">
        <w:rPr>
          <w:rFonts w:cs="Arial"/>
          <w:szCs w:val="20"/>
          <w:lang w:val="es-ES"/>
        </w:rPr>
        <w:t>da Cruz</w:t>
      </w:r>
      <w:r w:rsidRPr="00470C7C">
        <w:rPr>
          <w:rFonts w:cs="Arial"/>
          <w:szCs w:val="20"/>
          <w:lang w:val="es-ES"/>
        </w:rPr>
        <w:t xml:space="preserve">, de 16 años, presentaron una denuncia ante la Policía Federal por la práctica de trabajo esclavo en la </w:t>
      </w:r>
      <w:r w:rsidRPr="00470C7C">
        <w:rPr>
          <w:rFonts w:cs="Arial"/>
          <w:iCs/>
          <w:szCs w:val="20"/>
          <w:lang w:val="es-ES"/>
        </w:rPr>
        <w:t>Hacienda Brasil Verde</w:t>
      </w:r>
      <w:r w:rsidRPr="00470C7C">
        <w:rPr>
          <w:rFonts w:cs="Arial"/>
          <w:i/>
          <w:iCs/>
          <w:szCs w:val="20"/>
          <w:lang w:val="es-ES"/>
        </w:rPr>
        <w:t xml:space="preserve">, </w:t>
      </w:r>
      <w:r w:rsidRPr="00470C7C">
        <w:rPr>
          <w:rFonts w:cs="Arial"/>
          <w:szCs w:val="20"/>
          <w:lang w:val="es-ES"/>
        </w:rPr>
        <w:t>y por la desaparición de los dos jóvenes</w:t>
      </w:r>
      <w:r w:rsidRPr="00470C7C">
        <w:rPr>
          <w:rStyle w:val="Refdenotaalpie"/>
          <w:rFonts w:cs="Arial"/>
          <w:lang w:val="es-ES"/>
        </w:rPr>
        <w:footnoteReference w:id="106"/>
      </w:r>
      <w:r w:rsidRPr="00470C7C">
        <w:rPr>
          <w:rFonts w:cs="Times New Roman"/>
          <w:szCs w:val="20"/>
          <w:lang w:val="es-ES"/>
        </w:rPr>
        <w:t xml:space="preserve">. </w:t>
      </w:r>
    </w:p>
    <w:p w14:paraId="026C4771" w14:textId="77777777" w:rsidR="0003391C" w:rsidRPr="00470C7C" w:rsidRDefault="0003391C" w:rsidP="00140440">
      <w:pPr>
        <w:pStyle w:val="Prrafodelista"/>
        <w:autoSpaceDE w:val="0"/>
        <w:autoSpaceDN w:val="0"/>
        <w:adjustRightInd w:val="0"/>
        <w:ind w:left="0"/>
        <w:contextualSpacing w:val="0"/>
        <w:rPr>
          <w:rFonts w:cs="Times New Roman"/>
          <w:i/>
          <w:iCs/>
          <w:szCs w:val="20"/>
          <w:lang w:val="es-ES"/>
        </w:rPr>
      </w:pPr>
    </w:p>
    <w:p w14:paraId="0EFD6AE8" w14:textId="77777777" w:rsidR="0003391C" w:rsidRPr="00470C7C" w:rsidRDefault="0003391C" w:rsidP="00140440">
      <w:pPr>
        <w:pStyle w:val="Prrafodelista"/>
        <w:numPr>
          <w:ilvl w:val="0"/>
          <w:numId w:val="1"/>
        </w:numPr>
        <w:autoSpaceDE w:val="0"/>
        <w:autoSpaceDN w:val="0"/>
        <w:adjustRightInd w:val="0"/>
        <w:contextualSpacing w:val="0"/>
        <w:rPr>
          <w:rFonts w:cs="Times New Roman"/>
          <w:i/>
          <w:iCs/>
          <w:szCs w:val="20"/>
          <w:lang w:val="es-ES"/>
        </w:rPr>
      </w:pPr>
      <w:r w:rsidRPr="00470C7C">
        <w:rPr>
          <w:rFonts w:cs="Arial"/>
          <w:szCs w:val="20"/>
          <w:lang w:val="es-ES"/>
        </w:rPr>
        <w:t xml:space="preserve">De acuerdo con dicha denuncia, en agosto de 1988 </w:t>
      </w:r>
      <w:proofErr w:type="spellStart"/>
      <w:r w:rsidRPr="00470C7C">
        <w:rPr>
          <w:rFonts w:cs="Arial"/>
          <w:szCs w:val="20"/>
          <w:lang w:val="es-ES"/>
        </w:rPr>
        <w:t>lron</w:t>
      </w:r>
      <w:proofErr w:type="spellEnd"/>
      <w:r w:rsidRPr="00470C7C">
        <w:rPr>
          <w:rFonts w:cs="Arial"/>
          <w:szCs w:val="20"/>
          <w:lang w:val="es-ES"/>
        </w:rPr>
        <w:t xml:space="preserve"> Canuto y </w:t>
      </w:r>
      <w:r w:rsidR="00200C04" w:rsidRPr="00470C7C">
        <w:rPr>
          <w:rFonts w:cs="Arial"/>
          <w:szCs w:val="20"/>
          <w:lang w:val="es-ES"/>
        </w:rPr>
        <w:t>Luis Ferreira da Cruz</w:t>
      </w:r>
      <w:r w:rsidRPr="00470C7C">
        <w:rPr>
          <w:rFonts w:cs="Arial"/>
          <w:szCs w:val="20"/>
          <w:lang w:val="es-ES"/>
        </w:rPr>
        <w:t xml:space="preserve"> habían sido llevados desde </w:t>
      </w:r>
      <w:proofErr w:type="spellStart"/>
      <w:r w:rsidRPr="00470C7C">
        <w:rPr>
          <w:rFonts w:cs="Arial"/>
          <w:szCs w:val="20"/>
          <w:lang w:val="es-ES"/>
        </w:rPr>
        <w:t>A</w:t>
      </w:r>
      <w:r w:rsidR="005504F7" w:rsidRPr="00470C7C">
        <w:rPr>
          <w:rFonts w:cs="Arial"/>
          <w:szCs w:val="20"/>
          <w:lang w:val="es-ES"/>
        </w:rPr>
        <w:t>ra</w:t>
      </w:r>
      <w:r w:rsidRPr="00470C7C">
        <w:rPr>
          <w:rFonts w:cs="Arial"/>
          <w:szCs w:val="20"/>
          <w:lang w:val="es-ES"/>
        </w:rPr>
        <w:t>poema</w:t>
      </w:r>
      <w:proofErr w:type="spellEnd"/>
      <w:r w:rsidRPr="00470C7C">
        <w:rPr>
          <w:rFonts w:cs="Times New Roman"/>
          <w:szCs w:val="20"/>
          <w:lang w:val="es-ES"/>
        </w:rPr>
        <w:t xml:space="preserve"> </w:t>
      </w:r>
      <w:r w:rsidRPr="00470C7C">
        <w:rPr>
          <w:rFonts w:cs="Arial"/>
          <w:szCs w:val="20"/>
          <w:lang w:val="es-ES"/>
        </w:rPr>
        <w:t>por un</w:t>
      </w:r>
      <w:r w:rsidR="00DB1C1D" w:rsidRPr="00470C7C">
        <w:rPr>
          <w:rFonts w:cs="Arial"/>
          <w:i/>
          <w:szCs w:val="20"/>
          <w:lang w:val="es-ES"/>
        </w:rPr>
        <w:t xml:space="preserve"> gato </w:t>
      </w:r>
      <w:r w:rsidRPr="00470C7C">
        <w:rPr>
          <w:rFonts w:cs="Arial"/>
          <w:szCs w:val="20"/>
          <w:lang w:val="es-ES"/>
        </w:rPr>
        <w:t>para trabajar por un per</w:t>
      </w:r>
      <w:r w:rsidR="00D363E9" w:rsidRPr="00470C7C">
        <w:rPr>
          <w:rFonts w:cs="Arial"/>
          <w:szCs w:val="20"/>
          <w:lang w:val="es-ES"/>
        </w:rPr>
        <w:t>í</w:t>
      </w:r>
      <w:r w:rsidRPr="00470C7C">
        <w:rPr>
          <w:rFonts w:cs="Arial"/>
          <w:szCs w:val="20"/>
          <w:lang w:val="es-ES"/>
        </w:rPr>
        <w:t>odo de 60 días en la Hacienda Brasil Verde. Además, la denuncia señalaba que</w:t>
      </w:r>
      <w:r w:rsidR="00D363E9" w:rsidRPr="00470C7C">
        <w:rPr>
          <w:rFonts w:cs="Arial"/>
          <w:szCs w:val="20"/>
          <w:lang w:val="es-ES"/>
        </w:rPr>
        <w:t>,</w:t>
      </w:r>
      <w:r w:rsidRPr="00470C7C">
        <w:rPr>
          <w:rFonts w:cs="Arial"/>
          <w:szCs w:val="20"/>
          <w:lang w:val="es-ES"/>
        </w:rPr>
        <w:t xml:space="preserve"> al intentar abandonar la Hacienda, los adolescentes habían sido regresados a la fuerza</w:t>
      </w:r>
      <w:r w:rsidRPr="00470C7C">
        <w:rPr>
          <w:rFonts w:cs="Times New Roman"/>
          <w:szCs w:val="20"/>
          <w:lang w:val="es-ES"/>
        </w:rPr>
        <w:t xml:space="preserve">, </w:t>
      </w:r>
      <w:r w:rsidRPr="00470C7C">
        <w:rPr>
          <w:rFonts w:cs="Arial"/>
          <w:szCs w:val="20"/>
          <w:lang w:val="es-ES"/>
        </w:rPr>
        <w:t xml:space="preserve">amenazados </w:t>
      </w:r>
      <w:r w:rsidRPr="00470C7C">
        <w:rPr>
          <w:rFonts w:cs="Times New Roman"/>
          <w:szCs w:val="20"/>
          <w:lang w:val="es-ES"/>
        </w:rPr>
        <w:t xml:space="preserve">y </w:t>
      </w:r>
      <w:r w:rsidRPr="00470C7C">
        <w:rPr>
          <w:rFonts w:cs="Arial"/>
          <w:szCs w:val="20"/>
          <w:lang w:val="es-ES"/>
        </w:rPr>
        <w:t>posteriormente habrían desaparecido, por lo que toda la familia estaría preocupada por ellos</w:t>
      </w:r>
      <w:r w:rsidRPr="00470C7C">
        <w:rPr>
          <w:rStyle w:val="Refdenotaalpie"/>
          <w:rFonts w:cs="Arial"/>
          <w:lang w:val="es-ES"/>
        </w:rPr>
        <w:footnoteReference w:id="107"/>
      </w:r>
      <w:r w:rsidRPr="00470C7C">
        <w:rPr>
          <w:rFonts w:cs="Arial"/>
          <w:szCs w:val="20"/>
          <w:lang w:val="es-ES"/>
        </w:rPr>
        <w:t xml:space="preserve">. </w:t>
      </w:r>
    </w:p>
    <w:p w14:paraId="2AFB0A3F" w14:textId="77777777" w:rsidR="0003391C" w:rsidRPr="00470C7C" w:rsidRDefault="0003391C" w:rsidP="00140440">
      <w:pPr>
        <w:pStyle w:val="Prrafodelista"/>
        <w:autoSpaceDE w:val="0"/>
        <w:autoSpaceDN w:val="0"/>
        <w:adjustRightInd w:val="0"/>
        <w:ind w:left="0"/>
        <w:contextualSpacing w:val="0"/>
        <w:rPr>
          <w:rFonts w:cs="Times New Roman"/>
          <w:iCs/>
          <w:szCs w:val="20"/>
          <w:lang w:val="es-ES"/>
        </w:rPr>
      </w:pPr>
    </w:p>
    <w:p w14:paraId="7BC4D3B2" w14:textId="77777777" w:rsidR="0003391C" w:rsidRPr="00470C7C" w:rsidRDefault="0003391C" w:rsidP="00140440">
      <w:pPr>
        <w:pStyle w:val="Prrafodelista"/>
        <w:numPr>
          <w:ilvl w:val="0"/>
          <w:numId w:val="1"/>
        </w:numPr>
        <w:autoSpaceDE w:val="0"/>
        <w:autoSpaceDN w:val="0"/>
        <w:adjustRightInd w:val="0"/>
        <w:contextualSpacing w:val="0"/>
        <w:rPr>
          <w:rFonts w:cs="Times New Roman"/>
          <w:i/>
          <w:iCs/>
          <w:szCs w:val="20"/>
          <w:lang w:val="es-ES"/>
        </w:rPr>
      </w:pPr>
      <w:r w:rsidRPr="00470C7C">
        <w:rPr>
          <w:rFonts w:cs="Arial"/>
          <w:szCs w:val="20"/>
          <w:lang w:val="es-ES"/>
        </w:rPr>
        <w:t xml:space="preserve">En esa misma fecha </w:t>
      </w:r>
      <w:proofErr w:type="spellStart"/>
      <w:r w:rsidRPr="00470C7C">
        <w:rPr>
          <w:rFonts w:cs="Arial"/>
          <w:szCs w:val="20"/>
          <w:lang w:val="es-ES"/>
        </w:rPr>
        <w:t>Adailton</w:t>
      </w:r>
      <w:proofErr w:type="spellEnd"/>
      <w:r w:rsidRPr="00470C7C">
        <w:rPr>
          <w:rFonts w:cs="Arial"/>
          <w:szCs w:val="20"/>
          <w:lang w:val="es-ES"/>
        </w:rPr>
        <w:t xml:space="preserve"> </w:t>
      </w:r>
      <w:proofErr w:type="spellStart"/>
      <w:r w:rsidRPr="00470C7C">
        <w:rPr>
          <w:rFonts w:cs="Arial"/>
          <w:szCs w:val="20"/>
          <w:lang w:val="es-ES"/>
        </w:rPr>
        <w:t>Martins</w:t>
      </w:r>
      <w:proofErr w:type="spellEnd"/>
      <w:r w:rsidRPr="00470C7C">
        <w:rPr>
          <w:rFonts w:cs="Arial"/>
          <w:szCs w:val="20"/>
          <w:lang w:val="es-ES"/>
        </w:rPr>
        <w:t xml:space="preserve"> dos Reis, trabajador que había escapado de la Hacienda Brasil Verde</w:t>
      </w:r>
      <w:r w:rsidR="00D363E9" w:rsidRPr="00470C7C">
        <w:rPr>
          <w:rFonts w:cs="Arial"/>
          <w:szCs w:val="20"/>
          <w:lang w:val="es-ES"/>
        </w:rPr>
        <w:t>,</w:t>
      </w:r>
      <w:r w:rsidRPr="00470C7C">
        <w:rPr>
          <w:rFonts w:cs="Arial"/>
          <w:i/>
          <w:iCs/>
          <w:szCs w:val="20"/>
          <w:lang w:val="es-ES"/>
        </w:rPr>
        <w:t xml:space="preserve"> </w:t>
      </w:r>
      <w:r w:rsidR="00B36EBC" w:rsidRPr="00470C7C">
        <w:rPr>
          <w:rFonts w:cs="Arial"/>
          <w:szCs w:val="20"/>
          <w:lang w:val="es-ES"/>
        </w:rPr>
        <w:t xml:space="preserve">denunció </w:t>
      </w:r>
      <w:r w:rsidRPr="00470C7C">
        <w:rPr>
          <w:rFonts w:cs="Arial"/>
          <w:szCs w:val="20"/>
          <w:lang w:val="es-ES"/>
        </w:rPr>
        <w:t>lo siguiente:</w:t>
      </w:r>
    </w:p>
    <w:p w14:paraId="48FA5870" w14:textId="77777777" w:rsidR="0003391C" w:rsidRPr="00470C7C" w:rsidRDefault="0003391C" w:rsidP="00140440">
      <w:pPr>
        <w:autoSpaceDE w:val="0"/>
        <w:autoSpaceDN w:val="0"/>
        <w:adjustRightInd w:val="0"/>
        <w:jc w:val="both"/>
        <w:rPr>
          <w:rFonts w:cs="Arial"/>
          <w:szCs w:val="20"/>
          <w:lang w:val="es-ES"/>
        </w:rPr>
      </w:pPr>
    </w:p>
    <w:p w14:paraId="471F956E"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Trabajé en la hacienda 30 días, aquí el [gato] me garantizó muchas cosas y yo llevé todos los insumos para el trabajo y llegando allá él me echó en [el lodo], [estuve] arando "</w:t>
      </w:r>
      <w:proofErr w:type="spellStart"/>
      <w:r w:rsidRPr="00470C7C">
        <w:rPr>
          <w:rFonts w:cs="Arial"/>
          <w:sz w:val="16"/>
          <w:szCs w:val="20"/>
          <w:lang w:val="es-ES"/>
        </w:rPr>
        <w:t>juquira</w:t>
      </w:r>
      <w:proofErr w:type="spellEnd"/>
      <w:r w:rsidRPr="00470C7C">
        <w:rPr>
          <w:rFonts w:cs="Arial"/>
          <w:sz w:val="16"/>
          <w:szCs w:val="20"/>
          <w:lang w:val="es-ES"/>
        </w:rPr>
        <w:t>"</w:t>
      </w:r>
      <w:r w:rsidRPr="00470C7C">
        <w:rPr>
          <w:rStyle w:val="Refdenotaalpie"/>
          <w:rFonts w:cs="Arial"/>
          <w:sz w:val="16"/>
          <w:lang w:val="es-ES"/>
        </w:rPr>
        <w:footnoteReference w:id="108"/>
      </w:r>
      <w:r w:rsidRPr="00470C7C">
        <w:rPr>
          <w:rFonts w:cs="Arial"/>
          <w:sz w:val="16"/>
          <w:szCs w:val="20"/>
          <w:lang w:val="es-ES"/>
        </w:rPr>
        <w:t xml:space="preserve"> viviendo en una carpa llena de agua, mi esposa operada, mis hijos se enfermaron, era el mayor sufrimiento. Necesité comprar dos frascos de medicinas y me [cobraron] </w:t>
      </w:r>
      <w:proofErr w:type="spellStart"/>
      <w:r w:rsidRPr="00470C7C">
        <w:rPr>
          <w:rFonts w:cs="Arial"/>
          <w:sz w:val="16"/>
          <w:szCs w:val="20"/>
          <w:lang w:val="es-ES"/>
        </w:rPr>
        <w:t>Cz</w:t>
      </w:r>
      <w:proofErr w:type="spellEnd"/>
      <w:r w:rsidRPr="00470C7C">
        <w:rPr>
          <w:rFonts w:cs="Arial"/>
          <w:sz w:val="16"/>
          <w:szCs w:val="20"/>
          <w:lang w:val="es-ES"/>
        </w:rPr>
        <w:t xml:space="preserve">$ 3.000,00. Cuando salí de la hacienda, fui a arreglar la cuenta y aún debía </w:t>
      </w:r>
      <w:proofErr w:type="spellStart"/>
      <w:r w:rsidRPr="00470C7C">
        <w:rPr>
          <w:rFonts w:cs="Arial"/>
          <w:sz w:val="16"/>
          <w:szCs w:val="20"/>
          <w:lang w:val="es-ES"/>
        </w:rPr>
        <w:t>Cz</w:t>
      </w:r>
      <w:proofErr w:type="spellEnd"/>
      <w:r w:rsidRPr="00470C7C">
        <w:rPr>
          <w:rFonts w:cs="Arial"/>
          <w:sz w:val="16"/>
          <w:szCs w:val="20"/>
          <w:lang w:val="es-ES"/>
        </w:rPr>
        <w:t xml:space="preserve">$ 21.500 y necesité venderle una hamaca, una cobija, 2 machetes, 2 </w:t>
      </w:r>
      <w:r w:rsidR="005504F7" w:rsidRPr="00470C7C">
        <w:rPr>
          <w:rFonts w:cs="Arial"/>
          <w:sz w:val="16"/>
          <w:szCs w:val="20"/>
          <w:lang w:val="es-ES"/>
        </w:rPr>
        <w:t>ollas</w:t>
      </w:r>
      <w:r w:rsidRPr="00470C7C">
        <w:rPr>
          <w:rFonts w:cs="Arial"/>
          <w:sz w:val="16"/>
          <w:szCs w:val="20"/>
          <w:lang w:val="es-ES"/>
        </w:rPr>
        <w:t xml:space="preserve">, platos, 2 cucharas y aún debía </w:t>
      </w:r>
      <w:proofErr w:type="spellStart"/>
      <w:r w:rsidRPr="00470C7C">
        <w:rPr>
          <w:rFonts w:cs="Arial"/>
          <w:sz w:val="16"/>
          <w:szCs w:val="20"/>
          <w:lang w:val="es-ES"/>
        </w:rPr>
        <w:t>Cz</w:t>
      </w:r>
      <w:proofErr w:type="spellEnd"/>
      <w:r w:rsidRPr="00470C7C">
        <w:rPr>
          <w:rFonts w:cs="Arial"/>
          <w:sz w:val="16"/>
          <w:szCs w:val="20"/>
          <w:lang w:val="es-ES"/>
        </w:rPr>
        <w:t>$ 16.800 y salí debiendo.</w:t>
      </w:r>
    </w:p>
    <w:p w14:paraId="21B48783" w14:textId="77777777" w:rsidR="0003391C" w:rsidRPr="00470C7C" w:rsidRDefault="0003391C" w:rsidP="00140440">
      <w:pPr>
        <w:autoSpaceDE w:val="0"/>
        <w:autoSpaceDN w:val="0"/>
        <w:adjustRightInd w:val="0"/>
        <w:ind w:left="720" w:right="720"/>
        <w:jc w:val="both"/>
        <w:rPr>
          <w:rFonts w:cs="Arial"/>
          <w:sz w:val="16"/>
          <w:szCs w:val="20"/>
          <w:lang w:val="es-ES"/>
        </w:rPr>
      </w:pPr>
    </w:p>
    <w:p w14:paraId="25BF6B4F" w14:textId="77777777" w:rsidR="0003391C" w:rsidRPr="00470C7C" w:rsidRDefault="0003391C" w:rsidP="00140440">
      <w:pPr>
        <w:autoSpaceDE w:val="0"/>
        <w:autoSpaceDN w:val="0"/>
        <w:adjustRightInd w:val="0"/>
        <w:ind w:left="720" w:right="720"/>
        <w:jc w:val="both"/>
        <w:rPr>
          <w:rFonts w:cs="Arial"/>
          <w:sz w:val="16"/>
          <w:szCs w:val="20"/>
          <w:lang w:val="es-ES"/>
        </w:rPr>
      </w:pPr>
      <w:proofErr w:type="gramStart"/>
      <w:r w:rsidRPr="00470C7C">
        <w:rPr>
          <w:rFonts w:cs="Arial"/>
          <w:sz w:val="16"/>
          <w:szCs w:val="20"/>
          <w:lang w:val="es-ES"/>
        </w:rPr>
        <w:t>[...]  Durante</w:t>
      </w:r>
      <w:proofErr w:type="gramEnd"/>
      <w:r w:rsidRPr="00470C7C">
        <w:rPr>
          <w:rFonts w:cs="Arial"/>
          <w:sz w:val="16"/>
          <w:szCs w:val="20"/>
          <w:lang w:val="es-ES"/>
        </w:rPr>
        <w:t xml:space="preserve"> todo este tiempo no me pagaron nada de dinero.</w:t>
      </w:r>
    </w:p>
    <w:p w14:paraId="3B846A73" w14:textId="77777777" w:rsidR="0003391C" w:rsidRPr="00470C7C" w:rsidRDefault="0003391C" w:rsidP="00140440">
      <w:pPr>
        <w:autoSpaceDE w:val="0"/>
        <w:autoSpaceDN w:val="0"/>
        <w:adjustRightInd w:val="0"/>
        <w:ind w:left="720" w:right="720"/>
        <w:jc w:val="both"/>
        <w:rPr>
          <w:rFonts w:cs="Arial"/>
          <w:sz w:val="16"/>
          <w:szCs w:val="20"/>
          <w:lang w:val="es-ES"/>
        </w:rPr>
      </w:pPr>
    </w:p>
    <w:p w14:paraId="61F492D2"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w:t>
      </w:r>
      <w:r w:rsidR="00B634D2" w:rsidRPr="00470C7C">
        <w:rPr>
          <w:rFonts w:cs="Arial"/>
          <w:sz w:val="16"/>
          <w:szCs w:val="20"/>
          <w:lang w:val="es-ES"/>
        </w:rPr>
        <w:t xml:space="preserve"> </w:t>
      </w:r>
      <w:r w:rsidRPr="00470C7C">
        <w:rPr>
          <w:rFonts w:cs="Arial"/>
          <w:sz w:val="16"/>
          <w:szCs w:val="20"/>
          <w:lang w:val="es-ES"/>
        </w:rPr>
        <w:t>Cuando quería irme, él no me puso condiciones para salir, yo me quedé toda la mañana bajo lluvia, pues el gerente Nelson nos dejó al borde de la carretera en la lluvia, con [mi] mujer e hijos enfermos.</w:t>
      </w:r>
    </w:p>
    <w:p w14:paraId="7EB16258" w14:textId="77777777" w:rsidR="0003391C" w:rsidRPr="00470C7C" w:rsidRDefault="0003391C" w:rsidP="00140440">
      <w:pPr>
        <w:autoSpaceDE w:val="0"/>
        <w:autoSpaceDN w:val="0"/>
        <w:adjustRightInd w:val="0"/>
        <w:ind w:left="720" w:right="720"/>
        <w:jc w:val="both"/>
        <w:rPr>
          <w:rFonts w:cs="Arial"/>
          <w:sz w:val="16"/>
          <w:szCs w:val="20"/>
          <w:lang w:val="es-ES"/>
        </w:rPr>
      </w:pPr>
    </w:p>
    <w:p w14:paraId="7616C4EC" w14:textId="77777777" w:rsidR="0003391C" w:rsidRPr="00470C7C" w:rsidRDefault="0003391C" w:rsidP="00140440">
      <w:pPr>
        <w:autoSpaceDE w:val="0"/>
        <w:autoSpaceDN w:val="0"/>
        <w:adjustRightInd w:val="0"/>
        <w:ind w:left="720" w:right="720"/>
        <w:jc w:val="both"/>
        <w:rPr>
          <w:rFonts w:cs="Times New Roman"/>
          <w:sz w:val="16"/>
          <w:szCs w:val="20"/>
          <w:lang w:val="es-ES"/>
        </w:rPr>
      </w:pPr>
      <w:r w:rsidRPr="00470C7C">
        <w:rPr>
          <w:rFonts w:cs="Arial"/>
          <w:sz w:val="16"/>
          <w:szCs w:val="20"/>
          <w:lang w:val="es-ES"/>
        </w:rPr>
        <w:t>En la hacienda nosotros tenemos mucha hambre, y los peones viven muy humillado[s], muchas veces yo lo vi prometiendo disparos a los peones. Y la situación continúa, los peones se quieren salir en paz, necesitan huir, estos días salieron 7 fugados y sin dinero</w:t>
      </w:r>
      <w:r w:rsidRPr="00470C7C">
        <w:rPr>
          <w:rStyle w:val="Refdenotaalpie"/>
          <w:rFonts w:cs="Arial"/>
          <w:sz w:val="16"/>
          <w:lang w:val="es-ES"/>
        </w:rPr>
        <w:footnoteReference w:id="109"/>
      </w:r>
      <w:r w:rsidRPr="00470C7C">
        <w:rPr>
          <w:rFonts w:cs="Times New Roman"/>
          <w:sz w:val="16"/>
          <w:szCs w:val="20"/>
          <w:lang w:val="es-ES"/>
        </w:rPr>
        <w:t>.</w:t>
      </w:r>
    </w:p>
    <w:p w14:paraId="628D94C8" w14:textId="77777777" w:rsidR="0003391C" w:rsidRPr="00470C7C" w:rsidRDefault="0003391C" w:rsidP="00140440">
      <w:pPr>
        <w:autoSpaceDE w:val="0"/>
        <w:autoSpaceDN w:val="0"/>
        <w:adjustRightInd w:val="0"/>
        <w:jc w:val="both"/>
        <w:rPr>
          <w:rFonts w:cs="Arial"/>
          <w:szCs w:val="20"/>
          <w:lang w:val="es-ES"/>
        </w:rPr>
      </w:pPr>
    </w:p>
    <w:p w14:paraId="6C91B104"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27 de diciembre de 1988 la señora </w:t>
      </w:r>
      <w:proofErr w:type="spellStart"/>
      <w:r w:rsidRPr="00470C7C">
        <w:rPr>
          <w:rFonts w:cs="Arial"/>
          <w:szCs w:val="20"/>
          <w:lang w:val="es-ES"/>
        </w:rPr>
        <w:t>Maria</w:t>
      </w:r>
      <w:proofErr w:type="spellEnd"/>
      <w:r w:rsidRPr="00470C7C">
        <w:rPr>
          <w:rFonts w:cs="Arial"/>
          <w:szCs w:val="20"/>
          <w:lang w:val="es-ES"/>
        </w:rPr>
        <w:t xml:space="preserve"> Madalena </w:t>
      </w:r>
      <w:proofErr w:type="spellStart"/>
      <w:r w:rsidRPr="00470C7C">
        <w:rPr>
          <w:rFonts w:cs="Arial"/>
          <w:szCs w:val="20"/>
          <w:lang w:val="es-ES"/>
        </w:rPr>
        <w:t>Vindoura</w:t>
      </w:r>
      <w:proofErr w:type="spellEnd"/>
      <w:r w:rsidRPr="00470C7C">
        <w:rPr>
          <w:rFonts w:cs="Arial"/>
          <w:szCs w:val="20"/>
          <w:lang w:val="es-ES"/>
        </w:rPr>
        <w:t xml:space="preserve"> dos Santos, residente en </w:t>
      </w:r>
      <w:proofErr w:type="spellStart"/>
      <w:r w:rsidRPr="00470C7C">
        <w:rPr>
          <w:rFonts w:cs="Arial"/>
          <w:szCs w:val="20"/>
          <w:lang w:val="es-ES"/>
        </w:rPr>
        <w:t>Arapoema</w:t>
      </w:r>
      <w:proofErr w:type="spellEnd"/>
      <w:r w:rsidRPr="00470C7C">
        <w:rPr>
          <w:rFonts w:cs="Arial"/>
          <w:szCs w:val="20"/>
          <w:lang w:val="es-ES"/>
        </w:rPr>
        <w:t xml:space="preserve">, </w:t>
      </w:r>
      <w:r w:rsidR="00917270" w:rsidRPr="00470C7C">
        <w:rPr>
          <w:rFonts w:cs="Arial"/>
          <w:szCs w:val="20"/>
          <w:lang w:val="es-ES"/>
        </w:rPr>
        <w:t xml:space="preserve">denunció </w:t>
      </w:r>
      <w:r w:rsidR="000E0361" w:rsidRPr="00470C7C">
        <w:rPr>
          <w:rFonts w:cs="Arial"/>
          <w:szCs w:val="20"/>
          <w:lang w:val="es-ES"/>
        </w:rPr>
        <w:t xml:space="preserve">una situación </w:t>
      </w:r>
      <w:r w:rsidR="005504F7" w:rsidRPr="00470C7C">
        <w:rPr>
          <w:rFonts w:cs="Arial"/>
          <w:szCs w:val="20"/>
          <w:lang w:val="es-ES"/>
        </w:rPr>
        <w:t xml:space="preserve">similar </w:t>
      </w:r>
      <w:r w:rsidR="000E0361" w:rsidRPr="00470C7C">
        <w:rPr>
          <w:rFonts w:cs="Arial"/>
          <w:szCs w:val="20"/>
          <w:lang w:val="es-ES"/>
        </w:rPr>
        <w:t xml:space="preserve">involucrando a su esposo </w:t>
      </w:r>
      <w:r w:rsidRPr="00470C7C">
        <w:rPr>
          <w:rFonts w:cs="Arial"/>
          <w:szCs w:val="20"/>
          <w:lang w:val="es-ES"/>
        </w:rPr>
        <w:t>José Soriano da Costa</w:t>
      </w:r>
      <w:r w:rsidRPr="00470C7C">
        <w:rPr>
          <w:rStyle w:val="Refdenotaalpie"/>
          <w:rFonts w:cs="Arial"/>
          <w:lang w:val="es-ES"/>
        </w:rPr>
        <w:footnoteReference w:id="110"/>
      </w:r>
      <w:r w:rsidRPr="00470C7C">
        <w:rPr>
          <w:rFonts w:cs="Arial"/>
          <w:szCs w:val="20"/>
          <w:lang w:val="es-ES"/>
        </w:rPr>
        <w:t xml:space="preserve">. </w:t>
      </w:r>
    </w:p>
    <w:p w14:paraId="2C40EA07"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515EE6E2"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25 de enero de 1989 la Comisión Pastoral de la Tierra envió una carta al Consejo de Defensa de los Derechos de la Persona Humana</w:t>
      </w:r>
      <w:r w:rsidR="00724BEA" w:rsidRPr="00470C7C">
        <w:rPr>
          <w:rFonts w:cs="Arial"/>
          <w:szCs w:val="20"/>
          <w:lang w:val="es-ES"/>
        </w:rPr>
        <w:t>,</w:t>
      </w:r>
      <w:r w:rsidRPr="00470C7C">
        <w:rPr>
          <w:rFonts w:cs="Arial"/>
          <w:szCs w:val="20"/>
          <w:lang w:val="es-ES"/>
        </w:rPr>
        <w:t xml:space="preserve"> en Brasilia (CDDPH), mediante la cual le remitió denuncias de trabajo esclavo en las Haciendas Brasil Verde y </w:t>
      </w:r>
      <w:proofErr w:type="spellStart"/>
      <w:r w:rsidRPr="00470C7C">
        <w:rPr>
          <w:rFonts w:cs="Arial"/>
          <w:szCs w:val="20"/>
          <w:lang w:val="es-ES"/>
        </w:rPr>
        <w:t>Belauto</w:t>
      </w:r>
      <w:proofErr w:type="spellEnd"/>
      <w:r w:rsidRPr="00470C7C">
        <w:rPr>
          <w:rFonts w:cs="Arial"/>
          <w:szCs w:val="20"/>
          <w:lang w:val="es-ES"/>
        </w:rPr>
        <w:t xml:space="preserve">. La CPT señaló que ya había presentado una denuncia en relación con la Hacienda </w:t>
      </w:r>
      <w:r w:rsidRPr="00470C7C">
        <w:rPr>
          <w:rFonts w:cs="Arial"/>
          <w:iCs/>
          <w:szCs w:val="20"/>
          <w:lang w:val="es-ES"/>
        </w:rPr>
        <w:t>Brasil Verde</w:t>
      </w:r>
      <w:r w:rsidRPr="00470C7C">
        <w:rPr>
          <w:rFonts w:cs="Arial"/>
          <w:i/>
          <w:iCs/>
          <w:szCs w:val="20"/>
          <w:lang w:val="es-ES"/>
        </w:rPr>
        <w:t xml:space="preserve"> </w:t>
      </w:r>
      <w:r w:rsidRPr="00470C7C">
        <w:rPr>
          <w:rFonts w:cs="Arial"/>
          <w:szCs w:val="20"/>
          <w:lang w:val="es-ES"/>
        </w:rPr>
        <w:t>el 21 de diciembre de 1988, y solicitó que fuera reforzada la necesidad de fiscalización de las dos Haciendas</w:t>
      </w:r>
      <w:r w:rsidR="00D363E9" w:rsidRPr="00470C7C">
        <w:rPr>
          <w:rFonts w:cs="Arial"/>
          <w:szCs w:val="20"/>
          <w:lang w:val="es-ES"/>
        </w:rPr>
        <w:t>,</w:t>
      </w:r>
      <w:r w:rsidRPr="00470C7C">
        <w:rPr>
          <w:rFonts w:cs="Arial"/>
          <w:szCs w:val="20"/>
          <w:lang w:val="es-ES"/>
        </w:rPr>
        <w:t xml:space="preserve"> pues no era la primera vez que eran denunciadas por practicar trabajo </w:t>
      </w:r>
      <w:r w:rsidRPr="00470C7C">
        <w:rPr>
          <w:rFonts w:cs="Arial"/>
          <w:bCs/>
          <w:szCs w:val="20"/>
          <w:lang w:val="es-ES"/>
        </w:rPr>
        <w:t>esclavo</w:t>
      </w:r>
      <w:r w:rsidRPr="00470C7C">
        <w:rPr>
          <w:rStyle w:val="Refdenotaalpie"/>
          <w:rFonts w:cs="Arial"/>
          <w:bCs/>
          <w:lang w:val="es-ES"/>
        </w:rPr>
        <w:footnoteReference w:id="111"/>
      </w:r>
      <w:r w:rsidRPr="00470C7C">
        <w:rPr>
          <w:rFonts w:cs="Times New Roman"/>
          <w:bCs/>
          <w:szCs w:val="20"/>
          <w:lang w:val="es-ES"/>
        </w:rPr>
        <w:t>.</w:t>
      </w:r>
    </w:p>
    <w:p w14:paraId="40CC4BDC"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78871601" w14:textId="77777777" w:rsidR="0003391C" w:rsidRPr="00470C7C" w:rsidRDefault="0003391C" w:rsidP="008622F3">
      <w:pPr>
        <w:pStyle w:val="Ttulo3"/>
      </w:pPr>
      <w:bookmarkStart w:id="248" w:name="_Toc460433006"/>
      <w:bookmarkStart w:id="249" w:name="_Toc460441937"/>
      <w:bookmarkStart w:id="250" w:name="_Toc462750755"/>
      <w:bookmarkStart w:id="251" w:name="_Toc462751079"/>
      <w:bookmarkStart w:id="252" w:name="_Toc464813931"/>
      <w:r w:rsidRPr="00470C7C">
        <w:rPr>
          <w:b w:val="0"/>
        </w:rPr>
        <w:t>La visita a la Hacienda Brasil Verde en 1989</w:t>
      </w:r>
      <w:bookmarkEnd w:id="248"/>
      <w:bookmarkEnd w:id="249"/>
      <w:bookmarkEnd w:id="250"/>
      <w:bookmarkEnd w:id="251"/>
      <w:bookmarkEnd w:id="252"/>
    </w:p>
    <w:p w14:paraId="71641175" w14:textId="77777777" w:rsidR="0003391C" w:rsidRPr="00470C7C" w:rsidRDefault="0003391C" w:rsidP="00140440">
      <w:pPr>
        <w:pStyle w:val="Prrafodelista"/>
        <w:contextualSpacing w:val="0"/>
        <w:rPr>
          <w:rFonts w:cs="Arial"/>
          <w:szCs w:val="20"/>
          <w:lang w:val="es-ES"/>
        </w:rPr>
      </w:pPr>
    </w:p>
    <w:p w14:paraId="26FEA154"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20 de febrero de 1989 la Policía Federal realizó una visita a la Hacienda Brasil Verde</w:t>
      </w:r>
      <w:r w:rsidRPr="00470C7C">
        <w:rPr>
          <w:rStyle w:val="Refdenotaalpie"/>
          <w:rFonts w:cs="Arial"/>
          <w:lang w:val="es-ES"/>
        </w:rPr>
        <w:footnoteReference w:id="112"/>
      </w:r>
      <w:r w:rsidRPr="00470C7C">
        <w:rPr>
          <w:rFonts w:cs="Arial"/>
          <w:szCs w:val="20"/>
          <w:lang w:val="es-ES"/>
        </w:rPr>
        <w:t xml:space="preserve">. En el informe </w:t>
      </w:r>
      <w:r w:rsidR="00B634D2" w:rsidRPr="00470C7C">
        <w:rPr>
          <w:rFonts w:cs="Arial"/>
          <w:szCs w:val="20"/>
          <w:lang w:val="es-ES"/>
        </w:rPr>
        <w:t xml:space="preserve">sobre esa visita, de 24 de febrero, </w:t>
      </w:r>
      <w:r w:rsidRPr="00470C7C">
        <w:rPr>
          <w:rFonts w:cs="Arial"/>
          <w:szCs w:val="20"/>
          <w:lang w:val="es-ES"/>
        </w:rPr>
        <w:t xml:space="preserve">señaló que: i) en la Hacienda el reclutamiento de trabajadores constantemente era realizado por los </w:t>
      </w:r>
      <w:r w:rsidRPr="00470C7C">
        <w:rPr>
          <w:rFonts w:cs="Arial"/>
          <w:i/>
          <w:szCs w:val="20"/>
          <w:lang w:val="es-ES"/>
        </w:rPr>
        <w:t>gatos</w:t>
      </w:r>
      <w:r w:rsidRPr="00470C7C">
        <w:rPr>
          <w:rFonts w:cs="Arial"/>
          <w:szCs w:val="20"/>
          <w:lang w:val="es-ES"/>
        </w:rPr>
        <w:t xml:space="preserve">; </w:t>
      </w:r>
      <w:proofErr w:type="spellStart"/>
      <w:r w:rsidRPr="00470C7C">
        <w:rPr>
          <w:rFonts w:cs="Arial"/>
          <w:szCs w:val="20"/>
          <w:lang w:val="es-ES"/>
        </w:rPr>
        <w:t>ii</w:t>
      </w:r>
      <w:proofErr w:type="spellEnd"/>
      <w:r w:rsidRPr="00470C7C">
        <w:rPr>
          <w:rFonts w:cs="Arial"/>
          <w:szCs w:val="20"/>
          <w:lang w:val="es-ES"/>
        </w:rPr>
        <w:t xml:space="preserve">) se habían identificado cuatro </w:t>
      </w:r>
      <w:r w:rsidRPr="00470C7C">
        <w:rPr>
          <w:rFonts w:cs="Arial"/>
          <w:i/>
          <w:szCs w:val="20"/>
          <w:lang w:val="es-ES"/>
        </w:rPr>
        <w:t>gatos</w:t>
      </w:r>
      <w:r w:rsidRPr="00470C7C">
        <w:rPr>
          <w:rFonts w:cs="Arial"/>
          <w:szCs w:val="20"/>
          <w:lang w:val="es-ES"/>
        </w:rPr>
        <w:t xml:space="preserve"> que trabajaban en la Hacienda; </w:t>
      </w:r>
      <w:proofErr w:type="spellStart"/>
      <w:r w:rsidRPr="00470C7C">
        <w:rPr>
          <w:rFonts w:cs="Arial"/>
          <w:szCs w:val="20"/>
          <w:lang w:val="es-ES"/>
        </w:rPr>
        <w:t>iii</w:t>
      </w:r>
      <w:proofErr w:type="spellEnd"/>
      <w:r w:rsidRPr="00470C7C">
        <w:rPr>
          <w:rFonts w:cs="Arial"/>
          <w:szCs w:val="20"/>
          <w:lang w:val="es-ES"/>
        </w:rPr>
        <w:t xml:space="preserve">) uno de los </w:t>
      </w:r>
      <w:r w:rsidRPr="00470C7C">
        <w:rPr>
          <w:rFonts w:cs="Arial"/>
          <w:i/>
          <w:szCs w:val="20"/>
          <w:lang w:val="es-ES"/>
        </w:rPr>
        <w:t>gatos</w:t>
      </w:r>
      <w:r w:rsidRPr="00470C7C">
        <w:rPr>
          <w:rFonts w:cs="Arial"/>
          <w:szCs w:val="20"/>
          <w:lang w:val="es-ES"/>
        </w:rPr>
        <w:t xml:space="preserve"> se había fugado al enterarse que la Policía Federal estaba en la zona y a otro no había sido posible encontrarlo; </w:t>
      </w:r>
      <w:proofErr w:type="spellStart"/>
      <w:r w:rsidRPr="00470C7C">
        <w:rPr>
          <w:rFonts w:cs="Arial"/>
          <w:szCs w:val="20"/>
          <w:lang w:val="es-ES"/>
        </w:rPr>
        <w:t>iv</w:t>
      </w:r>
      <w:proofErr w:type="spellEnd"/>
      <w:r w:rsidRPr="00470C7C">
        <w:rPr>
          <w:rFonts w:cs="Arial"/>
          <w:szCs w:val="20"/>
          <w:lang w:val="es-ES"/>
        </w:rPr>
        <w:t xml:space="preserve">) los trabajadores señalaron que deseaban un mejor salario, pero que </w:t>
      </w:r>
      <w:r w:rsidR="004A037C" w:rsidRPr="00470C7C">
        <w:rPr>
          <w:rFonts w:cs="Arial"/>
          <w:szCs w:val="20"/>
          <w:lang w:val="es-ES"/>
        </w:rPr>
        <w:t xml:space="preserve">aceptaron </w:t>
      </w:r>
      <w:r w:rsidRPr="00470C7C">
        <w:rPr>
          <w:rFonts w:cs="Arial"/>
          <w:szCs w:val="20"/>
          <w:lang w:val="es-ES"/>
        </w:rPr>
        <w:t xml:space="preserve">el trabajo porque no </w:t>
      </w:r>
      <w:r w:rsidR="004A037C" w:rsidRPr="00470C7C">
        <w:rPr>
          <w:rFonts w:cs="Arial"/>
          <w:szCs w:val="20"/>
          <w:lang w:val="es-ES"/>
        </w:rPr>
        <w:t>encontraron</w:t>
      </w:r>
      <w:r w:rsidR="00D3407A" w:rsidRPr="00470C7C">
        <w:rPr>
          <w:rFonts w:cs="Arial"/>
          <w:szCs w:val="20"/>
          <w:lang w:val="es-ES"/>
        </w:rPr>
        <w:t xml:space="preserve"> </w:t>
      </w:r>
      <w:r w:rsidRPr="00470C7C">
        <w:rPr>
          <w:rFonts w:cs="Arial"/>
          <w:szCs w:val="20"/>
          <w:lang w:val="es-ES"/>
        </w:rPr>
        <w:t>otro en el que les pagaran mejor</w:t>
      </w:r>
      <w:r w:rsidR="001B2B79" w:rsidRPr="00470C7C">
        <w:rPr>
          <w:rFonts w:cs="Arial"/>
          <w:szCs w:val="20"/>
          <w:lang w:val="es-ES"/>
        </w:rPr>
        <w:t>.</w:t>
      </w:r>
      <w:r w:rsidRPr="00470C7C">
        <w:rPr>
          <w:rFonts w:cs="Arial"/>
          <w:szCs w:val="20"/>
          <w:lang w:val="es-ES"/>
        </w:rPr>
        <w:t xml:space="preserve"> </w:t>
      </w:r>
      <w:r w:rsidR="001B2B79" w:rsidRPr="00470C7C">
        <w:rPr>
          <w:rFonts w:cs="Arial"/>
          <w:szCs w:val="20"/>
          <w:lang w:val="es-ES"/>
        </w:rPr>
        <w:t>L</w:t>
      </w:r>
      <w:r w:rsidRPr="00470C7C">
        <w:rPr>
          <w:rFonts w:cs="Arial"/>
          <w:szCs w:val="20"/>
          <w:lang w:val="es-ES"/>
        </w:rPr>
        <w:t>os trabajadores indicaron que tenían libertad para salir de la Hacienda</w:t>
      </w:r>
      <w:r w:rsidRPr="00470C7C">
        <w:rPr>
          <w:rStyle w:val="Refdenotaalpie"/>
          <w:rFonts w:cs="Arial"/>
          <w:lang w:val="es-ES"/>
        </w:rPr>
        <w:footnoteReference w:id="113"/>
      </w:r>
      <w:r w:rsidRPr="00470C7C">
        <w:rPr>
          <w:rFonts w:cs="Arial"/>
          <w:szCs w:val="20"/>
          <w:lang w:val="es-ES"/>
        </w:rPr>
        <w:t xml:space="preserve">.  </w:t>
      </w:r>
    </w:p>
    <w:p w14:paraId="117FD5AE"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70353698"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 El informe señaló que no se habían observado vestigios de trabajo esclavo en la Hacienda Brasil Verde</w:t>
      </w:r>
      <w:r w:rsidRPr="00470C7C">
        <w:rPr>
          <w:rFonts w:cs="Times New Roman"/>
          <w:szCs w:val="20"/>
          <w:lang w:val="es-ES"/>
        </w:rPr>
        <w:t xml:space="preserve">, </w:t>
      </w:r>
      <w:r w:rsidRPr="00470C7C">
        <w:rPr>
          <w:rFonts w:cs="Arial"/>
          <w:szCs w:val="20"/>
          <w:lang w:val="es-ES"/>
        </w:rPr>
        <w:t>pero corroboró la existencia de bajos salarios e infracciones a la legislación laboral, luego de haber entrevistado a 51 trabajadores</w:t>
      </w:r>
      <w:r w:rsidRPr="00470C7C">
        <w:rPr>
          <w:rFonts w:cs="Times New Roman"/>
          <w:szCs w:val="20"/>
          <w:lang w:val="es-ES"/>
        </w:rPr>
        <w:t xml:space="preserve">. </w:t>
      </w:r>
      <w:r w:rsidRPr="00470C7C">
        <w:rPr>
          <w:rFonts w:cs="Arial"/>
          <w:szCs w:val="20"/>
          <w:lang w:val="es-ES"/>
        </w:rPr>
        <w:t>Además, el informe destacó que los</w:t>
      </w:r>
      <w:r w:rsidRPr="00470C7C">
        <w:rPr>
          <w:rFonts w:cs="Arial"/>
          <w:i/>
          <w:iCs/>
          <w:szCs w:val="20"/>
          <w:lang w:val="es-ES"/>
        </w:rPr>
        <w:t xml:space="preserve"> </w:t>
      </w:r>
      <w:r w:rsidRPr="00470C7C">
        <w:rPr>
          <w:rFonts w:cs="Arial"/>
          <w:iCs/>
          <w:szCs w:val="20"/>
          <w:lang w:val="es-ES"/>
        </w:rPr>
        <w:t>trabajadores</w:t>
      </w:r>
      <w:r w:rsidRPr="00470C7C">
        <w:rPr>
          <w:rFonts w:cs="Arial"/>
          <w:i/>
          <w:iCs/>
          <w:szCs w:val="20"/>
          <w:lang w:val="es-ES"/>
        </w:rPr>
        <w:t xml:space="preserve"> </w:t>
      </w:r>
      <w:r w:rsidRPr="00470C7C">
        <w:rPr>
          <w:rFonts w:cs="Arial"/>
          <w:szCs w:val="20"/>
          <w:lang w:val="es-ES"/>
        </w:rPr>
        <w:t xml:space="preserve">informaron que </w:t>
      </w:r>
      <w:proofErr w:type="spellStart"/>
      <w:r w:rsidRPr="00470C7C">
        <w:rPr>
          <w:rFonts w:cs="Arial"/>
          <w:szCs w:val="20"/>
          <w:lang w:val="es-ES"/>
        </w:rPr>
        <w:t>lron</w:t>
      </w:r>
      <w:proofErr w:type="spellEnd"/>
      <w:r w:rsidRPr="00470C7C">
        <w:rPr>
          <w:rFonts w:cs="Arial"/>
          <w:szCs w:val="20"/>
          <w:lang w:val="es-ES"/>
        </w:rPr>
        <w:t xml:space="preserve"> Canuto y </w:t>
      </w:r>
      <w:r w:rsidR="00200C04" w:rsidRPr="00470C7C">
        <w:rPr>
          <w:rFonts w:cs="Arial"/>
          <w:szCs w:val="20"/>
          <w:lang w:val="es-ES"/>
        </w:rPr>
        <w:t>Luis Ferreira da Cruz</w:t>
      </w:r>
      <w:r w:rsidRPr="00470C7C">
        <w:rPr>
          <w:rFonts w:cs="Arial"/>
          <w:szCs w:val="20"/>
          <w:lang w:val="es-ES"/>
        </w:rPr>
        <w:t xml:space="preserve"> habían huido a la </w:t>
      </w:r>
      <w:r w:rsidRPr="00470C7C">
        <w:rPr>
          <w:rFonts w:cs="Arial"/>
          <w:iCs/>
          <w:szCs w:val="20"/>
          <w:lang w:val="es-ES"/>
        </w:rPr>
        <w:t xml:space="preserve">Hacienda Belém </w:t>
      </w:r>
      <w:r w:rsidR="003771CF" w:rsidRPr="00470C7C">
        <w:rPr>
          <w:rFonts w:cs="Arial"/>
          <w:iCs/>
          <w:szCs w:val="20"/>
          <w:lang w:val="es-ES"/>
        </w:rPr>
        <w:t xml:space="preserve">e indicaron </w:t>
      </w:r>
      <w:r w:rsidRPr="00470C7C">
        <w:rPr>
          <w:rFonts w:cs="Arial"/>
          <w:iCs/>
          <w:szCs w:val="20"/>
          <w:lang w:val="es-ES"/>
        </w:rPr>
        <w:t>que era normal que los trabajadores se fugaran</w:t>
      </w:r>
      <w:r w:rsidRPr="00470C7C">
        <w:rPr>
          <w:rFonts w:cs="Arial"/>
          <w:i/>
          <w:iCs/>
          <w:szCs w:val="20"/>
          <w:lang w:val="es-ES"/>
        </w:rPr>
        <w:t xml:space="preserve"> </w:t>
      </w:r>
      <w:r w:rsidRPr="00470C7C">
        <w:rPr>
          <w:rFonts w:cs="Arial"/>
          <w:szCs w:val="20"/>
          <w:lang w:val="es-ES"/>
        </w:rPr>
        <w:t xml:space="preserve">debido a las deudas contraídas en la </w:t>
      </w:r>
      <w:r w:rsidRPr="00470C7C">
        <w:rPr>
          <w:rFonts w:cs="Arial"/>
          <w:iCs/>
          <w:szCs w:val="20"/>
          <w:lang w:val="es-ES"/>
        </w:rPr>
        <w:t>Hacienda Brasil Verde</w:t>
      </w:r>
      <w:r w:rsidRPr="00470C7C">
        <w:rPr>
          <w:rStyle w:val="Refdenotaalpie"/>
          <w:rFonts w:cs="Arial"/>
          <w:lang w:val="es-ES"/>
        </w:rPr>
        <w:footnoteReference w:id="114"/>
      </w:r>
      <w:r w:rsidRPr="00470C7C">
        <w:rPr>
          <w:rFonts w:cs="Arial"/>
          <w:szCs w:val="20"/>
          <w:lang w:val="es-ES"/>
        </w:rPr>
        <w:t xml:space="preserve">. No hay constancia en el expediente de que se haya levantado una lista con el nombre de los trabajadores que se encontraban al momento de la visita. </w:t>
      </w:r>
    </w:p>
    <w:p w14:paraId="447C62E0"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72E9F660" w14:textId="77777777" w:rsidR="0003391C" w:rsidRPr="00470C7C" w:rsidRDefault="0003391C" w:rsidP="008622F3">
      <w:pPr>
        <w:pStyle w:val="Ttulo3"/>
      </w:pPr>
      <w:bookmarkStart w:id="253" w:name="_Toc460433007"/>
      <w:bookmarkStart w:id="254" w:name="_Toc460441938"/>
      <w:bookmarkStart w:id="255" w:name="_Toc462750756"/>
      <w:bookmarkStart w:id="256" w:name="_Toc462751080"/>
      <w:bookmarkStart w:id="257" w:name="_Toc464813932"/>
      <w:r w:rsidRPr="00470C7C">
        <w:rPr>
          <w:b w:val="0"/>
        </w:rPr>
        <w:t>La denuncia y actuaciones en 1992</w:t>
      </w:r>
      <w:bookmarkEnd w:id="253"/>
      <w:bookmarkEnd w:id="254"/>
      <w:bookmarkEnd w:id="255"/>
      <w:bookmarkEnd w:id="256"/>
      <w:bookmarkEnd w:id="257"/>
    </w:p>
    <w:p w14:paraId="149DBA43" w14:textId="77777777" w:rsidR="0003391C" w:rsidRPr="00470C7C" w:rsidRDefault="0003391C" w:rsidP="00140440">
      <w:pPr>
        <w:pStyle w:val="Prrafodelista"/>
        <w:contextualSpacing w:val="0"/>
        <w:rPr>
          <w:rFonts w:cs="Arial"/>
          <w:szCs w:val="20"/>
          <w:lang w:val="es-ES"/>
        </w:rPr>
      </w:pPr>
    </w:p>
    <w:p w14:paraId="01FF59B6"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18 de marzo de 1992 la CPT envió un oficio a la Procuraduría General de la República (en adelante "PGR"), presentándole las denuncias hechas ante la Policía Federal en diciembre de 1988 y ante el Consejo de Defensa de los Derechos de la Persona Humana en enero de 1989, relacionadas con el trabajo esclavo en la Hacienda Brasil Verde, así como con las desapariciones de </w:t>
      </w:r>
      <w:proofErr w:type="spellStart"/>
      <w:r w:rsidRPr="00470C7C">
        <w:rPr>
          <w:rFonts w:cs="Arial"/>
          <w:szCs w:val="20"/>
          <w:lang w:val="es-ES"/>
        </w:rPr>
        <w:t>lron</w:t>
      </w:r>
      <w:proofErr w:type="spellEnd"/>
      <w:r w:rsidRPr="00470C7C">
        <w:rPr>
          <w:rFonts w:cs="Arial"/>
          <w:szCs w:val="20"/>
          <w:lang w:val="es-ES"/>
        </w:rPr>
        <w:t xml:space="preserve"> Canuto y </w:t>
      </w:r>
      <w:r w:rsidR="00200C04" w:rsidRPr="00470C7C">
        <w:rPr>
          <w:rFonts w:cs="Arial"/>
          <w:szCs w:val="20"/>
          <w:lang w:val="es-ES"/>
        </w:rPr>
        <w:t>Luis Ferreira da Cruz</w:t>
      </w:r>
      <w:r w:rsidRPr="00470C7C">
        <w:rPr>
          <w:rStyle w:val="Refdenotaalpie"/>
          <w:rFonts w:cs="Arial"/>
          <w:lang w:val="es-ES"/>
        </w:rPr>
        <w:footnoteReference w:id="115"/>
      </w:r>
      <w:r w:rsidRPr="00470C7C">
        <w:rPr>
          <w:rFonts w:cs="Arial"/>
          <w:szCs w:val="20"/>
          <w:lang w:val="es-ES"/>
        </w:rPr>
        <w:t xml:space="preserve">. </w:t>
      </w:r>
    </w:p>
    <w:p w14:paraId="3C214587"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63751E8A"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Dicha denuncia fue protocolizada el 22 de abril de 1992 y la PGR instauró un proceso administrativo</w:t>
      </w:r>
      <w:r w:rsidRPr="00470C7C">
        <w:rPr>
          <w:rStyle w:val="Refdenotaalpie"/>
          <w:rFonts w:cs="Arial"/>
          <w:lang w:val="es-ES"/>
        </w:rPr>
        <w:footnoteReference w:id="116"/>
      </w:r>
      <w:r w:rsidRPr="00470C7C">
        <w:rPr>
          <w:rFonts w:cs="Arial"/>
          <w:szCs w:val="20"/>
          <w:lang w:val="es-ES"/>
        </w:rPr>
        <w:t>. El 4 de junio de 1992 requirió al Departamento de Policía Federal información al respecto</w:t>
      </w:r>
      <w:r w:rsidRPr="00470C7C">
        <w:rPr>
          <w:rStyle w:val="Refdenotaalpie"/>
          <w:rFonts w:cs="Arial"/>
          <w:lang w:val="es-ES"/>
        </w:rPr>
        <w:footnoteReference w:id="117"/>
      </w:r>
      <w:r w:rsidRPr="00470C7C">
        <w:rPr>
          <w:rFonts w:cs="Arial"/>
          <w:szCs w:val="20"/>
          <w:lang w:val="es-ES"/>
        </w:rPr>
        <w:t xml:space="preserve"> y el 22 de septiembre del mismo año reiteró dicha solicitud</w:t>
      </w:r>
      <w:r w:rsidRPr="00470C7C">
        <w:rPr>
          <w:rStyle w:val="Refdenotaalpie"/>
          <w:rFonts w:cs="Arial"/>
          <w:lang w:val="es-ES"/>
        </w:rPr>
        <w:footnoteReference w:id="118"/>
      </w:r>
      <w:r w:rsidRPr="00470C7C">
        <w:rPr>
          <w:rFonts w:cs="Times New Roman"/>
          <w:szCs w:val="20"/>
          <w:lang w:val="es-ES"/>
        </w:rPr>
        <w:t xml:space="preserve">. </w:t>
      </w:r>
      <w:r w:rsidRPr="00470C7C">
        <w:rPr>
          <w:rFonts w:cs="Arial"/>
          <w:szCs w:val="20"/>
          <w:lang w:val="es-ES"/>
        </w:rPr>
        <w:t xml:space="preserve">El 7 de diciembre de 1992 el Coordinador Central del Departamento de Policía Federal respondió a dicha solicitud e informó sobre las diligencias realizadas en la </w:t>
      </w:r>
      <w:r w:rsidRPr="00470C7C">
        <w:rPr>
          <w:rFonts w:cs="Arial"/>
          <w:iCs/>
          <w:szCs w:val="20"/>
          <w:lang w:val="es-ES"/>
        </w:rPr>
        <w:t>Hacienda Brasil Verde</w:t>
      </w:r>
      <w:r w:rsidRPr="00470C7C">
        <w:rPr>
          <w:rFonts w:cs="Arial"/>
          <w:i/>
          <w:iCs/>
          <w:szCs w:val="20"/>
          <w:lang w:val="es-ES"/>
        </w:rPr>
        <w:t xml:space="preserve"> </w:t>
      </w:r>
      <w:r w:rsidRPr="00470C7C">
        <w:rPr>
          <w:rFonts w:cs="Arial"/>
          <w:szCs w:val="20"/>
          <w:lang w:val="es-ES"/>
        </w:rPr>
        <w:t>en 1989</w:t>
      </w:r>
      <w:r w:rsidRPr="00470C7C">
        <w:rPr>
          <w:rStyle w:val="Refdenotaalpie"/>
          <w:rFonts w:cs="Arial"/>
          <w:lang w:val="es-ES"/>
        </w:rPr>
        <w:footnoteReference w:id="119"/>
      </w:r>
      <w:r w:rsidRPr="00470C7C">
        <w:rPr>
          <w:rFonts w:cs="Arial"/>
          <w:szCs w:val="20"/>
          <w:lang w:val="es-ES"/>
        </w:rPr>
        <w:t xml:space="preserve">. El Departamento de Policía Federal informó que no había sido constatada la presencia de trabajo esclavo y </w:t>
      </w:r>
      <w:proofErr w:type="gramStart"/>
      <w:r w:rsidRPr="00470C7C">
        <w:rPr>
          <w:rFonts w:cs="Arial"/>
          <w:szCs w:val="20"/>
          <w:lang w:val="es-ES"/>
        </w:rPr>
        <w:t xml:space="preserve">que </w:t>
      </w:r>
      <w:r w:rsidR="003771CF" w:rsidRPr="00470C7C">
        <w:rPr>
          <w:rFonts w:cs="Arial"/>
          <w:szCs w:val="20"/>
          <w:lang w:val="es-ES"/>
        </w:rPr>
        <w:t xml:space="preserve"> la</w:t>
      </w:r>
      <w:proofErr w:type="gramEnd"/>
      <w:r w:rsidR="003771CF" w:rsidRPr="00470C7C">
        <w:rPr>
          <w:rFonts w:cs="Arial"/>
          <w:szCs w:val="20"/>
          <w:lang w:val="es-ES"/>
        </w:rPr>
        <w:t xml:space="preserve"> </w:t>
      </w:r>
      <w:r w:rsidRPr="00470C7C">
        <w:rPr>
          <w:rFonts w:cs="Arial"/>
          <w:szCs w:val="20"/>
          <w:lang w:val="es-ES"/>
        </w:rPr>
        <w:t>investigación estaba siendo acompañad</w:t>
      </w:r>
      <w:r w:rsidR="003771CF" w:rsidRPr="00470C7C">
        <w:rPr>
          <w:rFonts w:cs="Arial"/>
          <w:szCs w:val="20"/>
          <w:lang w:val="es-ES"/>
        </w:rPr>
        <w:t>a</w:t>
      </w:r>
      <w:r w:rsidRPr="00470C7C">
        <w:rPr>
          <w:rFonts w:cs="Arial"/>
          <w:szCs w:val="20"/>
          <w:lang w:val="es-ES"/>
        </w:rPr>
        <w:t xml:space="preserve"> por la Superintendencia del estado de Pará</w:t>
      </w:r>
      <w:r w:rsidR="001B2B79" w:rsidRPr="00470C7C">
        <w:rPr>
          <w:rFonts w:cs="Arial"/>
          <w:szCs w:val="20"/>
          <w:lang w:val="es-ES"/>
        </w:rPr>
        <w:t>,</w:t>
      </w:r>
      <w:r w:rsidRPr="00470C7C">
        <w:rPr>
          <w:rFonts w:cs="Arial"/>
          <w:szCs w:val="20"/>
          <w:lang w:val="es-ES"/>
        </w:rPr>
        <w:t xml:space="preserve"> sin que hasta el momento </w:t>
      </w:r>
      <w:r w:rsidR="003771CF" w:rsidRPr="00470C7C">
        <w:rPr>
          <w:rFonts w:cs="Arial"/>
          <w:szCs w:val="20"/>
          <w:lang w:val="es-ES"/>
        </w:rPr>
        <w:t>exist</w:t>
      </w:r>
      <w:r w:rsidR="00B40811" w:rsidRPr="00470C7C">
        <w:rPr>
          <w:rFonts w:cs="Arial"/>
          <w:szCs w:val="20"/>
          <w:lang w:val="es-ES"/>
        </w:rPr>
        <w:t>i</w:t>
      </w:r>
      <w:r w:rsidR="003771CF" w:rsidRPr="00470C7C">
        <w:rPr>
          <w:rFonts w:cs="Arial"/>
          <w:szCs w:val="20"/>
          <w:lang w:val="es-ES"/>
        </w:rPr>
        <w:t xml:space="preserve">era ninguna novedad </w:t>
      </w:r>
      <w:r w:rsidRPr="00470C7C">
        <w:rPr>
          <w:rFonts w:cs="Arial"/>
          <w:bCs/>
          <w:szCs w:val="20"/>
          <w:lang w:val="es-ES"/>
        </w:rPr>
        <w:t>significativa</w:t>
      </w:r>
      <w:r w:rsidRPr="00470C7C">
        <w:rPr>
          <w:rStyle w:val="Refdenotaalpie"/>
          <w:rFonts w:cs="Arial"/>
          <w:bCs/>
          <w:lang w:val="es-ES"/>
        </w:rPr>
        <w:footnoteReference w:id="120"/>
      </w:r>
      <w:r w:rsidRPr="00470C7C">
        <w:rPr>
          <w:rFonts w:cs="Arial"/>
          <w:bCs/>
          <w:szCs w:val="20"/>
          <w:lang w:val="es-ES"/>
        </w:rPr>
        <w:t>.</w:t>
      </w:r>
    </w:p>
    <w:p w14:paraId="1F218474"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63E31454" w14:textId="77777777" w:rsidR="0003391C" w:rsidRPr="00470C7C" w:rsidRDefault="0003391C" w:rsidP="008622F3">
      <w:pPr>
        <w:pStyle w:val="Ttulo3"/>
      </w:pPr>
      <w:bookmarkStart w:id="258" w:name="_Toc460433008"/>
      <w:bookmarkStart w:id="259" w:name="_Toc460441939"/>
      <w:bookmarkStart w:id="260" w:name="_Toc462750757"/>
      <w:bookmarkStart w:id="261" w:name="_Toc462751081"/>
      <w:bookmarkStart w:id="262" w:name="_Toc464813933"/>
      <w:r w:rsidRPr="00470C7C">
        <w:rPr>
          <w:b w:val="0"/>
        </w:rPr>
        <w:t>La visita a la Hacienda Brasil Verde y las actuaciones en 1993</w:t>
      </w:r>
      <w:bookmarkEnd w:id="258"/>
      <w:bookmarkEnd w:id="259"/>
      <w:bookmarkEnd w:id="260"/>
      <w:bookmarkEnd w:id="261"/>
      <w:bookmarkEnd w:id="262"/>
      <w:r w:rsidRPr="00470C7C">
        <w:t xml:space="preserve"> </w:t>
      </w:r>
    </w:p>
    <w:p w14:paraId="198FD194" w14:textId="77777777" w:rsidR="0003391C" w:rsidRPr="00470C7C" w:rsidRDefault="0003391C" w:rsidP="00140440">
      <w:pPr>
        <w:pStyle w:val="Prrafodelista"/>
        <w:contextualSpacing w:val="0"/>
        <w:rPr>
          <w:rFonts w:cs="Arial"/>
          <w:szCs w:val="20"/>
          <w:lang w:val="es-ES"/>
        </w:rPr>
      </w:pPr>
    </w:p>
    <w:p w14:paraId="3D67E64B"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2 de agosto de 1993 la Delegación Regional de Trabajo (en adelante "DRT") del estado de Pará informó a la PGR que entre el 26 de junio y el 3 de julio de 1993 había realizado visitas de fiscalización a varias haciendas con la presencia de cuatro agentes policiales federales, entre ellas a la Hacienda Brasil Verde</w:t>
      </w:r>
      <w:r w:rsidRPr="00470C7C">
        <w:rPr>
          <w:rStyle w:val="Refdenotaalpie"/>
          <w:rFonts w:cs="Arial"/>
          <w:lang w:val="es-ES"/>
        </w:rPr>
        <w:footnoteReference w:id="121"/>
      </w:r>
      <w:r w:rsidRPr="00470C7C">
        <w:rPr>
          <w:rFonts w:cs="Arial"/>
          <w:szCs w:val="20"/>
          <w:lang w:val="es-ES"/>
        </w:rPr>
        <w:t>.  La DRT señaló que no se había encontrado configurada la práctica de esclavitud, pero que habían sido encontrados 49 trabajadores sin sus registros laborales en sus cédulas de trabajo (CTPS). Asimismo, indicó que en la diligencia se había determinado el retorno al lugar de origen de varios trabajadores que habían sido contratados irregularmente y que habían manifestado el deseo de dejar la Hacienda</w:t>
      </w:r>
      <w:r w:rsidRPr="00470C7C">
        <w:rPr>
          <w:rStyle w:val="Refdenotaalpie"/>
          <w:rFonts w:cs="Arial"/>
          <w:lang w:val="es-ES"/>
        </w:rPr>
        <w:footnoteReference w:id="122"/>
      </w:r>
      <w:r w:rsidRPr="00470C7C">
        <w:rPr>
          <w:rFonts w:cs="Arial"/>
          <w:szCs w:val="20"/>
          <w:lang w:val="es-ES"/>
        </w:rPr>
        <w:t xml:space="preserve">. No fueron indicados los nombres de los trabajadores que no tenían sus registros laborales ni de los que fueron enviados a sus lugares de origen. </w:t>
      </w:r>
    </w:p>
    <w:p w14:paraId="55FAA8AE"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0C260876" w14:textId="77777777" w:rsidR="0003391C" w:rsidRPr="00470C7C" w:rsidRDefault="0003391C" w:rsidP="008622F3">
      <w:pPr>
        <w:pStyle w:val="Ttulo3"/>
      </w:pPr>
      <w:bookmarkStart w:id="263" w:name="_Toc460433009"/>
      <w:bookmarkStart w:id="264" w:name="_Toc460441940"/>
      <w:bookmarkStart w:id="265" w:name="_Toc462750758"/>
      <w:bookmarkStart w:id="266" w:name="_Toc462751082"/>
      <w:bookmarkStart w:id="267" w:name="_Toc464813934"/>
      <w:r w:rsidRPr="00470C7C">
        <w:rPr>
          <w:b w:val="0"/>
        </w:rPr>
        <w:t>Las actuaciones realizadas en 1994</w:t>
      </w:r>
      <w:bookmarkEnd w:id="263"/>
      <w:bookmarkEnd w:id="264"/>
      <w:bookmarkEnd w:id="265"/>
      <w:bookmarkEnd w:id="266"/>
      <w:bookmarkEnd w:id="267"/>
    </w:p>
    <w:p w14:paraId="2A1F43E7" w14:textId="77777777" w:rsidR="0003391C" w:rsidRPr="00470C7C" w:rsidRDefault="0003391C" w:rsidP="00140440">
      <w:pPr>
        <w:pStyle w:val="Prrafodelista"/>
        <w:autoSpaceDE w:val="0"/>
        <w:autoSpaceDN w:val="0"/>
        <w:adjustRightInd w:val="0"/>
        <w:contextualSpacing w:val="0"/>
        <w:rPr>
          <w:rFonts w:cs="Arial"/>
          <w:szCs w:val="20"/>
          <w:lang w:val="es-ES"/>
        </w:rPr>
      </w:pPr>
    </w:p>
    <w:p w14:paraId="0C7CAEC4"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25 de abril de 1994 el Subprocurador General de la República envió una carta a la CPT a la cual adjuntó un informe de 29 de marzo de 1994 respecto a las visitas realizadas a la Hacienda Brasil Verde en 1989 y 1993</w:t>
      </w:r>
      <w:r w:rsidRPr="00470C7C">
        <w:rPr>
          <w:rStyle w:val="Refdenotaalpie"/>
          <w:rFonts w:cs="Arial"/>
          <w:lang w:val="es-ES"/>
        </w:rPr>
        <w:footnoteReference w:id="123"/>
      </w:r>
      <w:r w:rsidRPr="00470C7C">
        <w:rPr>
          <w:rFonts w:cs="Arial"/>
          <w:szCs w:val="20"/>
          <w:lang w:val="es-ES"/>
        </w:rPr>
        <w:t xml:space="preserve">. </w:t>
      </w:r>
    </w:p>
    <w:p w14:paraId="2649515F"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65C37DE1"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En dicho informe se indicaba que la actuación de la Policía Federal</w:t>
      </w:r>
      <w:r w:rsidR="00F86BA8" w:rsidRPr="00470C7C">
        <w:rPr>
          <w:rFonts w:cs="Arial"/>
          <w:szCs w:val="20"/>
          <w:lang w:val="es-ES"/>
        </w:rPr>
        <w:t>,</w:t>
      </w:r>
      <w:r w:rsidRPr="00470C7C">
        <w:rPr>
          <w:rFonts w:cs="Arial"/>
          <w:szCs w:val="20"/>
          <w:lang w:val="es-ES"/>
        </w:rPr>
        <w:t xml:space="preserve"> en la visita hecha a la Hacienda Brasil Verde en 1989</w:t>
      </w:r>
      <w:r w:rsidRPr="00470C7C">
        <w:rPr>
          <w:rFonts w:cs="Arial"/>
          <w:iCs/>
          <w:szCs w:val="20"/>
          <w:lang w:val="es-ES"/>
        </w:rPr>
        <w:t>,</w:t>
      </w:r>
      <w:r w:rsidRPr="00470C7C">
        <w:rPr>
          <w:rFonts w:cs="Arial"/>
          <w:i/>
          <w:iCs/>
          <w:szCs w:val="20"/>
          <w:lang w:val="es-ES"/>
        </w:rPr>
        <w:t xml:space="preserve"> </w:t>
      </w:r>
      <w:r w:rsidRPr="00470C7C">
        <w:rPr>
          <w:rFonts w:cs="Arial"/>
          <w:szCs w:val="20"/>
          <w:lang w:val="es-ES"/>
        </w:rPr>
        <w:t>había sido insuficiente pues no había registrado las declaraciones de los trabajadores por escrito; tampoco se había levantado una lista con el nombre y calificación de los mismos; no se había tomado la declaración del gerente de la hacienda; ni se había solicitado la presentación de los contratos de trabajo</w:t>
      </w:r>
      <w:r w:rsidR="00F86BA8" w:rsidRPr="00470C7C">
        <w:rPr>
          <w:rFonts w:cs="Arial"/>
          <w:szCs w:val="20"/>
          <w:lang w:val="es-ES"/>
        </w:rPr>
        <w:t>.</w:t>
      </w:r>
      <w:r w:rsidRPr="00470C7C">
        <w:rPr>
          <w:rFonts w:cs="Arial"/>
          <w:szCs w:val="20"/>
          <w:lang w:val="es-ES"/>
        </w:rPr>
        <w:t xml:space="preserve"> </w:t>
      </w:r>
      <w:r w:rsidR="00F86BA8" w:rsidRPr="00470C7C">
        <w:rPr>
          <w:rFonts w:cs="Arial"/>
          <w:szCs w:val="20"/>
          <w:lang w:val="es-ES"/>
        </w:rPr>
        <w:t>A</w:t>
      </w:r>
      <w:r w:rsidRPr="00470C7C">
        <w:rPr>
          <w:rFonts w:cs="Arial"/>
          <w:szCs w:val="20"/>
          <w:lang w:val="es-ES"/>
        </w:rPr>
        <w:t>demás, no se había diligenciado la búsqueda de los adolescentes desaparecidos y no se habían buscado armas dentro la hacienda, ni verificado los precios de los productos del almacén</w:t>
      </w:r>
      <w:r w:rsidRPr="00470C7C">
        <w:rPr>
          <w:rStyle w:val="Refdenotaalpie"/>
          <w:rFonts w:cs="Arial"/>
          <w:lang w:val="es-ES"/>
        </w:rPr>
        <w:footnoteReference w:id="124"/>
      </w:r>
      <w:r w:rsidRPr="00470C7C">
        <w:rPr>
          <w:rFonts w:cs="Arial"/>
          <w:szCs w:val="20"/>
          <w:lang w:val="es-ES"/>
        </w:rPr>
        <w:t xml:space="preserve">. </w:t>
      </w:r>
    </w:p>
    <w:p w14:paraId="17C10ED0" w14:textId="77777777" w:rsidR="0003391C" w:rsidRPr="00470C7C" w:rsidRDefault="0003391C" w:rsidP="00140440">
      <w:pPr>
        <w:pStyle w:val="Prrafodelista"/>
        <w:contextualSpacing w:val="0"/>
        <w:rPr>
          <w:rFonts w:cs="Arial"/>
          <w:szCs w:val="20"/>
          <w:lang w:val="es-ES"/>
        </w:rPr>
      </w:pPr>
    </w:p>
    <w:p w14:paraId="6461EE85"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informe agregaba que la falta de pago de salarios, la fuga del</w:t>
      </w:r>
      <w:r w:rsidR="00DB1C1D" w:rsidRPr="00470C7C">
        <w:rPr>
          <w:rFonts w:cs="Arial"/>
          <w:i/>
          <w:szCs w:val="20"/>
          <w:lang w:val="es-ES"/>
        </w:rPr>
        <w:t xml:space="preserve"> gato </w:t>
      </w:r>
      <w:r w:rsidRPr="00470C7C">
        <w:rPr>
          <w:rFonts w:cs="Arial"/>
          <w:szCs w:val="20"/>
          <w:lang w:val="es-ES"/>
        </w:rPr>
        <w:t xml:space="preserve">mientras se realizaba la visita y la controversia sobre la fuga o abandono de servicio de los trabajadores, justificaban la instauración de la investigación policial para la eventual práctica del delito contra la organización del trabajo y de reducción a condición análoga a la </w:t>
      </w:r>
      <w:r w:rsidR="00696CD2" w:rsidRPr="00470C7C">
        <w:rPr>
          <w:rFonts w:cs="Arial"/>
          <w:szCs w:val="20"/>
          <w:lang w:val="es-ES"/>
        </w:rPr>
        <w:t>de esclavo</w:t>
      </w:r>
      <w:r w:rsidRPr="00470C7C">
        <w:rPr>
          <w:rFonts w:cs="Arial"/>
          <w:szCs w:val="20"/>
          <w:lang w:val="es-ES"/>
        </w:rPr>
        <w:t xml:space="preserve">. No </w:t>
      </w:r>
      <w:proofErr w:type="gramStart"/>
      <w:r w:rsidRPr="00470C7C">
        <w:rPr>
          <w:rFonts w:cs="Arial"/>
          <w:szCs w:val="20"/>
          <w:lang w:val="es-ES"/>
        </w:rPr>
        <w:t>obstante</w:t>
      </w:r>
      <w:proofErr w:type="gramEnd"/>
      <w:r w:rsidRPr="00470C7C">
        <w:rPr>
          <w:rFonts w:cs="Arial"/>
          <w:szCs w:val="20"/>
          <w:lang w:val="es-ES"/>
        </w:rPr>
        <w:t xml:space="preserve"> lo anterior, destacó que la mayoría de los delitos ya habían prescrito. Sobre el delito relacionado con condiciones análogas a la </w:t>
      </w:r>
      <w:r w:rsidR="00696CD2" w:rsidRPr="00470C7C">
        <w:rPr>
          <w:rFonts w:cs="Arial"/>
          <w:szCs w:val="20"/>
          <w:lang w:val="es-ES"/>
        </w:rPr>
        <w:t xml:space="preserve">de esclavo </w:t>
      </w:r>
      <w:r w:rsidRPr="00470C7C">
        <w:rPr>
          <w:rFonts w:cs="Arial"/>
          <w:szCs w:val="20"/>
          <w:lang w:val="es-ES"/>
        </w:rPr>
        <w:t>que aún no había prescrito, era inviable comprobar su existencia después de más de cinco años de ocurridos los hechos.</w:t>
      </w:r>
      <w:r w:rsidRPr="00470C7C">
        <w:rPr>
          <w:rFonts w:cs="Times New Roman"/>
          <w:szCs w:val="20"/>
          <w:lang w:val="es-ES"/>
        </w:rPr>
        <w:t xml:space="preserve"> </w:t>
      </w:r>
      <w:r w:rsidRPr="00470C7C">
        <w:rPr>
          <w:rFonts w:cs="Arial"/>
          <w:szCs w:val="20"/>
          <w:lang w:val="es-ES"/>
        </w:rPr>
        <w:t>Finalmente se destacó que</w:t>
      </w:r>
      <w:r w:rsidR="0045315A" w:rsidRPr="00470C7C">
        <w:rPr>
          <w:rFonts w:cs="Arial"/>
          <w:szCs w:val="20"/>
          <w:lang w:val="es-ES"/>
        </w:rPr>
        <w:t>,</w:t>
      </w:r>
      <w:r w:rsidRPr="00470C7C">
        <w:rPr>
          <w:rFonts w:cs="Arial"/>
          <w:szCs w:val="20"/>
          <w:lang w:val="es-ES"/>
        </w:rPr>
        <w:t xml:space="preserve"> respecto de la fiscalización de 1993</w:t>
      </w:r>
      <w:r w:rsidR="0045315A" w:rsidRPr="00470C7C">
        <w:rPr>
          <w:rFonts w:cs="Arial"/>
          <w:szCs w:val="20"/>
          <w:lang w:val="es-ES"/>
        </w:rPr>
        <w:t>,</w:t>
      </w:r>
      <w:r w:rsidRPr="00470C7C">
        <w:rPr>
          <w:rFonts w:cs="Arial"/>
          <w:szCs w:val="20"/>
          <w:lang w:val="es-ES"/>
        </w:rPr>
        <w:t xml:space="preserve"> no </w:t>
      </w:r>
      <w:r w:rsidR="0045315A" w:rsidRPr="00470C7C">
        <w:rPr>
          <w:rFonts w:cs="Arial"/>
          <w:szCs w:val="20"/>
          <w:lang w:val="es-ES"/>
        </w:rPr>
        <w:t xml:space="preserve">se </w:t>
      </w:r>
      <w:r w:rsidRPr="00470C7C">
        <w:rPr>
          <w:rFonts w:cs="Arial"/>
          <w:szCs w:val="20"/>
          <w:lang w:val="es-ES"/>
        </w:rPr>
        <w:t>determinó que existía una práctica de trabajo esclavo, pero sí la práctica de reclutamiento ilegal o de frustración de derechos laborales</w:t>
      </w:r>
      <w:r w:rsidRPr="00470C7C">
        <w:rPr>
          <w:rStyle w:val="Refdenotaalpie"/>
          <w:rFonts w:cs="Arial"/>
          <w:lang w:val="es-ES"/>
        </w:rPr>
        <w:footnoteReference w:id="125"/>
      </w:r>
      <w:r w:rsidRPr="00470C7C">
        <w:rPr>
          <w:rFonts w:cs="Times New Roman"/>
          <w:szCs w:val="20"/>
          <w:lang w:val="es-ES"/>
        </w:rPr>
        <w:t>.</w:t>
      </w:r>
    </w:p>
    <w:p w14:paraId="1C083D8F" w14:textId="77777777" w:rsidR="0003391C" w:rsidRPr="00470C7C" w:rsidRDefault="0003391C" w:rsidP="00140440">
      <w:pPr>
        <w:pStyle w:val="Prrafodelista"/>
        <w:autoSpaceDE w:val="0"/>
        <w:autoSpaceDN w:val="0"/>
        <w:adjustRightInd w:val="0"/>
        <w:ind w:left="0"/>
        <w:contextualSpacing w:val="0"/>
        <w:rPr>
          <w:rFonts w:cs="Arial"/>
          <w:i/>
          <w:iCs/>
          <w:szCs w:val="20"/>
          <w:lang w:val="es-ES"/>
        </w:rPr>
      </w:pPr>
    </w:p>
    <w:p w14:paraId="032E573E" w14:textId="77777777" w:rsidR="0003391C" w:rsidRPr="00470C7C" w:rsidRDefault="0003391C" w:rsidP="008622F3">
      <w:pPr>
        <w:pStyle w:val="Ttulo3"/>
      </w:pPr>
      <w:bookmarkStart w:id="268" w:name="_Toc460433010"/>
      <w:bookmarkStart w:id="269" w:name="_Toc460441941"/>
      <w:bookmarkStart w:id="270" w:name="_Toc462750759"/>
      <w:bookmarkStart w:id="271" w:name="_Toc462751083"/>
      <w:bookmarkStart w:id="272" w:name="_Toc464813935"/>
      <w:r w:rsidRPr="00470C7C">
        <w:rPr>
          <w:b w:val="0"/>
        </w:rPr>
        <w:t>La visita a la Hacienda Brasil Verde en 1996</w:t>
      </w:r>
      <w:bookmarkEnd w:id="268"/>
      <w:bookmarkEnd w:id="269"/>
      <w:bookmarkEnd w:id="270"/>
      <w:bookmarkEnd w:id="271"/>
      <w:bookmarkEnd w:id="272"/>
    </w:p>
    <w:p w14:paraId="23D59328"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537B30C3"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29 de noviembre de 1996 el Grupo Móvil del Ministerio del Trabajo realizó una fiscalización a la Hacienda Brasil Verde</w:t>
      </w:r>
      <w:r w:rsidR="002B1D76" w:rsidRPr="00470C7C">
        <w:rPr>
          <w:rFonts w:cs="Arial"/>
          <w:szCs w:val="20"/>
          <w:lang w:val="es-ES"/>
        </w:rPr>
        <w:t>,</w:t>
      </w:r>
      <w:r w:rsidRPr="00470C7C">
        <w:rPr>
          <w:rFonts w:cs="Arial"/>
          <w:i/>
          <w:iCs/>
          <w:szCs w:val="20"/>
          <w:lang w:val="es-ES"/>
        </w:rPr>
        <w:t xml:space="preserve"> </w:t>
      </w:r>
      <w:r w:rsidRPr="00470C7C">
        <w:rPr>
          <w:rFonts w:cs="Arial"/>
          <w:szCs w:val="20"/>
          <w:lang w:val="es-ES"/>
        </w:rPr>
        <w:t>en la que determinó la existencia de irregularidades consistentes en falta de registro de los empleados y, en general, condiciones contrarias a las disposiciones laborales</w:t>
      </w:r>
      <w:r w:rsidRPr="00470C7C">
        <w:rPr>
          <w:rStyle w:val="Refdenotaalpie"/>
          <w:rFonts w:cs="Arial"/>
          <w:lang w:val="es-ES"/>
        </w:rPr>
        <w:footnoteReference w:id="126"/>
      </w:r>
      <w:r w:rsidRPr="00470C7C">
        <w:rPr>
          <w:rFonts w:cs="Arial"/>
          <w:szCs w:val="20"/>
          <w:lang w:val="es-ES"/>
        </w:rPr>
        <w:t>. Al momento de la fiscalización se encontraron 78 trabajadores en actividad, respecto de los cuales se expidieron 34 cédulas de trabajo (CTPS)</w:t>
      </w:r>
      <w:r w:rsidRPr="00470C7C">
        <w:rPr>
          <w:rStyle w:val="Refdenotaalpie"/>
          <w:rFonts w:cs="Arial"/>
          <w:lang w:val="es-ES"/>
        </w:rPr>
        <w:footnoteReference w:id="127"/>
      </w:r>
      <w:r w:rsidRPr="00470C7C">
        <w:rPr>
          <w:rFonts w:cs="Arial"/>
          <w:szCs w:val="20"/>
          <w:lang w:val="es-ES"/>
        </w:rPr>
        <w:t xml:space="preserve">. </w:t>
      </w:r>
    </w:p>
    <w:p w14:paraId="380A8168"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06134116" w14:textId="77777777" w:rsidR="0003391C" w:rsidRPr="00470C7C" w:rsidRDefault="0003391C" w:rsidP="008622F3">
      <w:pPr>
        <w:pStyle w:val="Ttulo3"/>
      </w:pPr>
      <w:bookmarkStart w:id="273" w:name="_Toc460433011"/>
      <w:bookmarkStart w:id="274" w:name="_Toc460441942"/>
      <w:bookmarkStart w:id="275" w:name="_Toc462750760"/>
      <w:bookmarkStart w:id="276" w:name="_Toc462751084"/>
      <w:bookmarkStart w:id="277" w:name="_Toc464813936"/>
      <w:r w:rsidRPr="00470C7C">
        <w:rPr>
          <w:b w:val="0"/>
        </w:rPr>
        <w:t>La visita a la Hacienda Brasil Verde en 1997</w:t>
      </w:r>
      <w:bookmarkEnd w:id="273"/>
      <w:bookmarkEnd w:id="274"/>
      <w:bookmarkEnd w:id="275"/>
      <w:bookmarkEnd w:id="276"/>
      <w:bookmarkEnd w:id="277"/>
      <w:r w:rsidRPr="00470C7C">
        <w:t xml:space="preserve"> </w:t>
      </w:r>
    </w:p>
    <w:p w14:paraId="2BB4955A" w14:textId="77777777" w:rsidR="0003391C" w:rsidRPr="00470C7C" w:rsidRDefault="0003391C" w:rsidP="00140440">
      <w:pPr>
        <w:autoSpaceDE w:val="0"/>
        <w:autoSpaceDN w:val="0"/>
        <w:adjustRightInd w:val="0"/>
        <w:jc w:val="both"/>
        <w:rPr>
          <w:rFonts w:cs="Arial"/>
          <w:iCs/>
          <w:szCs w:val="20"/>
          <w:lang w:val="es-ES"/>
        </w:rPr>
      </w:pPr>
    </w:p>
    <w:p w14:paraId="49D2658D"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10 de marzo de 1997 José da Costa Oliveira y José Ferreira dos Santos rindieron una declaración ante el Departamento de Policía Federal de Pará, Delegación de </w:t>
      </w:r>
      <w:proofErr w:type="spellStart"/>
      <w:r w:rsidRPr="00470C7C">
        <w:rPr>
          <w:rFonts w:cs="Arial"/>
          <w:szCs w:val="20"/>
          <w:lang w:val="es-ES"/>
        </w:rPr>
        <w:t>Marabá</w:t>
      </w:r>
      <w:proofErr w:type="spellEnd"/>
      <w:r w:rsidRPr="00470C7C">
        <w:rPr>
          <w:rFonts w:cs="Arial"/>
          <w:szCs w:val="20"/>
          <w:lang w:val="es-ES"/>
        </w:rPr>
        <w:t xml:space="preserve">, en la cual relataron haber trabajado y escapado de la </w:t>
      </w:r>
      <w:r w:rsidRPr="00470C7C">
        <w:rPr>
          <w:rFonts w:cs="Arial"/>
          <w:iCs/>
          <w:szCs w:val="20"/>
          <w:lang w:val="es-ES"/>
        </w:rPr>
        <w:t>Hacienda Brasil Verde</w:t>
      </w:r>
      <w:r w:rsidRPr="00470C7C">
        <w:rPr>
          <w:rStyle w:val="Refdenotaalpie"/>
          <w:rFonts w:cs="Arial"/>
          <w:iCs/>
          <w:lang w:val="es-ES"/>
        </w:rPr>
        <w:footnoteReference w:id="128"/>
      </w:r>
      <w:r w:rsidRPr="00470C7C">
        <w:rPr>
          <w:rFonts w:cs="Arial"/>
          <w:iCs/>
          <w:szCs w:val="20"/>
          <w:lang w:val="es-ES"/>
        </w:rPr>
        <w:t>.</w:t>
      </w:r>
      <w:r w:rsidRPr="00470C7C">
        <w:rPr>
          <w:rFonts w:cs="Arial"/>
          <w:i/>
          <w:iCs/>
          <w:szCs w:val="20"/>
          <w:lang w:val="es-ES"/>
        </w:rPr>
        <w:t xml:space="preserve"> </w:t>
      </w:r>
      <w:r w:rsidRPr="00470C7C">
        <w:rPr>
          <w:rFonts w:cs="Arial"/>
          <w:szCs w:val="20"/>
          <w:lang w:val="es-ES"/>
        </w:rPr>
        <w:t>Al respecto, José da Costa Oliveira manifestó que el</w:t>
      </w:r>
      <w:r w:rsidR="00DB1C1D" w:rsidRPr="00470C7C">
        <w:rPr>
          <w:rFonts w:cs="Arial"/>
          <w:i/>
          <w:szCs w:val="20"/>
          <w:lang w:val="es-ES"/>
        </w:rPr>
        <w:t xml:space="preserve"> gato </w:t>
      </w:r>
      <w:r w:rsidRPr="00470C7C">
        <w:rPr>
          <w:rFonts w:cs="Arial"/>
          <w:szCs w:val="20"/>
          <w:lang w:val="es-ES"/>
        </w:rPr>
        <w:t xml:space="preserve">Raimundo lo había contratado para trabajar en la Hacienda y que, al llegar, ya debía dinero por los gastos de hospedaje y los utensilios de trabajo que fueron proporcionados por el </w:t>
      </w:r>
      <w:r w:rsidRPr="00470C7C">
        <w:rPr>
          <w:rFonts w:cs="Arial"/>
          <w:i/>
          <w:szCs w:val="20"/>
          <w:lang w:val="es-ES"/>
        </w:rPr>
        <w:t>gato</w:t>
      </w:r>
      <w:r w:rsidRPr="00470C7C">
        <w:rPr>
          <w:rStyle w:val="Refdenotaalpie"/>
          <w:rFonts w:cs="Arial"/>
          <w:i/>
          <w:lang w:val="es-ES"/>
        </w:rPr>
        <w:footnoteReference w:id="129"/>
      </w:r>
      <w:r w:rsidRPr="00470C7C">
        <w:rPr>
          <w:rFonts w:cs="Arial"/>
          <w:szCs w:val="20"/>
          <w:lang w:val="es-ES"/>
        </w:rPr>
        <w:t>. Los declarantes agregaron que los trabajadores eran amenazados de muerte en caso de denunciar al</w:t>
      </w:r>
      <w:r w:rsidR="00DB1C1D" w:rsidRPr="00470C7C">
        <w:rPr>
          <w:rFonts w:cs="Arial"/>
          <w:i/>
          <w:szCs w:val="20"/>
          <w:lang w:val="es-ES"/>
        </w:rPr>
        <w:t xml:space="preserve"> gato </w:t>
      </w:r>
      <w:r w:rsidRPr="00470C7C">
        <w:rPr>
          <w:rFonts w:cs="Arial"/>
          <w:szCs w:val="20"/>
          <w:lang w:val="es-ES"/>
        </w:rPr>
        <w:t>o al hacendado o si intentaban huir</w:t>
      </w:r>
      <w:r w:rsidR="00B9660E" w:rsidRPr="00470C7C">
        <w:rPr>
          <w:rFonts w:cs="Arial"/>
          <w:szCs w:val="20"/>
          <w:lang w:val="es-ES"/>
        </w:rPr>
        <w:t>,</w:t>
      </w:r>
      <w:r w:rsidRPr="00470C7C">
        <w:rPr>
          <w:rFonts w:cs="Times New Roman"/>
          <w:szCs w:val="20"/>
          <w:lang w:val="es-ES"/>
        </w:rPr>
        <w:t xml:space="preserve"> </w:t>
      </w:r>
      <w:r w:rsidRPr="00470C7C">
        <w:rPr>
          <w:rFonts w:cs="Arial"/>
          <w:szCs w:val="20"/>
          <w:lang w:val="es-ES"/>
        </w:rPr>
        <w:t>y que la práctica común era esconder a los trabajadores cuando el Ministerio de Trabajo realizaba fiscalizaciones</w:t>
      </w:r>
      <w:r w:rsidRPr="00470C7C">
        <w:rPr>
          <w:rStyle w:val="Refdenotaalpie"/>
          <w:rFonts w:cs="Arial"/>
          <w:lang w:val="es-ES"/>
        </w:rPr>
        <w:footnoteReference w:id="130"/>
      </w:r>
      <w:r w:rsidRPr="00470C7C">
        <w:rPr>
          <w:rFonts w:cs="Arial"/>
          <w:szCs w:val="20"/>
          <w:lang w:val="es-ES"/>
        </w:rPr>
        <w:t xml:space="preserve">. </w:t>
      </w:r>
    </w:p>
    <w:p w14:paraId="278EB37B"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288846AF"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Con base en dicha denuncia, el Grupo Móvil del Ministerio del Trabajo realizó una nueva visita de fiscalización a la Hacienda Brasil Verde los días 23, 28 y 29 de abril de 1997</w:t>
      </w:r>
      <w:r w:rsidRPr="00470C7C">
        <w:rPr>
          <w:rStyle w:val="Refdenotaalpie"/>
          <w:rFonts w:cs="Arial"/>
          <w:lang w:val="es-ES"/>
        </w:rPr>
        <w:footnoteReference w:id="131"/>
      </w:r>
      <w:r w:rsidRPr="00470C7C">
        <w:rPr>
          <w:rFonts w:cs="Arial"/>
          <w:szCs w:val="20"/>
          <w:lang w:val="es-ES"/>
        </w:rPr>
        <w:t xml:space="preserve">. El informe de la visita de fiscalización del Ministerio del Trabajo concluyó que: i) los trabajadores se encontraban albergados en cobertizos cubiertos de plástico y paja en los que había una “total falta de higiene”; </w:t>
      </w:r>
      <w:proofErr w:type="spellStart"/>
      <w:r w:rsidRPr="00470C7C">
        <w:rPr>
          <w:rFonts w:cs="Arial"/>
          <w:szCs w:val="20"/>
          <w:lang w:val="es-ES"/>
        </w:rPr>
        <w:t>ii</w:t>
      </w:r>
      <w:proofErr w:type="spellEnd"/>
      <w:r w:rsidRPr="00470C7C">
        <w:rPr>
          <w:rFonts w:cs="Arial"/>
          <w:szCs w:val="20"/>
          <w:lang w:val="es-ES"/>
        </w:rPr>
        <w:t xml:space="preserve">) varios trabajadores eran portadores de enfermedades de la piel, no recibían atención médica y el agua que consumían no era apta para el consumo humano; </w:t>
      </w:r>
      <w:proofErr w:type="spellStart"/>
      <w:r w:rsidRPr="00470C7C">
        <w:rPr>
          <w:rFonts w:cs="Arial"/>
          <w:szCs w:val="20"/>
          <w:lang w:val="es-ES"/>
        </w:rPr>
        <w:t>iii</w:t>
      </w:r>
      <w:proofErr w:type="spellEnd"/>
      <w:r w:rsidRPr="00470C7C">
        <w:rPr>
          <w:rFonts w:cs="Arial"/>
          <w:szCs w:val="20"/>
          <w:lang w:val="es-ES"/>
        </w:rPr>
        <w:t xml:space="preserve">) todos los trabajadores habían sufrido amenazas, inclusive con armas de fuego, y </w:t>
      </w:r>
      <w:proofErr w:type="spellStart"/>
      <w:r w:rsidRPr="00470C7C">
        <w:rPr>
          <w:rFonts w:cs="Arial"/>
          <w:szCs w:val="20"/>
          <w:lang w:val="es-ES"/>
        </w:rPr>
        <w:t>iv</w:t>
      </w:r>
      <w:proofErr w:type="spellEnd"/>
      <w:r w:rsidRPr="00470C7C">
        <w:rPr>
          <w:rFonts w:cs="Arial"/>
          <w:szCs w:val="20"/>
          <w:lang w:val="es-ES"/>
        </w:rPr>
        <w:t>) declararon no poder salir de la Hacienda</w:t>
      </w:r>
      <w:r w:rsidRPr="00470C7C">
        <w:rPr>
          <w:rStyle w:val="Refdenotaalpie"/>
          <w:rFonts w:cs="Arial"/>
          <w:lang w:val="es-ES"/>
        </w:rPr>
        <w:footnoteReference w:id="132"/>
      </w:r>
      <w:r w:rsidRPr="00470C7C">
        <w:rPr>
          <w:rFonts w:cs="Arial"/>
          <w:szCs w:val="20"/>
          <w:lang w:val="es-ES"/>
        </w:rPr>
        <w:t>.</w:t>
      </w:r>
      <w:r w:rsidRPr="00470C7C">
        <w:rPr>
          <w:rFonts w:cs="Times New Roman"/>
          <w:szCs w:val="20"/>
          <w:lang w:val="es-ES"/>
        </w:rPr>
        <w:t xml:space="preserve"> </w:t>
      </w:r>
      <w:r w:rsidRPr="00470C7C">
        <w:rPr>
          <w:rFonts w:cs="Arial"/>
          <w:szCs w:val="20"/>
          <w:lang w:val="es-ES"/>
        </w:rPr>
        <w:t>Asimismo, comprobó la práctica de esconder trabajadores cuando se realizan las fiscalizaciones</w:t>
      </w:r>
      <w:r w:rsidRPr="00470C7C">
        <w:rPr>
          <w:rStyle w:val="Refdenotaalpie"/>
          <w:rFonts w:cs="Arial"/>
          <w:lang w:val="es-ES"/>
        </w:rPr>
        <w:footnoteReference w:id="133"/>
      </w:r>
      <w:r w:rsidRPr="00470C7C">
        <w:rPr>
          <w:rFonts w:cs="Arial"/>
          <w:szCs w:val="20"/>
          <w:lang w:val="es-ES"/>
        </w:rPr>
        <w:t xml:space="preserve">. Al momento de la fiscalización se encontraron 81 personas, respecto de </w:t>
      </w:r>
      <w:r w:rsidR="009662C5" w:rsidRPr="00470C7C">
        <w:rPr>
          <w:rFonts w:cs="Arial"/>
          <w:szCs w:val="20"/>
          <w:lang w:val="es-ES"/>
        </w:rPr>
        <w:t>quienes</w:t>
      </w:r>
      <w:r w:rsidRPr="00470C7C">
        <w:rPr>
          <w:rFonts w:cs="Arial"/>
          <w:szCs w:val="20"/>
          <w:lang w:val="es-ES"/>
        </w:rPr>
        <w:t xml:space="preserve"> se expidieron “aproximadamente 45” cédulas de trabajo (CTPS)</w:t>
      </w:r>
      <w:r w:rsidRPr="00470C7C">
        <w:rPr>
          <w:rStyle w:val="Refdenotaalpie"/>
          <w:rFonts w:cs="Arial"/>
          <w:lang w:val="es-ES"/>
        </w:rPr>
        <w:footnoteReference w:id="134"/>
      </w:r>
      <w:r w:rsidRPr="00470C7C">
        <w:rPr>
          <w:rFonts w:cs="Arial"/>
          <w:szCs w:val="20"/>
          <w:lang w:val="es-ES"/>
        </w:rPr>
        <w:t>.</w:t>
      </w:r>
    </w:p>
    <w:p w14:paraId="0F0C689E" w14:textId="77777777" w:rsidR="0003391C" w:rsidRPr="00470C7C" w:rsidRDefault="0003391C" w:rsidP="00140440">
      <w:pPr>
        <w:autoSpaceDE w:val="0"/>
        <w:autoSpaceDN w:val="0"/>
        <w:adjustRightInd w:val="0"/>
        <w:jc w:val="both"/>
        <w:rPr>
          <w:rFonts w:cs="Arial"/>
          <w:i/>
          <w:iCs/>
          <w:szCs w:val="20"/>
          <w:lang w:val="es-ES"/>
        </w:rPr>
      </w:pPr>
    </w:p>
    <w:p w14:paraId="6A161BFC" w14:textId="77777777" w:rsidR="0003391C" w:rsidRPr="00470C7C" w:rsidRDefault="0003391C" w:rsidP="008622F3">
      <w:pPr>
        <w:pStyle w:val="Ttulo3"/>
        <w:rPr>
          <w:iCs/>
          <w:lang w:val="pt-BR"/>
        </w:rPr>
      </w:pPr>
      <w:bookmarkStart w:id="278" w:name="_Toc460433012"/>
      <w:bookmarkStart w:id="279" w:name="_Toc460441943"/>
      <w:bookmarkStart w:id="280" w:name="_Toc462750761"/>
      <w:bookmarkStart w:id="281" w:name="_Toc462751085"/>
      <w:bookmarkStart w:id="282" w:name="_Toc464813937"/>
      <w:r w:rsidRPr="00470C7C">
        <w:rPr>
          <w:b w:val="0"/>
          <w:iCs/>
          <w:lang w:val="pt-BR"/>
        </w:rPr>
        <w:t xml:space="preserve">El </w:t>
      </w:r>
      <w:proofErr w:type="spellStart"/>
      <w:r w:rsidRPr="00470C7C">
        <w:rPr>
          <w:b w:val="0"/>
          <w:iCs/>
          <w:lang w:val="pt-BR"/>
        </w:rPr>
        <w:t>proceso</w:t>
      </w:r>
      <w:proofErr w:type="spellEnd"/>
      <w:r w:rsidRPr="00470C7C">
        <w:rPr>
          <w:b w:val="0"/>
          <w:iCs/>
          <w:lang w:val="pt-BR"/>
        </w:rPr>
        <w:t xml:space="preserve"> penal </w:t>
      </w:r>
      <w:r w:rsidRPr="00470C7C">
        <w:rPr>
          <w:b w:val="0"/>
          <w:lang w:val="pt-BR"/>
        </w:rPr>
        <w:t xml:space="preserve">contra Raimundo Alves de Rocha, </w:t>
      </w:r>
      <w:r w:rsidR="00D60654" w:rsidRPr="00470C7C">
        <w:rPr>
          <w:b w:val="0"/>
          <w:lang w:val="pt-BR"/>
        </w:rPr>
        <w:t xml:space="preserve">Antônio </w:t>
      </w:r>
      <w:r w:rsidRPr="00470C7C">
        <w:rPr>
          <w:b w:val="0"/>
          <w:lang w:val="pt-BR"/>
        </w:rPr>
        <w:t xml:space="preserve">Alves Vieira </w:t>
      </w:r>
      <w:r w:rsidRPr="00470C7C">
        <w:rPr>
          <w:rFonts w:cs="Times New Roman"/>
          <w:b w:val="0"/>
          <w:lang w:val="pt-BR"/>
        </w:rPr>
        <w:t xml:space="preserve">y </w:t>
      </w:r>
      <w:r w:rsidRPr="00470C7C">
        <w:rPr>
          <w:b w:val="0"/>
          <w:lang w:val="pt-BR"/>
        </w:rPr>
        <w:t xml:space="preserve">João Luiz </w:t>
      </w:r>
      <w:proofErr w:type="spellStart"/>
      <w:r w:rsidRPr="00470C7C">
        <w:rPr>
          <w:b w:val="0"/>
          <w:lang w:val="pt-BR"/>
        </w:rPr>
        <w:t>Quagliato</w:t>
      </w:r>
      <w:proofErr w:type="spellEnd"/>
      <w:r w:rsidRPr="00470C7C">
        <w:rPr>
          <w:b w:val="0"/>
          <w:lang w:val="pt-BR"/>
        </w:rPr>
        <w:t xml:space="preserve"> Neto</w:t>
      </w:r>
      <w:bookmarkEnd w:id="278"/>
      <w:bookmarkEnd w:id="279"/>
      <w:bookmarkEnd w:id="280"/>
      <w:bookmarkEnd w:id="281"/>
      <w:bookmarkEnd w:id="282"/>
    </w:p>
    <w:p w14:paraId="6D3C814A" w14:textId="77777777" w:rsidR="0003391C" w:rsidRPr="00470C7C" w:rsidRDefault="0003391C" w:rsidP="00140440">
      <w:pPr>
        <w:autoSpaceDE w:val="0"/>
        <w:autoSpaceDN w:val="0"/>
        <w:adjustRightInd w:val="0"/>
        <w:jc w:val="both"/>
        <w:rPr>
          <w:rFonts w:cs="Arial"/>
          <w:szCs w:val="20"/>
          <w:lang w:val="pt-BR"/>
        </w:rPr>
      </w:pPr>
    </w:p>
    <w:p w14:paraId="4538DF8E"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Como consecuencia del informe del Ministerio del Trabajo</w:t>
      </w:r>
      <w:r w:rsidR="00F57007" w:rsidRPr="00470C7C">
        <w:rPr>
          <w:rFonts w:cs="Arial"/>
          <w:szCs w:val="20"/>
          <w:lang w:val="es-ES"/>
        </w:rPr>
        <w:t xml:space="preserve"> (</w:t>
      </w:r>
      <w:r w:rsidR="00F57007" w:rsidRPr="00470C7C">
        <w:rPr>
          <w:rFonts w:cs="Arial"/>
          <w:i/>
          <w:szCs w:val="20"/>
          <w:lang w:val="es-ES"/>
        </w:rPr>
        <w:t>supra</w:t>
      </w:r>
      <w:r w:rsidR="00F57007" w:rsidRPr="00470C7C">
        <w:rPr>
          <w:rFonts w:cs="Arial"/>
          <w:szCs w:val="20"/>
          <w:lang w:val="es-ES"/>
        </w:rPr>
        <w:t xml:space="preserve"> párr. </w:t>
      </w:r>
      <w:r w:rsidR="006D06A9" w:rsidRPr="00470C7C">
        <w:rPr>
          <w:rFonts w:cs="Arial"/>
          <w:szCs w:val="20"/>
          <w:lang w:val="es-ES"/>
        </w:rPr>
        <w:t>144</w:t>
      </w:r>
      <w:r w:rsidR="00F57007" w:rsidRPr="00470C7C">
        <w:rPr>
          <w:rFonts w:cs="Arial"/>
          <w:szCs w:val="20"/>
          <w:lang w:val="es-ES"/>
        </w:rPr>
        <w:t>)</w:t>
      </w:r>
      <w:r w:rsidRPr="00470C7C">
        <w:rPr>
          <w:rFonts w:cs="Arial"/>
          <w:szCs w:val="20"/>
          <w:lang w:val="es-ES"/>
        </w:rPr>
        <w:t>, el 30 de junio de 1997 el Ministerio Público Federal presentó una denuncia contra: a) Raimundo Alves de Rocha,</w:t>
      </w:r>
      <w:r w:rsidR="00DB1C1D" w:rsidRPr="00470C7C">
        <w:rPr>
          <w:rFonts w:cs="Arial"/>
          <w:i/>
          <w:szCs w:val="20"/>
          <w:lang w:val="es-ES"/>
        </w:rPr>
        <w:t xml:space="preserve"> gato </w:t>
      </w:r>
      <w:r w:rsidRPr="00470C7C">
        <w:rPr>
          <w:rFonts w:cs="Arial"/>
          <w:szCs w:val="20"/>
          <w:lang w:val="es-ES"/>
        </w:rPr>
        <w:t>o empleador de trabajadores rurales, por los delitos previstos en los artículos 149</w:t>
      </w:r>
      <w:r w:rsidR="00917270" w:rsidRPr="00470C7C">
        <w:rPr>
          <w:rFonts w:cs="Arial"/>
          <w:szCs w:val="20"/>
          <w:lang w:val="es-ES"/>
        </w:rPr>
        <w:t xml:space="preserve"> (trabajo esclavo) </w:t>
      </w:r>
      <w:r w:rsidRPr="00470C7C">
        <w:rPr>
          <w:rFonts w:cs="Arial"/>
          <w:szCs w:val="20"/>
          <w:lang w:val="es-ES"/>
        </w:rPr>
        <w:t>, 197.1</w:t>
      </w:r>
      <w:r w:rsidR="00917270" w:rsidRPr="00470C7C">
        <w:rPr>
          <w:rFonts w:cs="Arial"/>
          <w:szCs w:val="20"/>
          <w:lang w:val="es-ES"/>
        </w:rPr>
        <w:t xml:space="preserve"> (atentado contra la libertad del trabajo)</w:t>
      </w:r>
      <w:r w:rsidRPr="00470C7C">
        <w:rPr>
          <w:rFonts w:cs="Arial"/>
          <w:szCs w:val="20"/>
          <w:lang w:val="es-ES"/>
        </w:rPr>
        <w:t xml:space="preserve"> y 207 </w:t>
      </w:r>
      <w:r w:rsidR="00917270" w:rsidRPr="00470C7C">
        <w:rPr>
          <w:rFonts w:cs="Arial"/>
          <w:szCs w:val="20"/>
          <w:lang w:val="es-ES"/>
        </w:rPr>
        <w:t xml:space="preserve">(tráfico de trabajadores) </w:t>
      </w:r>
      <w:r w:rsidRPr="00470C7C">
        <w:rPr>
          <w:rFonts w:cs="Arial"/>
          <w:szCs w:val="20"/>
          <w:lang w:val="es-ES"/>
        </w:rPr>
        <w:t>del Código Penal</w:t>
      </w:r>
      <w:r w:rsidRPr="00470C7C">
        <w:rPr>
          <w:rFonts w:cs="Times New Roman"/>
          <w:szCs w:val="20"/>
          <w:lang w:val="es-ES"/>
        </w:rPr>
        <w:t xml:space="preserve">; b)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 xml:space="preserve">Alves Vieira, gerente de la Hacienda Brasil Verde, por los delitos previstos en los artículos 149 </w:t>
      </w:r>
      <w:r w:rsidRPr="00470C7C">
        <w:rPr>
          <w:rFonts w:cs="Times New Roman"/>
          <w:szCs w:val="20"/>
          <w:lang w:val="es-ES"/>
        </w:rPr>
        <w:t xml:space="preserve">y </w:t>
      </w:r>
      <w:r w:rsidRPr="00470C7C">
        <w:rPr>
          <w:rFonts w:cs="Arial"/>
          <w:szCs w:val="20"/>
          <w:lang w:val="es-ES"/>
        </w:rPr>
        <w:t xml:space="preserve">197.1 del Código Penal, </w:t>
      </w:r>
      <w:r w:rsidRPr="00470C7C">
        <w:rPr>
          <w:rFonts w:cs="Times New Roman"/>
          <w:szCs w:val="20"/>
          <w:lang w:val="es-ES"/>
        </w:rPr>
        <w:t xml:space="preserve">y c) </w:t>
      </w:r>
      <w:r w:rsidRPr="00470C7C">
        <w:rPr>
          <w:rFonts w:cs="Arial"/>
          <w:szCs w:val="20"/>
          <w:lang w:val="es-ES"/>
        </w:rPr>
        <w:t xml:space="preserve">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Neto, propietario de la Hacienda Brasil Verde, por el delito previsto en el artí</w:t>
      </w:r>
      <w:r w:rsidR="003B1C45" w:rsidRPr="00470C7C">
        <w:rPr>
          <w:rFonts w:cs="Arial"/>
          <w:szCs w:val="20"/>
          <w:lang w:val="es-ES"/>
        </w:rPr>
        <w:t>culo 203</w:t>
      </w:r>
      <w:r w:rsidRPr="00470C7C">
        <w:rPr>
          <w:rFonts w:cs="Arial"/>
          <w:szCs w:val="20"/>
          <w:lang w:val="es-ES"/>
        </w:rPr>
        <w:t xml:space="preserve"> </w:t>
      </w:r>
      <w:r w:rsidR="00190FF4" w:rsidRPr="00470C7C">
        <w:rPr>
          <w:rFonts w:cs="Arial"/>
          <w:szCs w:val="20"/>
          <w:lang w:val="es-ES"/>
        </w:rPr>
        <w:t xml:space="preserve">(frustrar derechos laborales) </w:t>
      </w:r>
      <w:r w:rsidRPr="00470C7C">
        <w:rPr>
          <w:rFonts w:cs="Arial"/>
          <w:szCs w:val="20"/>
          <w:lang w:val="es-ES"/>
        </w:rPr>
        <w:t>del Código Penal</w:t>
      </w:r>
      <w:r w:rsidRPr="00470C7C">
        <w:rPr>
          <w:rStyle w:val="Refdenotaalpie"/>
          <w:rFonts w:cs="Arial"/>
          <w:lang w:val="es-ES"/>
        </w:rPr>
        <w:footnoteReference w:id="135"/>
      </w:r>
      <w:r w:rsidRPr="00470C7C">
        <w:rPr>
          <w:rFonts w:cs="Arial"/>
          <w:szCs w:val="20"/>
          <w:lang w:val="es-ES"/>
        </w:rPr>
        <w:t xml:space="preserve">. En dicha denuncia el Ministerio Público consideró que: </w:t>
      </w:r>
    </w:p>
    <w:p w14:paraId="31E5252D" w14:textId="77777777" w:rsidR="0003391C" w:rsidRPr="00470C7C" w:rsidRDefault="0003391C" w:rsidP="00140440">
      <w:pPr>
        <w:autoSpaceDE w:val="0"/>
        <w:autoSpaceDN w:val="0"/>
        <w:adjustRightInd w:val="0"/>
        <w:jc w:val="both"/>
        <w:rPr>
          <w:rFonts w:cs="Times New Roman"/>
          <w:szCs w:val="20"/>
          <w:lang w:val="es-ES"/>
        </w:rPr>
      </w:pPr>
    </w:p>
    <w:p w14:paraId="3ECFF9FA"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Times New Roman"/>
          <w:sz w:val="16"/>
          <w:szCs w:val="20"/>
          <w:lang w:val="es-ES"/>
        </w:rPr>
        <w:t xml:space="preserve">La </w:t>
      </w:r>
      <w:r w:rsidRPr="00470C7C">
        <w:rPr>
          <w:rFonts w:cs="Arial"/>
          <w:iCs/>
          <w:sz w:val="16"/>
          <w:szCs w:val="20"/>
          <w:lang w:val="es-ES"/>
        </w:rPr>
        <w:t>Hacienda Brasil Verde</w:t>
      </w:r>
      <w:r w:rsidRPr="00470C7C">
        <w:rPr>
          <w:rFonts w:cs="Arial"/>
          <w:i/>
          <w:iCs/>
          <w:sz w:val="16"/>
          <w:szCs w:val="20"/>
          <w:lang w:val="es-ES"/>
        </w:rPr>
        <w:t xml:space="preserve"> </w:t>
      </w:r>
      <w:r w:rsidRPr="00470C7C">
        <w:rPr>
          <w:rFonts w:cs="Arial"/>
          <w:sz w:val="16"/>
          <w:szCs w:val="20"/>
          <w:lang w:val="es-ES"/>
        </w:rPr>
        <w:t xml:space="preserve">acostumbra contratar trabajadores rurales “peones” temporales para el corte de </w:t>
      </w:r>
      <w:proofErr w:type="spellStart"/>
      <w:r w:rsidRPr="00470C7C">
        <w:rPr>
          <w:rFonts w:cs="Arial"/>
          <w:sz w:val="16"/>
          <w:szCs w:val="20"/>
          <w:lang w:val="es-ES"/>
        </w:rPr>
        <w:t>juquira</w:t>
      </w:r>
      <w:proofErr w:type="spellEnd"/>
      <w:r w:rsidRPr="00470C7C">
        <w:rPr>
          <w:rFonts w:cs="Arial"/>
          <w:sz w:val="16"/>
          <w:szCs w:val="20"/>
          <w:lang w:val="es-ES"/>
        </w:rPr>
        <w:t xml:space="preserve">, mediante el reclutamiento de los mismos, como los 32 (treinta y dos) trabajadores que fueron reclutados [...] en el municipio de </w:t>
      </w:r>
      <w:proofErr w:type="spellStart"/>
      <w:r w:rsidRPr="00470C7C">
        <w:rPr>
          <w:rFonts w:cs="Arial"/>
          <w:sz w:val="16"/>
          <w:szCs w:val="20"/>
          <w:lang w:val="es-ES"/>
        </w:rPr>
        <w:t>Xinguara</w:t>
      </w:r>
      <w:proofErr w:type="spellEnd"/>
      <w:r w:rsidRPr="00470C7C">
        <w:rPr>
          <w:rFonts w:cs="Arial"/>
          <w:sz w:val="16"/>
          <w:szCs w:val="20"/>
          <w:lang w:val="es-ES"/>
        </w:rPr>
        <w:t>, por [...] un empleador, en este caso, el denunciado Raimundo A</w:t>
      </w:r>
      <w:r w:rsidR="00724BEA" w:rsidRPr="00470C7C">
        <w:rPr>
          <w:rFonts w:cs="Arial"/>
          <w:sz w:val="16"/>
          <w:szCs w:val="20"/>
          <w:lang w:val="es-ES"/>
        </w:rPr>
        <w:t>l</w:t>
      </w:r>
      <w:r w:rsidRPr="00470C7C">
        <w:rPr>
          <w:rFonts w:cs="Arial"/>
          <w:sz w:val="16"/>
          <w:szCs w:val="20"/>
          <w:lang w:val="es-ES"/>
        </w:rPr>
        <w:t xml:space="preserve">ves da Rocha, entre el 24 de marzo y el 14 de abril del presente año [...] para trabajar en otra localidad, a cambio de salario. Parte de dicho salario es adelantado antes de llegar al local de trabajo [...] </w:t>
      </w:r>
    </w:p>
    <w:p w14:paraId="4BB5C25D" w14:textId="77777777" w:rsidR="0003391C" w:rsidRPr="00470C7C" w:rsidRDefault="0003391C" w:rsidP="00140440">
      <w:pPr>
        <w:autoSpaceDE w:val="0"/>
        <w:autoSpaceDN w:val="0"/>
        <w:adjustRightInd w:val="0"/>
        <w:ind w:left="720" w:right="720"/>
        <w:jc w:val="both"/>
        <w:rPr>
          <w:rFonts w:cs="Arial"/>
          <w:sz w:val="16"/>
          <w:szCs w:val="20"/>
          <w:lang w:val="es-ES"/>
        </w:rPr>
      </w:pPr>
    </w:p>
    <w:p w14:paraId="16EE3BC2"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Al llegar a la hacienda, los trabajadores son alojados en barracas cubiertas de plástico y paja, sin protección lateral [...] El agua que beben [...] no es propia para consumo humano, pues sirve de local de baño y bebedero de animales de la hacienda [...] La alimentación, como la carne expuesta a los insectos y a la intemperie, es entregada por </w:t>
      </w:r>
      <w:r w:rsidR="005504F7" w:rsidRPr="00470C7C">
        <w:rPr>
          <w:rFonts w:cs="Arial"/>
          <w:sz w:val="16"/>
          <w:szCs w:val="20"/>
          <w:lang w:val="es-ES"/>
        </w:rPr>
        <w:t xml:space="preserve">[uno de los] </w:t>
      </w:r>
      <w:r w:rsidRPr="00470C7C">
        <w:rPr>
          <w:rFonts w:cs="Arial"/>
          <w:sz w:val="16"/>
          <w:szCs w:val="20"/>
          <w:lang w:val="es-ES"/>
        </w:rPr>
        <w:t>denunciado</w:t>
      </w:r>
      <w:r w:rsidR="005504F7" w:rsidRPr="00470C7C">
        <w:rPr>
          <w:rFonts w:cs="Arial"/>
          <w:sz w:val="16"/>
          <w:szCs w:val="20"/>
          <w:lang w:val="es-ES"/>
        </w:rPr>
        <w:t>[s]</w:t>
      </w:r>
      <w:r w:rsidRPr="00470C7C">
        <w:rPr>
          <w:rFonts w:cs="Arial"/>
          <w:sz w:val="16"/>
          <w:szCs w:val="20"/>
          <w:lang w:val="es-ES"/>
        </w:rPr>
        <w:t xml:space="preserve"> [...] con el sistema de </w:t>
      </w:r>
      <w:proofErr w:type="spellStart"/>
      <w:r w:rsidR="00190FF4" w:rsidRPr="00470C7C">
        <w:rPr>
          <w:rFonts w:cs="Arial"/>
          <w:i/>
          <w:iCs/>
          <w:sz w:val="16"/>
          <w:szCs w:val="20"/>
          <w:lang w:val="es-ES"/>
        </w:rPr>
        <w:t>barracã</w:t>
      </w:r>
      <w:r w:rsidRPr="00470C7C">
        <w:rPr>
          <w:rFonts w:cs="Arial"/>
          <w:i/>
          <w:iCs/>
          <w:sz w:val="16"/>
          <w:szCs w:val="20"/>
          <w:lang w:val="es-ES"/>
        </w:rPr>
        <w:t>o</w:t>
      </w:r>
      <w:proofErr w:type="spellEnd"/>
      <w:r w:rsidRPr="00470C7C">
        <w:rPr>
          <w:rFonts w:cs="Arial"/>
          <w:i/>
          <w:iCs/>
          <w:sz w:val="16"/>
          <w:szCs w:val="20"/>
          <w:lang w:val="es-ES"/>
        </w:rPr>
        <w:t xml:space="preserve"> </w:t>
      </w:r>
      <w:r w:rsidRPr="00470C7C">
        <w:rPr>
          <w:rFonts w:cs="Arial"/>
          <w:sz w:val="16"/>
          <w:szCs w:val="20"/>
          <w:lang w:val="es-ES"/>
        </w:rPr>
        <w:t xml:space="preserve">y por el [...] intermediario de la hacienda a través del gerente [...] </w:t>
      </w:r>
      <w:proofErr w:type="spellStart"/>
      <w:r w:rsidR="00D60654" w:rsidRPr="00470C7C">
        <w:rPr>
          <w:rFonts w:cs="Arial"/>
          <w:sz w:val="16"/>
          <w:szCs w:val="20"/>
          <w:lang w:val="es-ES"/>
        </w:rPr>
        <w:t>Antônio</w:t>
      </w:r>
      <w:proofErr w:type="spellEnd"/>
      <w:r w:rsidR="00D60654" w:rsidRPr="00470C7C">
        <w:rPr>
          <w:rFonts w:cs="Arial"/>
          <w:sz w:val="16"/>
          <w:szCs w:val="20"/>
          <w:lang w:val="es-ES"/>
        </w:rPr>
        <w:t xml:space="preserve"> </w:t>
      </w:r>
      <w:r w:rsidRPr="00470C7C">
        <w:rPr>
          <w:rFonts w:cs="Arial"/>
          <w:sz w:val="16"/>
          <w:szCs w:val="20"/>
          <w:lang w:val="es-ES"/>
        </w:rPr>
        <w:t>Alves Vieira.</w:t>
      </w:r>
    </w:p>
    <w:p w14:paraId="4C775060" w14:textId="77777777" w:rsidR="0003391C" w:rsidRPr="00470C7C" w:rsidRDefault="0003391C" w:rsidP="00140440">
      <w:pPr>
        <w:autoSpaceDE w:val="0"/>
        <w:autoSpaceDN w:val="0"/>
        <w:adjustRightInd w:val="0"/>
        <w:ind w:left="720" w:right="720"/>
        <w:jc w:val="both"/>
        <w:rPr>
          <w:rFonts w:cs="Arial"/>
          <w:sz w:val="16"/>
          <w:szCs w:val="20"/>
          <w:lang w:val="es-ES"/>
        </w:rPr>
      </w:pPr>
    </w:p>
    <w:p w14:paraId="185356FB"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Varios trabajadores [...] declararon que tenían prohibido salir de la hacienda mientras tuvieran deudas, bajo amenaza de muerte [...] al adquirir los alimentos a precios exorbitantes [...] y por iniciar el trabajo con la deuda proveniente del hotel [...] el salario irrisorio que recibirían nunca sería suficiente para pagar sus deudas. Al respecto, el propietario de la hacienda lucra al disponer de los trabajadores que no reciben ningún salario por el servicio prestado [...]</w:t>
      </w:r>
    </w:p>
    <w:p w14:paraId="503CA86F" w14:textId="77777777" w:rsidR="0003391C" w:rsidRPr="00470C7C" w:rsidRDefault="0003391C" w:rsidP="00140440">
      <w:pPr>
        <w:autoSpaceDE w:val="0"/>
        <w:autoSpaceDN w:val="0"/>
        <w:adjustRightInd w:val="0"/>
        <w:ind w:left="720" w:right="720"/>
        <w:jc w:val="both"/>
        <w:rPr>
          <w:rFonts w:cs="Arial"/>
          <w:sz w:val="16"/>
          <w:szCs w:val="20"/>
          <w:lang w:val="es-ES"/>
        </w:rPr>
      </w:pPr>
    </w:p>
    <w:p w14:paraId="42168E94"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 La única salida de la hacienda limita con </w:t>
      </w:r>
      <w:r w:rsidR="005504F7" w:rsidRPr="00470C7C">
        <w:rPr>
          <w:rFonts w:cs="Arial"/>
          <w:sz w:val="16"/>
          <w:szCs w:val="20"/>
          <w:lang w:val="es-ES"/>
        </w:rPr>
        <w:t xml:space="preserve">los inmuebles </w:t>
      </w:r>
      <w:r w:rsidRPr="00470C7C">
        <w:rPr>
          <w:rFonts w:cs="Arial"/>
          <w:sz w:val="16"/>
          <w:szCs w:val="20"/>
          <w:lang w:val="es-ES"/>
        </w:rPr>
        <w:t>de la oficina y con la casa del gerente quien no permite la salida de los trabajadores [...]</w:t>
      </w:r>
    </w:p>
    <w:p w14:paraId="76689EF3" w14:textId="77777777" w:rsidR="0003391C" w:rsidRPr="00470C7C" w:rsidRDefault="0003391C" w:rsidP="00140440">
      <w:pPr>
        <w:autoSpaceDE w:val="0"/>
        <w:autoSpaceDN w:val="0"/>
        <w:adjustRightInd w:val="0"/>
        <w:ind w:left="720" w:right="720"/>
        <w:jc w:val="both"/>
        <w:rPr>
          <w:rFonts w:cs="Arial"/>
          <w:sz w:val="16"/>
          <w:szCs w:val="20"/>
          <w:lang w:val="es-ES"/>
        </w:rPr>
      </w:pPr>
    </w:p>
    <w:p w14:paraId="26A6D2A8"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Aunado a esos hechos, la presentación de la fiscalización se dio con base en un aviso previo de un trabajador [...] y [se encontraron] varios pagarés en blanco, con las firmas de los trabajadores.</w:t>
      </w:r>
    </w:p>
    <w:p w14:paraId="68EC2C9A" w14:textId="77777777" w:rsidR="0003391C" w:rsidRPr="00470C7C" w:rsidRDefault="0003391C" w:rsidP="00140440">
      <w:pPr>
        <w:autoSpaceDE w:val="0"/>
        <w:autoSpaceDN w:val="0"/>
        <w:adjustRightInd w:val="0"/>
        <w:ind w:left="720" w:right="720"/>
        <w:jc w:val="both"/>
        <w:rPr>
          <w:rFonts w:cs="Arial"/>
          <w:sz w:val="16"/>
          <w:szCs w:val="20"/>
          <w:lang w:val="es-ES"/>
        </w:rPr>
      </w:pPr>
    </w:p>
    <w:p w14:paraId="47780B47"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 En diciembre de 1996 fueron constatadas las mismas irregularidades por la fiscalización, así como, en 1989, ya había noticias de delitos contra la organización del trabajo y reducción a condición análoga a la </w:t>
      </w:r>
      <w:r w:rsidR="00696CD2" w:rsidRPr="00470C7C">
        <w:rPr>
          <w:rFonts w:cs="Arial"/>
          <w:sz w:val="16"/>
          <w:szCs w:val="20"/>
          <w:lang w:val="es-ES"/>
        </w:rPr>
        <w:t>de esclavo</w:t>
      </w:r>
      <w:r w:rsidRPr="00470C7C">
        <w:rPr>
          <w:rFonts w:cs="Arial"/>
          <w:sz w:val="16"/>
          <w:szCs w:val="20"/>
          <w:lang w:val="es-ES"/>
        </w:rPr>
        <w:t xml:space="preserve">. La no investigación de los hechos en la época propia y la prescripción de los demás delitos, cuando los hechos llegaron a conocimiento del Ministerio Público Federal, </w:t>
      </w:r>
      <w:r w:rsidR="00A916B1" w:rsidRPr="00470C7C">
        <w:rPr>
          <w:rFonts w:cs="Arial"/>
          <w:sz w:val="16"/>
          <w:szCs w:val="20"/>
          <w:lang w:val="es-ES"/>
        </w:rPr>
        <w:t xml:space="preserve">se hizo </w:t>
      </w:r>
      <w:r w:rsidRPr="00470C7C">
        <w:rPr>
          <w:rFonts w:cs="Arial"/>
          <w:sz w:val="16"/>
          <w:szCs w:val="20"/>
          <w:lang w:val="es-ES"/>
        </w:rPr>
        <w:t xml:space="preserve">imposible </w:t>
      </w:r>
      <w:r w:rsidR="00A916B1" w:rsidRPr="00470C7C">
        <w:rPr>
          <w:rFonts w:cs="Arial"/>
          <w:sz w:val="16"/>
          <w:szCs w:val="20"/>
          <w:lang w:val="es-ES"/>
        </w:rPr>
        <w:t xml:space="preserve">proponer </w:t>
      </w:r>
      <w:r w:rsidRPr="00470C7C">
        <w:rPr>
          <w:rFonts w:cs="Arial"/>
          <w:sz w:val="16"/>
          <w:szCs w:val="20"/>
          <w:lang w:val="es-ES"/>
        </w:rPr>
        <w:t>la acción penal [...] El propietario de la hacienda, tercero denunciado, tenía plena consciencia de que, al menos, estaría cometiendo un delito de frustración de derechos de los trabajadores, mediante fraude</w:t>
      </w:r>
      <w:r w:rsidRPr="00470C7C">
        <w:rPr>
          <w:rStyle w:val="Refdenotaalpie"/>
          <w:rFonts w:cs="Arial"/>
          <w:sz w:val="16"/>
          <w:lang w:val="es-ES"/>
        </w:rPr>
        <w:footnoteReference w:id="136"/>
      </w:r>
      <w:r w:rsidRPr="00470C7C">
        <w:rPr>
          <w:rFonts w:cs="Times New Roman"/>
          <w:sz w:val="16"/>
          <w:szCs w:val="20"/>
          <w:lang w:val="es-ES"/>
        </w:rPr>
        <w:t>.</w:t>
      </w:r>
    </w:p>
    <w:p w14:paraId="63557BE2" w14:textId="77777777" w:rsidR="0003391C" w:rsidRPr="00470C7C" w:rsidRDefault="0003391C" w:rsidP="00140440">
      <w:pPr>
        <w:autoSpaceDE w:val="0"/>
        <w:autoSpaceDN w:val="0"/>
        <w:adjustRightInd w:val="0"/>
        <w:jc w:val="both"/>
        <w:rPr>
          <w:rFonts w:cs="Times New Roman"/>
          <w:szCs w:val="20"/>
          <w:lang w:val="es-ES"/>
        </w:rPr>
      </w:pPr>
    </w:p>
    <w:p w14:paraId="617E65D1" w14:textId="77777777" w:rsidR="0003391C" w:rsidRPr="00470C7C" w:rsidRDefault="00917270"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D</w:t>
      </w:r>
      <w:r w:rsidR="0003391C" w:rsidRPr="00470C7C">
        <w:rPr>
          <w:rFonts w:cs="Arial"/>
          <w:szCs w:val="20"/>
          <w:lang w:val="es-ES"/>
        </w:rPr>
        <w:t xml:space="preserve">ebido a que la pena prevista para el delito del que se </w:t>
      </w:r>
      <w:r w:rsidRPr="00470C7C">
        <w:rPr>
          <w:rFonts w:cs="Arial"/>
          <w:szCs w:val="20"/>
          <w:lang w:val="es-ES"/>
        </w:rPr>
        <w:t xml:space="preserve">acusaba el señor </w:t>
      </w:r>
      <w:proofErr w:type="spellStart"/>
      <w:r w:rsidRPr="00470C7C">
        <w:rPr>
          <w:rFonts w:cs="Arial"/>
          <w:szCs w:val="20"/>
          <w:lang w:val="es-ES"/>
        </w:rPr>
        <w:t>Quagliato</w:t>
      </w:r>
      <w:proofErr w:type="spellEnd"/>
      <w:r w:rsidRPr="00470C7C">
        <w:rPr>
          <w:rFonts w:cs="Arial"/>
          <w:szCs w:val="20"/>
          <w:lang w:val="es-ES"/>
        </w:rPr>
        <w:t xml:space="preserve"> Neto </w:t>
      </w:r>
      <w:r w:rsidR="0003391C" w:rsidRPr="00470C7C">
        <w:rPr>
          <w:rFonts w:cs="Arial"/>
          <w:szCs w:val="20"/>
          <w:lang w:val="es-ES"/>
        </w:rPr>
        <w:t xml:space="preserve">era menor a un año, </w:t>
      </w:r>
      <w:r w:rsidRPr="00470C7C">
        <w:rPr>
          <w:rFonts w:cs="Arial"/>
          <w:szCs w:val="20"/>
          <w:lang w:val="es-ES"/>
        </w:rPr>
        <w:t xml:space="preserve">el Ministerio Público propuso suspender </w:t>
      </w:r>
      <w:r w:rsidR="0003391C" w:rsidRPr="00470C7C">
        <w:rPr>
          <w:rFonts w:cs="Arial"/>
          <w:szCs w:val="20"/>
          <w:lang w:val="es-ES"/>
        </w:rPr>
        <w:t>por dos años el proceso en su contra si aceptaba cumplir con determinadas condiciones impuestas por el juez federal</w:t>
      </w:r>
      <w:r w:rsidR="0003391C" w:rsidRPr="00470C7C">
        <w:rPr>
          <w:rStyle w:val="Refdenotaalpie"/>
          <w:rFonts w:cs="Arial"/>
          <w:lang w:val="es-ES"/>
        </w:rPr>
        <w:footnoteReference w:id="137"/>
      </w:r>
      <w:r w:rsidR="0003391C" w:rsidRPr="00470C7C">
        <w:rPr>
          <w:rFonts w:cs="Arial"/>
          <w:szCs w:val="20"/>
          <w:lang w:val="es-ES"/>
        </w:rPr>
        <w:t>.</w:t>
      </w:r>
    </w:p>
    <w:p w14:paraId="4914DF2A"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40C218BD"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w:t>
      </w:r>
      <w:r w:rsidR="00A916B1" w:rsidRPr="00470C7C">
        <w:rPr>
          <w:rFonts w:cs="Arial"/>
          <w:szCs w:val="20"/>
          <w:lang w:val="es-ES"/>
        </w:rPr>
        <w:t>n</w:t>
      </w:r>
      <w:r w:rsidRPr="00470C7C">
        <w:rPr>
          <w:rFonts w:cs="Arial"/>
          <w:szCs w:val="20"/>
          <w:lang w:val="es-ES"/>
        </w:rPr>
        <w:t xml:space="preserve"> julio de 1997 el juez federal expidió una citación para los señores Alves de Rocha y Alves Vieira</w:t>
      </w:r>
      <w:r w:rsidRPr="00470C7C">
        <w:rPr>
          <w:rStyle w:val="Refdenotaalpie"/>
          <w:rFonts w:cs="Arial"/>
          <w:lang w:val="es-ES"/>
        </w:rPr>
        <w:footnoteReference w:id="138"/>
      </w:r>
      <w:r w:rsidR="00C867DD" w:rsidRPr="00470C7C">
        <w:rPr>
          <w:rFonts w:cs="Arial"/>
          <w:szCs w:val="20"/>
          <w:lang w:val="es-ES"/>
        </w:rPr>
        <w:t>.</w:t>
      </w:r>
      <w:r w:rsidR="00BE60E8" w:rsidRPr="00470C7C">
        <w:rPr>
          <w:rFonts w:cs="Arial"/>
          <w:szCs w:val="20"/>
          <w:lang w:val="es-ES"/>
        </w:rPr>
        <w:t xml:space="preserve"> </w:t>
      </w:r>
      <w:r w:rsidR="00C867DD" w:rsidRPr="00470C7C">
        <w:rPr>
          <w:rFonts w:cs="Arial"/>
          <w:szCs w:val="20"/>
          <w:lang w:val="es-ES"/>
        </w:rPr>
        <w:t>E</w:t>
      </w:r>
      <w:r w:rsidRPr="00470C7C">
        <w:rPr>
          <w:rFonts w:cs="Arial"/>
          <w:szCs w:val="20"/>
          <w:lang w:val="es-ES"/>
        </w:rPr>
        <w:t xml:space="preserve">l 17 de septiembre de 1997 el juez federal ordenó la citación del señor </w:t>
      </w:r>
      <w:proofErr w:type="spellStart"/>
      <w:r w:rsidRPr="00470C7C">
        <w:rPr>
          <w:rFonts w:cs="Arial"/>
          <w:szCs w:val="20"/>
          <w:lang w:val="es-ES"/>
        </w:rPr>
        <w:t>Quagliato</w:t>
      </w:r>
      <w:proofErr w:type="spellEnd"/>
      <w:r w:rsidRPr="00470C7C">
        <w:rPr>
          <w:rFonts w:cs="Arial"/>
          <w:szCs w:val="20"/>
          <w:lang w:val="es-ES"/>
        </w:rPr>
        <w:t xml:space="preserve"> Neto y condicionó la suspensión de su proceso a la aceptación y cumplimiento de una serie de medidas</w:t>
      </w:r>
      <w:r w:rsidRPr="00470C7C">
        <w:rPr>
          <w:rStyle w:val="Refdenotaalpie"/>
          <w:rFonts w:cs="Arial"/>
          <w:lang w:val="es-ES"/>
        </w:rPr>
        <w:footnoteReference w:id="139"/>
      </w:r>
      <w:r w:rsidRPr="00470C7C">
        <w:rPr>
          <w:rFonts w:cs="Arial"/>
          <w:szCs w:val="20"/>
          <w:lang w:val="es-ES"/>
        </w:rPr>
        <w:t>.</w:t>
      </w:r>
    </w:p>
    <w:p w14:paraId="713BD343" w14:textId="77777777" w:rsidR="0003391C" w:rsidRPr="00470C7C" w:rsidRDefault="0003391C" w:rsidP="00140440">
      <w:pPr>
        <w:pStyle w:val="Prrafodelista"/>
        <w:autoSpaceDE w:val="0"/>
        <w:autoSpaceDN w:val="0"/>
        <w:adjustRightInd w:val="0"/>
        <w:ind w:left="0"/>
        <w:contextualSpacing w:val="0"/>
        <w:rPr>
          <w:rFonts w:cs="Arial"/>
          <w:szCs w:val="20"/>
          <w:lang w:val="es-ES"/>
        </w:rPr>
      </w:pPr>
      <w:r w:rsidRPr="00470C7C">
        <w:rPr>
          <w:rFonts w:cs="Arial"/>
          <w:szCs w:val="20"/>
          <w:lang w:val="es-ES"/>
        </w:rPr>
        <w:t xml:space="preserve"> </w:t>
      </w:r>
    </w:p>
    <w:p w14:paraId="1F24B1EB" w14:textId="77777777" w:rsidR="00BE60E8"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Entre septiembre de 1997 y junio de 1999 se enviaron varias citaciones al señor 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Neto</w:t>
      </w:r>
      <w:r w:rsidRPr="00470C7C">
        <w:rPr>
          <w:rStyle w:val="Refdenotaalpie"/>
          <w:rFonts w:cs="Arial"/>
          <w:lang w:val="es-ES"/>
        </w:rPr>
        <w:footnoteReference w:id="140"/>
      </w:r>
      <w:r w:rsidR="00C867DD" w:rsidRPr="00470C7C">
        <w:rPr>
          <w:rFonts w:cs="Arial"/>
          <w:szCs w:val="20"/>
          <w:lang w:val="es-ES"/>
        </w:rPr>
        <w:t xml:space="preserve">. </w:t>
      </w:r>
    </w:p>
    <w:p w14:paraId="5DCA5285" w14:textId="77777777" w:rsidR="00BE60E8" w:rsidRPr="00470C7C" w:rsidRDefault="00BE60E8" w:rsidP="00BE60E8">
      <w:pPr>
        <w:pStyle w:val="Prrafodelista"/>
        <w:rPr>
          <w:rFonts w:cs="Arial"/>
          <w:szCs w:val="20"/>
          <w:lang w:val="es-ES"/>
        </w:rPr>
      </w:pPr>
    </w:p>
    <w:p w14:paraId="35CCA377" w14:textId="77777777" w:rsidR="00FD7C20" w:rsidRPr="00470C7C" w:rsidRDefault="00FD7C20" w:rsidP="00BE60E8">
      <w:pPr>
        <w:pStyle w:val="Prrafodelista"/>
        <w:rPr>
          <w:rFonts w:cs="Arial"/>
          <w:i/>
          <w:szCs w:val="20"/>
          <w:lang w:val="es-ES"/>
        </w:rPr>
      </w:pPr>
      <w:r w:rsidRPr="00470C7C">
        <w:rPr>
          <w:i/>
          <w:iCs/>
          <w:lang w:val="es-ES"/>
        </w:rPr>
        <w:t>El procedimiento realizado por el Ministerio del Trabajo relativo a una segunda visita en 1997</w:t>
      </w:r>
    </w:p>
    <w:p w14:paraId="06A7DC55" w14:textId="77777777" w:rsidR="00FD7C20" w:rsidRPr="00470C7C" w:rsidRDefault="00FD7C20" w:rsidP="00FD7C20">
      <w:pPr>
        <w:pStyle w:val="Prrafodelista"/>
        <w:ind w:left="0"/>
      </w:pPr>
    </w:p>
    <w:p w14:paraId="70BC6305" w14:textId="77777777" w:rsidR="00FD7C20" w:rsidRPr="00470C7C" w:rsidRDefault="00FD7C20" w:rsidP="00FD7C2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31 de julio de 1997 la Procuraduría Regional del Trabajo (PRT) de la 22ª región informó a la PRT de la 8a región sobre "la irregularidad concerniente al tráfico de trabajadores del interior de Piauí para otros Estados, inclusive para el Estado de Pará"</w:t>
      </w:r>
      <w:r w:rsidRPr="00470C7C">
        <w:rPr>
          <w:rStyle w:val="Refdenotaalpie"/>
          <w:rFonts w:cs="Arial"/>
          <w:lang w:val="es-ES"/>
        </w:rPr>
        <w:footnoteReference w:id="141"/>
      </w:r>
      <w:r w:rsidRPr="00470C7C">
        <w:rPr>
          <w:rFonts w:cs="Arial"/>
          <w:szCs w:val="20"/>
          <w:lang w:val="es-ES"/>
        </w:rPr>
        <w:t xml:space="preserve">. El 12 de agosto de 1997 se instauró un procedimiento administrativo en la PRT de la 8a región, solicitando a la Procuraduría de la República la determinación de los posibles ilícitos penales cometidos con relación al tráfico de </w:t>
      </w:r>
      <w:r w:rsidRPr="00470C7C">
        <w:rPr>
          <w:rFonts w:cs="Arial"/>
          <w:bCs/>
          <w:szCs w:val="20"/>
          <w:lang w:val="es-ES"/>
        </w:rPr>
        <w:t>trabajadores</w:t>
      </w:r>
      <w:r w:rsidRPr="00470C7C">
        <w:rPr>
          <w:rStyle w:val="Refdenotaalpie"/>
          <w:rFonts w:cs="Arial"/>
          <w:bCs/>
          <w:lang w:val="es-ES"/>
        </w:rPr>
        <w:footnoteReference w:id="142"/>
      </w:r>
      <w:r w:rsidRPr="00470C7C">
        <w:rPr>
          <w:rFonts w:cs="Arial"/>
          <w:bCs/>
          <w:szCs w:val="20"/>
          <w:lang w:val="es-ES"/>
        </w:rPr>
        <w:t>.</w:t>
      </w:r>
    </w:p>
    <w:p w14:paraId="062FB539" w14:textId="77777777" w:rsidR="00FD7C20" w:rsidRPr="00470C7C" w:rsidRDefault="00FD7C20" w:rsidP="00FD7C20">
      <w:pPr>
        <w:pStyle w:val="Prrafodelista"/>
        <w:autoSpaceDE w:val="0"/>
        <w:autoSpaceDN w:val="0"/>
        <w:adjustRightInd w:val="0"/>
        <w:ind w:left="0"/>
        <w:contextualSpacing w:val="0"/>
        <w:rPr>
          <w:rFonts w:cs="Arial"/>
          <w:szCs w:val="20"/>
          <w:lang w:val="es-ES"/>
        </w:rPr>
      </w:pPr>
    </w:p>
    <w:p w14:paraId="6F480FAA" w14:textId="77777777" w:rsidR="00FD7C20" w:rsidRPr="00470C7C" w:rsidRDefault="00FD7C20" w:rsidP="00FD7C2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14 de noviembre de 1997 la Delegación Regional del Trabajo (DRT) de Pará informó, en relación con la Hacienda Brasil Verde,</w:t>
      </w:r>
      <w:r w:rsidRPr="00470C7C">
        <w:rPr>
          <w:rFonts w:cs="Arial"/>
          <w:i/>
          <w:iCs/>
          <w:szCs w:val="20"/>
          <w:lang w:val="es-ES"/>
        </w:rPr>
        <w:t xml:space="preserve"> </w:t>
      </w:r>
      <w:r w:rsidRPr="00470C7C">
        <w:rPr>
          <w:rFonts w:cs="Arial"/>
          <w:szCs w:val="20"/>
          <w:lang w:val="es-ES"/>
        </w:rPr>
        <w:t xml:space="preserve">que aun cuando existían algunas fallas, como el cobro de calzado a los trabajadores y la falta de elementos referentes a la seguridad e higiene en el trabajo, la DRT "[había] </w:t>
      </w:r>
      <w:proofErr w:type="spellStart"/>
      <w:r w:rsidRPr="00470C7C">
        <w:rPr>
          <w:rFonts w:cs="Arial"/>
          <w:szCs w:val="20"/>
          <w:lang w:val="es-ES"/>
        </w:rPr>
        <w:t>pref</w:t>
      </w:r>
      <w:proofErr w:type="spellEnd"/>
      <w:r w:rsidRPr="00470C7C">
        <w:rPr>
          <w:rFonts w:cs="Arial"/>
          <w:szCs w:val="20"/>
          <w:lang w:val="es-ES"/>
        </w:rPr>
        <w:t>[</w:t>
      </w:r>
      <w:proofErr w:type="spellStart"/>
      <w:r w:rsidRPr="00470C7C">
        <w:rPr>
          <w:rFonts w:cs="Arial"/>
          <w:szCs w:val="20"/>
          <w:lang w:val="es-ES"/>
        </w:rPr>
        <w:t>erido</w:t>
      </w:r>
      <w:proofErr w:type="spellEnd"/>
      <w:r w:rsidRPr="00470C7C">
        <w:rPr>
          <w:rFonts w:cs="Arial"/>
          <w:szCs w:val="20"/>
          <w:lang w:val="es-ES"/>
        </w:rPr>
        <w:t xml:space="preserve">] no actuar, sino orientar en el sentido que las fallas sean corregidas y [...] tomadas en cuenta las normas laborales. [El] procedimiento fue una forma de incentivo y estímulo por el progreso presentado por el empleador para adecuarse al ideal exigido </w:t>
      </w:r>
      <w:r w:rsidRPr="00470C7C">
        <w:rPr>
          <w:rFonts w:cs="Arial"/>
          <w:bCs/>
          <w:szCs w:val="20"/>
          <w:lang w:val="es-ES"/>
        </w:rPr>
        <w:t>por la legislación"</w:t>
      </w:r>
      <w:r w:rsidRPr="00470C7C">
        <w:rPr>
          <w:rStyle w:val="Refdenotaalpie"/>
          <w:rFonts w:cs="Arial"/>
          <w:bCs/>
          <w:lang w:val="es-ES"/>
        </w:rPr>
        <w:footnoteReference w:id="143"/>
      </w:r>
      <w:r w:rsidRPr="00470C7C">
        <w:rPr>
          <w:rFonts w:cs="Times New Roman"/>
          <w:bCs/>
          <w:szCs w:val="20"/>
          <w:lang w:val="es-ES"/>
        </w:rPr>
        <w:t>.</w:t>
      </w:r>
    </w:p>
    <w:p w14:paraId="3A8DE34C" w14:textId="77777777" w:rsidR="00FD7C20" w:rsidRPr="00470C7C" w:rsidRDefault="00FD7C20" w:rsidP="00FD7C20">
      <w:pPr>
        <w:pStyle w:val="Prrafodelista"/>
        <w:contextualSpacing w:val="0"/>
        <w:rPr>
          <w:rFonts w:cs="Arial"/>
          <w:szCs w:val="20"/>
          <w:lang w:val="es-ES"/>
        </w:rPr>
      </w:pPr>
    </w:p>
    <w:p w14:paraId="70559BDF" w14:textId="77777777" w:rsidR="00FD7C20" w:rsidRPr="00470C7C" w:rsidRDefault="00FD7C20" w:rsidP="00FD7C2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13 de enero de 1998 la Procuradora del Trabajo solicitó una nueva inspección a la Hacienda Brasil Verde</w:t>
      </w:r>
      <w:r w:rsidRPr="00470C7C">
        <w:rPr>
          <w:rStyle w:val="Refdenotaalpie"/>
          <w:rFonts w:cs="Arial"/>
          <w:lang w:val="es-ES"/>
        </w:rPr>
        <w:footnoteReference w:id="144"/>
      </w:r>
      <w:r w:rsidRPr="00470C7C">
        <w:rPr>
          <w:rFonts w:cs="Arial"/>
          <w:iCs/>
          <w:szCs w:val="20"/>
          <w:lang w:val="es-ES"/>
        </w:rPr>
        <w:t>. El 5 de marzo de 1998 la DRT de Pará respondió que la diligencia no había sido realizada pero que “estaba agendada”</w:t>
      </w:r>
      <w:r w:rsidRPr="00470C7C">
        <w:rPr>
          <w:rStyle w:val="Refdenotaalpie"/>
          <w:rFonts w:cs="Arial"/>
          <w:iCs/>
          <w:lang w:val="es-ES"/>
        </w:rPr>
        <w:footnoteReference w:id="145"/>
      </w:r>
      <w:r w:rsidRPr="00470C7C">
        <w:rPr>
          <w:rFonts w:cs="Arial"/>
          <w:iCs/>
          <w:szCs w:val="20"/>
          <w:lang w:val="es-ES"/>
        </w:rPr>
        <w:t>.</w:t>
      </w:r>
    </w:p>
    <w:p w14:paraId="1F499BDF" w14:textId="77777777" w:rsidR="00FD7C20" w:rsidRPr="00470C7C" w:rsidRDefault="00FD7C20" w:rsidP="00FD7C20">
      <w:pPr>
        <w:autoSpaceDE w:val="0"/>
        <w:autoSpaceDN w:val="0"/>
        <w:adjustRightInd w:val="0"/>
        <w:jc w:val="both"/>
        <w:rPr>
          <w:rFonts w:cs="Arial"/>
          <w:iCs/>
          <w:szCs w:val="20"/>
          <w:lang w:val="es-ES"/>
        </w:rPr>
      </w:pPr>
    </w:p>
    <w:p w14:paraId="65ED762D" w14:textId="77777777" w:rsidR="00FD7C20" w:rsidRPr="00470C7C" w:rsidRDefault="00FD7C20" w:rsidP="00FD7C2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El 17 de junio de 1998 el Ministerio Público del Trabajo solicitó información sobre la “situación actual” de la Hacienda Brasil Verde con base en las noticias del diario "O Liberal" de 31 de mayo de 1998</w:t>
      </w:r>
      <w:r w:rsidRPr="00470C7C">
        <w:rPr>
          <w:rStyle w:val="Refdenotaalpie"/>
          <w:rFonts w:cs="Arial"/>
          <w:lang w:val="es-ES"/>
        </w:rPr>
        <w:footnoteReference w:id="146"/>
      </w:r>
      <w:r w:rsidRPr="00470C7C">
        <w:rPr>
          <w:rFonts w:cs="Arial"/>
          <w:szCs w:val="20"/>
          <w:lang w:val="es-ES"/>
        </w:rPr>
        <w:t>.</w:t>
      </w:r>
      <w:r w:rsidRPr="00470C7C">
        <w:rPr>
          <w:rFonts w:cs="Times New Roman"/>
          <w:szCs w:val="20"/>
          <w:lang w:val="es-ES"/>
        </w:rPr>
        <w:t xml:space="preserve"> </w:t>
      </w:r>
      <w:r w:rsidRPr="00470C7C">
        <w:rPr>
          <w:rFonts w:cs="Arial"/>
          <w:szCs w:val="20"/>
          <w:lang w:val="es-ES"/>
        </w:rPr>
        <w:t>El 8 de julio de 1998 el Delegado Regional del Trabajo informó que había sido realizada la fiscalización de la hacienda en octubre de 1997, en la que se había constatado un "progreso considerable" en relación con las irregularidades constatadas en la fiscalización anterior</w:t>
      </w:r>
      <w:r w:rsidRPr="00470C7C">
        <w:rPr>
          <w:rStyle w:val="Refdenotaalpie"/>
          <w:rFonts w:cs="Arial"/>
          <w:lang w:val="es-ES"/>
        </w:rPr>
        <w:footnoteReference w:id="147"/>
      </w:r>
      <w:r w:rsidRPr="00470C7C">
        <w:rPr>
          <w:rFonts w:cs="Arial"/>
          <w:szCs w:val="20"/>
          <w:lang w:val="es-ES"/>
        </w:rPr>
        <w:t>.</w:t>
      </w:r>
    </w:p>
    <w:p w14:paraId="61DB9714" w14:textId="77777777" w:rsidR="00FD7C20" w:rsidRPr="00470C7C" w:rsidRDefault="00FD7C20" w:rsidP="00FD7C20">
      <w:pPr>
        <w:pStyle w:val="Prrafodelista"/>
        <w:ind w:left="0"/>
      </w:pPr>
    </w:p>
    <w:p w14:paraId="403FC856" w14:textId="77777777" w:rsidR="00BE60E8" w:rsidRPr="00470C7C" w:rsidRDefault="00BE60E8" w:rsidP="008B0BCC">
      <w:pPr>
        <w:pStyle w:val="Ttulo2"/>
        <w:numPr>
          <w:ilvl w:val="0"/>
          <w:numId w:val="17"/>
        </w:numPr>
        <w:rPr>
          <w:rFonts w:eastAsia="Batang"/>
          <w:noProof/>
          <w:lang w:eastAsia="es-ES"/>
        </w:rPr>
      </w:pPr>
      <w:bookmarkStart w:id="283" w:name="_Toc464813938"/>
      <w:r w:rsidRPr="00470C7C">
        <w:rPr>
          <w:rFonts w:eastAsia="Batang"/>
          <w:noProof/>
          <w:lang w:eastAsia="es-ES"/>
        </w:rPr>
        <w:t>Hechos dentro de la competencia temporal de la Corte</w:t>
      </w:r>
      <w:bookmarkEnd w:id="283"/>
    </w:p>
    <w:p w14:paraId="69F55E8F" w14:textId="77777777" w:rsidR="00BE60E8" w:rsidRPr="00470C7C" w:rsidRDefault="00BE60E8" w:rsidP="00BE60E8">
      <w:pPr>
        <w:pStyle w:val="Prrafodelista"/>
        <w:autoSpaceDE w:val="0"/>
        <w:autoSpaceDN w:val="0"/>
        <w:adjustRightInd w:val="0"/>
        <w:ind w:left="0"/>
        <w:contextualSpacing w:val="0"/>
        <w:rPr>
          <w:rFonts w:cs="Arial"/>
          <w:szCs w:val="20"/>
          <w:lang w:val="es-ES"/>
        </w:rPr>
      </w:pPr>
    </w:p>
    <w:p w14:paraId="0539938E" w14:textId="77777777" w:rsidR="004B71B2" w:rsidRPr="00470C7C" w:rsidRDefault="002D57E5" w:rsidP="008622F3">
      <w:pPr>
        <w:pStyle w:val="Ttulo3"/>
      </w:pPr>
      <w:bookmarkStart w:id="284" w:name="_Toc460433014"/>
      <w:bookmarkStart w:id="285" w:name="_Toc460441945"/>
      <w:bookmarkStart w:id="286" w:name="_Toc462750763"/>
      <w:bookmarkStart w:id="287" w:name="_Toc462751087"/>
      <w:bookmarkStart w:id="288" w:name="_Toc464813939"/>
      <w:r w:rsidRPr="00470C7C">
        <w:rPr>
          <w:iCs/>
        </w:rPr>
        <w:t>B</w:t>
      </w:r>
      <w:r w:rsidR="004B71B2" w:rsidRPr="00470C7C">
        <w:rPr>
          <w:iCs/>
        </w:rPr>
        <w:t>.1</w:t>
      </w:r>
      <w:r w:rsidR="00DC2886" w:rsidRPr="00470C7C">
        <w:rPr>
          <w:iCs/>
        </w:rPr>
        <w:t>.</w:t>
      </w:r>
      <w:r w:rsidR="004B71B2" w:rsidRPr="00470C7C">
        <w:rPr>
          <w:iCs/>
        </w:rPr>
        <w:t xml:space="preserve"> Continuación del proceso penal </w:t>
      </w:r>
      <w:r w:rsidR="004B71B2" w:rsidRPr="00470C7C">
        <w:t xml:space="preserve">contra Raimundo Alves de Rocha, </w:t>
      </w:r>
      <w:proofErr w:type="spellStart"/>
      <w:r w:rsidR="00D60654" w:rsidRPr="00470C7C">
        <w:t>Antônio</w:t>
      </w:r>
      <w:proofErr w:type="spellEnd"/>
      <w:r w:rsidR="00D60654" w:rsidRPr="00470C7C">
        <w:t xml:space="preserve"> </w:t>
      </w:r>
      <w:r w:rsidR="004B71B2" w:rsidRPr="00470C7C">
        <w:t xml:space="preserve">Alves Vieira </w:t>
      </w:r>
      <w:r w:rsidR="004B71B2" w:rsidRPr="00470C7C">
        <w:rPr>
          <w:rFonts w:cs="Times New Roman"/>
        </w:rPr>
        <w:t xml:space="preserve">y </w:t>
      </w:r>
      <w:r w:rsidR="004B71B2" w:rsidRPr="00470C7C">
        <w:t xml:space="preserve">João </w:t>
      </w:r>
      <w:proofErr w:type="spellStart"/>
      <w:r w:rsidR="004B71B2" w:rsidRPr="00470C7C">
        <w:t>Luiz</w:t>
      </w:r>
      <w:proofErr w:type="spellEnd"/>
      <w:r w:rsidR="004B71B2" w:rsidRPr="00470C7C">
        <w:t xml:space="preserve"> </w:t>
      </w:r>
      <w:proofErr w:type="spellStart"/>
      <w:r w:rsidR="004B71B2" w:rsidRPr="00470C7C">
        <w:t>Quagliato</w:t>
      </w:r>
      <w:proofErr w:type="spellEnd"/>
      <w:r w:rsidR="004B71B2" w:rsidRPr="00470C7C">
        <w:t xml:space="preserve"> Neto</w:t>
      </w:r>
      <w:bookmarkEnd w:id="284"/>
      <w:bookmarkEnd w:id="285"/>
      <w:bookmarkEnd w:id="286"/>
      <w:bookmarkEnd w:id="287"/>
      <w:bookmarkEnd w:id="288"/>
    </w:p>
    <w:p w14:paraId="0CDE6EE1" w14:textId="77777777" w:rsidR="004B71B2" w:rsidRPr="00470C7C" w:rsidRDefault="004B71B2" w:rsidP="00BE60E8">
      <w:pPr>
        <w:pStyle w:val="Prrafodelista"/>
        <w:autoSpaceDE w:val="0"/>
        <w:autoSpaceDN w:val="0"/>
        <w:adjustRightInd w:val="0"/>
        <w:ind w:left="0"/>
        <w:contextualSpacing w:val="0"/>
        <w:rPr>
          <w:rFonts w:cs="Arial"/>
          <w:szCs w:val="20"/>
          <w:lang w:val="es-ES"/>
        </w:rPr>
      </w:pPr>
    </w:p>
    <w:p w14:paraId="4C505B5F" w14:textId="77777777" w:rsidR="0003391C" w:rsidRPr="00470C7C" w:rsidRDefault="00C867DD"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E</w:t>
      </w:r>
      <w:r w:rsidR="0003391C" w:rsidRPr="00470C7C">
        <w:rPr>
          <w:rFonts w:cs="Arial"/>
          <w:szCs w:val="20"/>
          <w:lang w:val="es-ES"/>
        </w:rPr>
        <w:t xml:space="preserve">l 13 de septiembre de 1999 el señor </w:t>
      </w:r>
      <w:proofErr w:type="spellStart"/>
      <w:r w:rsidR="0003391C" w:rsidRPr="00470C7C">
        <w:rPr>
          <w:rFonts w:cs="Arial"/>
          <w:szCs w:val="20"/>
          <w:lang w:val="es-ES"/>
        </w:rPr>
        <w:t>Quagliato</w:t>
      </w:r>
      <w:proofErr w:type="spellEnd"/>
      <w:r w:rsidR="0003391C" w:rsidRPr="00470C7C">
        <w:rPr>
          <w:rFonts w:cs="Arial"/>
          <w:szCs w:val="20"/>
          <w:lang w:val="es-ES"/>
        </w:rPr>
        <w:t xml:space="preserve"> Neto compareció y se llevó a cabo la audiencia preliminar de su caso</w:t>
      </w:r>
      <w:r w:rsidR="0003391C" w:rsidRPr="00470C7C">
        <w:rPr>
          <w:rStyle w:val="Refdenotaalpie"/>
          <w:rFonts w:cs="Arial"/>
          <w:lang w:val="es-ES"/>
        </w:rPr>
        <w:footnoteReference w:id="148"/>
      </w:r>
      <w:r w:rsidRPr="00470C7C">
        <w:rPr>
          <w:rFonts w:cs="Arial"/>
          <w:szCs w:val="20"/>
          <w:lang w:val="es-ES"/>
        </w:rPr>
        <w:t>. A</w:t>
      </w:r>
      <w:r w:rsidR="0003391C" w:rsidRPr="00470C7C">
        <w:rPr>
          <w:rFonts w:cs="Arial"/>
          <w:szCs w:val="20"/>
          <w:lang w:val="es-ES"/>
        </w:rPr>
        <w:t xml:space="preserve">l día siguiente de dicha audiencia el señor </w:t>
      </w:r>
      <w:proofErr w:type="spellStart"/>
      <w:r w:rsidR="0003391C" w:rsidRPr="00470C7C">
        <w:rPr>
          <w:rFonts w:cs="Arial"/>
          <w:szCs w:val="20"/>
          <w:lang w:val="es-ES"/>
        </w:rPr>
        <w:t>Quagliato</w:t>
      </w:r>
      <w:proofErr w:type="spellEnd"/>
      <w:r w:rsidR="0003391C" w:rsidRPr="00470C7C">
        <w:rPr>
          <w:rFonts w:cs="Arial"/>
          <w:szCs w:val="20"/>
          <w:lang w:val="es-ES"/>
        </w:rPr>
        <w:t xml:space="preserve"> Neto manifestó que aceptaba las condiciones impuestas por el juez federal para la suspensión de su procedimiento</w:t>
      </w:r>
      <w:r w:rsidRPr="00470C7C">
        <w:rPr>
          <w:rFonts w:cs="Arial"/>
          <w:szCs w:val="20"/>
          <w:lang w:val="es-ES"/>
        </w:rPr>
        <w:t>, a saber</w:t>
      </w:r>
      <w:r w:rsidR="0003391C" w:rsidRPr="00470C7C">
        <w:rPr>
          <w:rFonts w:cs="Arial"/>
          <w:szCs w:val="20"/>
          <w:lang w:val="es-ES"/>
        </w:rPr>
        <w:t>: la entrega de seis canastas básicas a una entidad de beneficencia e</w:t>
      </w:r>
      <w:r w:rsidR="006E1D87" w:rsidRPr="00470C7C">
        <w:rPr>
          <w:rFonts w:cs="Arial"/>
          <w:szCs w:val="20"/>
          <w:lang w:val="es-ES"/>
        </w:rPr>
        <w:t xml:space="preserve">n la ciudad de </w:t>
      </w:r>
      <w:proofErr w:type="spellStart"/>
      <w:r w:rsidR="006E1D87" w:rsidRPr="00470C7C">
        <w:rPr>
          <w:rFonts w:cs="Arial"/>
          <w:szCs w:val="20"/>
          <w:lang w:val="es-ES"/>
        </w:rPr>
        <w:t>Ourinhos</w:t>
      </w:r>
      <w:proofErr w:type="spellEnd"/>
      <w:r w:rsidR="006E1D87" w:rsidRPr="00470C7C">
        <w:rPr>
          <w:rFonts w:cs="Arial"/>
          <w:szCs w:val="20"/>
          <w:lang w:val="es-ES"/>
        </w:rPr>
        <w:t xml:space="preserve"> en el E</w:t>
      </w:r>
      <w:r w:rsidR="0003391C" w:rsidRPr="00470C7C">
        <w:rPr>
          <w:rFonts w:cs="Arial"/>
          <w:szCs w:val="20"/>
          <w:lang w:val="es-ES"/>
        </w:rPr>
        <w:t>stado de S</w:t>
      </w:r>
      <w:r w:rsidR="006E1D87" w:rsidRPr="00470C7C">
        <w:rPr>
          <w:rFonts w:cs="Arial"/>
          <w:szCs w:val="20"/>
          <w:lang w:val="es-ES"/>
        </w:rPr>
        <w:t>ã</w:t>
      </w:r>
      <w:r w:rsidR="0003391C" w:rsidRPr="00470C7C">
        <w:rPr>
          <w:rFonts w:cs="Arial"/>
          <w:szCs w:val="20"/>
          <w:lang w:val="es-ES"/>
        </w:rPr>
        <w:t>o Paulo</w:t>
      </w:r>
      <w:r w:rsidR="0003391C" w:rsidRPr="00470C7C">
        <w:rPr>
          <w:rStyle w:val="Refdenotaalpie"/>
          <w:rFonts w:cs="Arial"/>
          <w:lang w:val="es-ES"/>
        </w:rPr>
        <w:footnoteReference w:id="149"/>
      </w:r>
      <w:r w:rsidR="0003391C" w:rsidRPr="00470C7C">
        <w:rPr>
          <w:rFonts w:cs="Times New Roman"/>
          <w:szCs w:val="20"/>
          <w:lang w:val="es-ES"/>
        </w:rPr>
        <w:t xml:space="preserve">. </w:t>
      </w:r>
      <w:r w:rsidR="0003391C" w:rsidRPr="00470C7C">
        <w:rPr>
          <w:rFonts w:cs="Arial"/>
          <w:szCs w:val="20"/>
          <w:lang w:val="es-ES"/>
        </w:rPr>
        <w:t xml:space="preserve">El 23 de septiembre de 1999, a petición del Ministerio Público, el juez federal autorizó la suspensión condicional por dos años del proceso instaurado contra João </w:t>
      </w:r>
      <w:proofErr w:type="spellStart"/>
      <w:r w:rsidR="0003391C" w:rsidRPr="00470C7C">
        <w:rPr>
          <w:rFonts w:cs="Arial"/>
          <w:szCs w:val="20"/>
          <w:lang w:val="es-ES"/>
        </w:rPr>
        <w:t>Luiz</w:t>
      </w:r>
      <w:proofErr w:type="spellEnd"/>
      <w:r w:rsidR="0003391C" w:rsidRPr="00470C7C">
        <w:rPr>
          <w:rFonts w:cs="Arial"/>
          <w:szCs w:val="20"/>
          <w:lang w:val="es-ES"/>
        </w:rPr>
        <w:t xml:space="preserve"> </w:t>
      </w:r>
      <w:proofErr w:type="spellStart"/>
      <w:r w:rsidR="0003391C" w:rsidRPr="00470C7C">
        <w:rPr>
          <w:rFonts w:cs="Arial"/>
          <w:szCs w:val="20"/>
          <w:lang w:val="es-ES"/>
        </w:rPr>
        <w:t>Quagliato</w:t>
      </w:r>
      <w:proofErr w:type="spellEnd"/>
      <w:r w:rsidR="0003391C" w:rsidRPr="00470C7C">
        <w:rPr>
          <w:rFonts w:cs="Arial"/>
          <w:szCs w:val="20"/>
          <w:lang w:val="es-ES"/>
        </w:rPr>
        <w:t xml:space="preserve"> Neto</w:t>
      </w:r>
      <w:r w:rsidR="0003391C" w:rsidRPr="00470C7C">
        <w:rPr>
          <w:rStyle w:val="Refdenotaalpie"/>
          <w:rFonts w:cs="Arial"/>
          <w:lang w:val="es-ES"/>
        </w:rPr>
        <w:footnoteReference w:id="150"/>
      </w:r>
      <w:r w:rsidR="0003391C" w:rsidRPr="00470C7C">
        <w:rPr>
          <w:rFonts w:cs="Arial"/>
          <w:szCs w:val="20"/>
          <w:lang w:val="es-ES"/>
        </w:rPr>
        <w:t>.</w:t>
      </w:r>
      <w:r w:rsidR="0003391C" w:rsidRPr="00470C7C">
        <w:rPr>
          <w:rFonts w:cs="Times New Roman"/>
          <w:szCs w:val="20"/>
          <w:lang w:val="es-ES"/>
        </w:rPr>
        <w:t xml:space="preserve"> </w:t>
      </w:r>
    </w:p>
    <w:p w14:paraId="41CE16BD"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1A4B3897"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Entre </w:t>
      </w:r>
      <w:r w:rsidR="00BD7F63" w:rsidRPr="00470C7C">
        <w:rPr>
          <w:rFonts w:cs="Arial"/>
          <w:szCs w:val="20"/>
          <w:lang w:val="es-ES"/>
        </w:rPr>
        <w:t>10 de diciembre de 1998</w:t>
      </w:r>
      <w:r w:rsidRPr="00470C7C">
        <w:rPr>
          <w:rFonts w:cs="Arial"/>
          <w:szCs w:val="20"/>
          <w:lang w:val="es-ES"/>
        </w:rPr>
        <w:t xml:space="preserve"> y mayo de 1999 se citó a declarar en varias ocasiones a los señores Raimundo Alves de Rocha y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Alves Vieira</w:t>
      </w:r>
      <w:r w:rsidRPr="00470C7C">
        <w:rPr>
          <w:rStyle w:val="Refdenotaalpie"/>
          <w:rFonts w:cs="Arial"/>
          <w:lang w:val="es-ES"/>
        </w:rPr>
        <w:footnoteReference w:id="151"/>
      </w:r>
      <w:r w:rsidRPr="00470C7C">
        <w:rPr>
          <w:rFonts w:cs="Arial"/>
          <w:szCs w:val="20"/>
          <w:lang w:val="es-ES"/>
        </w:rPr>
        <w:t>. El 23 de mayo de 1999 presentaron sus escritos de defensa</w:t>
      </w:r>
      <w:r w:rsidRPr="00470C7C">
        <w:rPr>
          <w:rStyle w:val="Refdenotaalpie"/>
          <w:rFonts w:cs="Arial"/>
          <w:lang w:val="es-ES"/>
        </w:rPr>
        <w:footnoteReference w:id="152"/>
      </w:r>
      <w:r w:rsidRPr="00470C7C">
        <w:rPr>
          <w:rFonts w:cs="Arial"/>
          <w:szCs w:val="20"/>
          <w:lang w:val="es-ES"/>
        </w:rPr>
        <w:t>. El 2 de marzo de 2000 rindieron testimonio los agentes del Ministerio del Trabajo que realizaron la fiscalización de 1997</w:t>
      </w:r>
      <w:r w:rsidRPr="00470C7C">
        <w:rPr>
          <w:rStyle w:val="Refdenotaalpie"/>
          <w:rFonts w:cs="Arial"/>
          <w:lang w:val="es-ES"/>
        </w:rPr>
        <w:footnoteReference w:id="153"/>
      </w:r>
      <w:r w:rsidRPr="00470C7C">
        <w:rPr>
          <w:rFonts w:cs="Arial"/>
          <w:szCs w:val="20"/>
          <w:lang w:val="es-ES"/>
        </w:rPr>
        <w:t>.</w:t>
      </w:r>
    </w:p>
    <w:p w14:paraId="52C6A9DC" w14:textId="77777777" w:rsidR="0003391C" w:rsidRPr="00470C7C" w:rsidRDefault="0003391C" w:rsidP="00140440">
      <w:pPr>
        <w:pStyle w:val="Prrafodelista"/>
        <w:contextualSpacing w:val="0"/>
        <w:rPr>
          <w:rFonts w:cs="Arial"/>
          <w:szCs w:val="20"/>
          <w:lang w:val="es-ES"/>
        </w:rPr>
      </w:pPr>
    </w:p>
    <w:p w14:paraId="2A6F2ED2"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Diversas audiencias para la recepción de prueba se programaron durante el año 2000, no obstante, el 16 de marzo de 2001 el juez federal sustituto a cargo del caso declaró la "incompetencia absoluta de la Justicia Federal" para juzgar el proceso, debido a que los delitos que se investigaban constituían violaciones a derechos individuales de un grupo de trabajadores, y no crímenes practicados contra la organización del trabajo, por lo que los autos tenían que enviarse a la justicia estadual de </w:t>
      </w:r>
      <w:proofErr w:type="spellStart"/>
      <w:r w:rsidRPr="00470C7C">
        <w:rPr>
          <w:rFonts w:cs="Arial"/>
          <w:szCs w:val="20"/>
          <w:lang w:val="es-ES"/>
        </w:rPr>
        <w:t>Xinguara</w:t>
      </w:r>
      <w:proofErr w:type="spellEnd"/>
      <w:r w:rsidRPr="00470C7C">
        <w:rPr>
          <w:rFonts w:cs="Arial"/>
          <w:szCs w:val="20"/>
          <w:lang w:val="es-ES"/>
        </w:rPr>
        <w:t>, Pará</w:t>
      </w:r>
      <w:r w:rsidRPr="00470C7C">
        <w:rPr>
          <w:rStyle w:val="Refdenotaalpie"/>
          <w:rFonts w:cs="Arial"/>
          <w:lang w:val="es-ES"/>
        </w:rPr>
        <w:footnoteReference w:id="154"/>
      </w:r>
      <w:r w:rsidRPr="00470C7C">
        <w:rPr>
          <w:rFonts w:cs="Arial"/>
          <w:szCs w:val="20"/>
          <w:lang w:val="es-ES"/>
        </w:rPr>
        <w:t xml:space="preserve">. </w:t>
      </w:r>
      <w:r w:rsidR="00C6536B" w:rsidRPr="00470C7C">
        <w:rPr>
          <w:rFonts w:cs="Arial"/>
          <w:szCs w:val="20"/>
          <w:lang w:val="es-ES"/>
        </w:rPr>
        <w:t>E</w:t>
      </w:r>
      <w:r w:rsidRPr="00470C7C">
        <w:rPr>
          <w:rFonts w:cs="Arial"/>
          <w:szCs w:val="20"/>
          <w:lang w:val="es-ES"/>
        </w:rPr>
        <w:t xml:space="preserve">l juez consideró que, con base en la jurisprudencia, por tratarse de competencia </w:t>
      </w:r>
      <w:proofErr w:type="spellStart"/>
      <w:r w:rsidRPr="00470C7C">
        <w:rPr>
          <w:rFonts w:cs="Times New Roman"/>
          <w:i/>
          <w:iCs/>
          <w:szCs w:val="20"/>
          <w:lang w:val="es-ES"/>
        </w:rPr>
        <w:t>ratione</w:t>
      </w:r>
      <w:proofErr w:type="spellEnd"/>
      <w:r w:rsidRPr="00470C7C">
        <w:rPr>
          <w:rFonts w:cs="Times New Roman"/>
          <w:i/>
          <w:iCs/>
          <w:szCs w:val="20"/>
          <w:lang w:val="es-ES"/>
        </w:rPr>
        <w:t xml:space="preserve"> </w:t>
      </w:r>
      <w:proofErr w:type="spellStart"/>
      <w:r w:rsidRPr="00470C7C">
        <w:rPr>
          <w:rFonts w:cs="Times New Roman"/>
          <w:i/>
          <w:iCs/>
          <w:szCs w:val="20"/>
          <w:lang w:val="es-ES"/>
        </w:rPr>
        <w:t>materiae</w:t>
      </w:r>
      <w:proofErr w:type="spellEnd"/>
      <w:r w:rsidR="00C6536B" w:rsidRPr="00470C7C">
        <w:rPr>
          <w:rFonts w:cs="Times New Roman"/>
          <w:iCs/>
          <w:szCs w:val="20"/>
          <w:lang w:val="es-ES"/>
        </w:rPr>
        <w:t>,</w:t>
      </w:r>
      <w:r w:rsidRPr="00470C7C">
        <w:rPr>
          <w:rFonts w:cs="Times New Roman"/>
          <w:i/>
          <w:iCs/>
          <w:szCs w:val="20"/>
          <w:lang w:val="es-ES"/>
        </w:rPr>
        <w:t xml:space="preserve"> </w:t>
      </w:r>
      <w:r w:rsidRPr="00470C7C">
        <w:rPr>
          <w:rFonts w:cs="Arial"/>
          <w:szCs w:val="20"/>
          <w:lang w:val="es-ES"/>
        </w:rPr>
        <w:t>no era susceptible de ser prorrogada, so pena de nulidad absoluta, imponiéndose su reconocimiento de oficio</w:t>
      </w:r>
      <w:r w:rsidR="00A916B1" w:rsidRPr="00470C7C">
        <w:rPr>
          <w:rStyle w:val="Refdenotaalpie"/>
          <w:rFonts w:cs="Arial"/>
          <w:lang w:val="es-ES"/>
        </w:rPr>
        <w:footnoteReference w:id="155"/>
      </w:r>
      <w:r w:rsidRPr="00470C7C">
        <w:rPr>
          <w:rFonts w:cs="Times New Roman"/>
          <w:szCs w:val="20"/>
          <w:lang w:val="es-ES"/>
        </w:rPr>
        <w:t xml:space="preserve">. </w:t>
      </w:r>
      <w:r w:rsidRPr="00470C7C">
        <w:rPr>
          <w:rFonts w:cs="Arial"/>
          <w:szCs w:val="20"/>
          <w:lang w:val="es-ES"/>
        </w:rPr>
        <w:t>Contra la anterior decisión no se interpuso recurso alguno</w:t>
      </w:r>
      <w:r w:rsidRPr="00470C7C">
        <w:rPr>
          <w:rFonts w:cs="Times New Roman"/>
          <w:szCs w:val="20"/>
          <w:lang w:val="es-ES"/>
        </w:rPr>
        <w:t>.</w:t>
      </w:r>
    </w:p>
    <w:p w14:paraId="0663F639" w14:textId="77777777" w:rsidR="0003391C" w:rsidRPr="00470C7C" w:rsidRDefault="0003391C" w:rsidP="00140440">
      <w:pPr>
        <w:pStyle w:val="Prrafodelista"/>
        <w:contextualSpacing w:val="0"/>
        <w:rPr>
          <w:rFonts w:cs="Arial"/>
          <w:szCs w:val="20"/>
          <w:lang w:val="es-ES"/>
        </w:rPr>
      </w:pPr>
    </w:p>
    <w:p w14:paraId="43E9AA92"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8 de agosto de 2001 el proceso fue reanudado por la justicia estadual de </w:t>
      </w:r>
      <w:proofErr w:type="spellStart"/>
      <w:r w:rsidRPr="00470C7C">
        <w:rPr>
          <w:rFonts w:cs="Arial"/>
          <w:szCs w:val="20"/>
          <w:lang w:val="es-ES"/>
        </w:rPr>
        <w:t>Xinguara</w:t>
      </w:r>
      <w:proofErr w:type="spellEnd"/>
      <w:r w:rsidRPr="00470C7C">
        <w:rPr>
          <w:rFonts w:cs="Arial"/>
          <w:szCs w:val="20"/>
          <w:lang w:val="es-ES"/>
        </w:rPr>
        <w:t>, y el 25 de octubre de 2001 la Fiscalía ratificó la denuncia</w:t>
      </w:r>
      <w:r w:rsidR="00C6536B" w:rsidRPr="00470C7C">
        <w:rPr>
          <w:rFonts w:cs="Arial"/>
          <w:szCs w:val="20"/>
          <w:lang w:val="es-ES"/>
        </w:rPr>
        <w:t>.</w:t>
      </w:r>
      <w:r w:rsidRPr="00470C7C">
        <w:rPr>
          <w:rFonts w:cs="Arial"/>
          <w:szCs w:val="20"/>
          <w:lang w:val="es-ES"/>
        </w:rPr>
        <w:t xml:space="preserve"> </w:t>
      </w:r>
      <w:r w:rsidR="00C6536B" w:rsidRPr="00470C7C">
        <w:rPr>
          <w:rFonts w:cs="Arial"/>
          <w:szCs w:val="20"/>
          <w:lang w:val="es-ES"/>
        </w:rPr>
        <w:t>P</w:t>
      </w:r>
      <w:r w:rsidRPr="00470C7C">
        <w:rPr>
          <w:rFonts w:cs="Arial"/>
          <w:szCs w:val="20"/>
          <w:lang w:val="es-ES"/>
        </w:rPr>
        <w:t>osteriormente, el 23 de mayo de 2002 el juez acogió la denuncia</w:t>
      </w:r>
      <w:r w:rsidRPr="00470C7C">
        <w:rPr>
          <w:rStyle w:val="Refdenotaalpie"/>
          <w:rFonts w:cs="Arial"/>
          <w:lang w:val="es-ES"/>
        </w:rPr>
        <w:footnoteReference w:id="156"/>
      </w:r>
      <w:r w:rsidRPr="00470C7C">
        <w:rPr>
          <w:rFonts w:cs="Arial"/>
          <w:szCs w:val="20"/>
          <w:lang w:val="es-ES"/>
        </w:rPr>
        <w:t xml:space="preserve">. El 28 de mayo de 2002 la defensa del señor </w:t>
      </w:r>
      <w:proofErr w:type="spellStart"/>
      <w:r w:rsidRPr="00470C7C">
        <w:rPr>
          <w:rFonts w:cs="Arial"/>
          <w:szCs w:val="20"/>
          <w:lang w:val="es-ES"/>
        </w:rPr>
        <w:t>Quagliato</w:t>
      </w:r>
      <w:proofErr w:type="spellEnd"/>
      <w:r w:rsidRPr="00470C7C">
        <w:rPr>
          <w:rFonts w:cs="Arial"/>
          <w:szCs w:val="20"/>
          <w:lang w:val="es-ES"/>
        </w:rPr>
        <w:t xml:space="preserve"> Neto solicitó que se declarara la extinción de la acción penal en su contra</w:t>
      </w:r>
      <w:r w:rsidRPr="00470C7C">
        <w:rPr>
          <w:rStyle w:val="Refdenotaalpie"/>
          <w:rFonts w:cs="Arial"/>
          <w:lang w:val="es-ES"/>
        </w:rPr>
        <w:footnoteReference w:id="157"/>
      </w:r>
      <w:r w:rsidRPr="00470C7C">
        <w:rPr>
          <w:rFonts w:cs="Arial"/>
          <w:szCs w:val="20"/>
          <w:lang w:val="es-ES"/>
        </w:rPr>
        <w:t>.</w:t>
      </w:r>
    </w:p>
    <w:p w14:paraId="76416FEA" w14:textId="77777777" w:rsidR="0003391C" w:rsidRPr="00470C7C" w:rsidRDefault="0003391C" w:rsidP="00140440">
      <w:pPr>
        <w:pStyle w:val="Prrafodelista"/>
        <w:contextualSpacing w:val="0"/>
        <w:rPr>
          <w:rFonts w:cs="Arial"/>
          <w:szCs w:val="20"/>
          <w:lang w:val="es-ES"/>
        </w:rPr>
      </w:pPr>
    </w:p>
    <w:p w14:paraId="476F4BC9"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11 de noviembre de 2002 los señores Raimundo Alves Rocha y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Vieira presentaron su escrito de defensa</w:t>
      </w:r>
      <w:r w:rsidR="00C6536B" w:rsidRPr="00470C7C">
        <w:rPr>
          <w:rFonts w:cs="Arial"/>
          <w:szCs w:val="20"/>
          <w:lang w:val="es-ES"/>
        </w:rPr>
        <w:t>,</w:t>
      </w:r>
      <w:r w:rsidRPr="00470C7C">
        <w:rPr>
          <w:rFonts w:cs="Arial"/>
          <w:szCs w:val="20"/>
          <w:lang w:val="es-ES"/>
        </w:rPr>
        <w:t xml:space="preserve"> y el 5 de agosto de 2003 el juez señaló las nuevas fechas para recibir los testimonios de la defensa</w:t>
      </w:r>
      <w:r w:rsidRPr="00470C7C">
        <w:rPr>
          <w:rStyle w:val="Refdenotaalpie"/>
          <w:rFonts w:cs="Arial"/>
          <w:lang w:val="es-ES"/>
        </w:rPr>
        <w:footnoteReference w:id="158"/>
      </w:r>
      <w:r w:rsidR="0055799A" w:rsidRPr="00470C7C">
        <w:rPr>
          <w:rFonts w:cs="Arial"/>
          <w:szCs w:val="20"/>
          <w:lang w:val="es-ES"/>
        </w:rPr>
        <w:t>.</w:t>
      </w:r>
      <w:r w:rsidRPr="00470C7C">
        <w:rPr>
          <w:rFonts w:cs="Arial"/>
          <w:szCs w:val="20"/>
          <w:lang w:val="es-ES"/>
        </w:rPr>
        <w:t xml:space="preserve"> </w:t>
      </w:r>
      <w:r w:rsidR="0055799A" w:rsidRPr="00470C7C">
        <w:rPr>
          <w:rFonts w:cs="Arial"/>
          <w:szCs w:val="20"/>
          <w:lang w:val="es-ES"/>
        </w:rPr>
        <w:t>L</w:t>
      </w:r>
      <w:r w:rsidRPr="00470C7C">
        <w:rPr>
          <w:rFonts w:cs="Arial"/>
          <w:szCs w:val="20"/>
          <w:lang w:val="es-ES"/>
        </w:rPr>
        <w:t xml:space="preserve">os días 24 de octubre y 18 de noviembre de 2003 se recibieron las primeras </w:t>
      </w:r>
      <w:r w:rsidR="00075BE8" w:rsidRPr="00470C7C">
        <w:rPr>
          <w:rFonts w:cs="Arial"/>
          <w:szCs w:val="20"/>
          <w:lang w:val="es-ES"/>
        </w:rPr>
        <w:t xml:space="preserve">declaraciones </w:t>
      </w:r>
      <w:r w:rsidRPr="00470C7C">
        <w:rPr>
          <w:rFonts w:cs="Arial"/>
          <w:szCs w:val="20"/>
          <w:lang w:val="es-ES"/>
        </w:rPr>
        <w:t>ofrecidas por la defensa</w:t>
      </w:r>
      <w:r w:rsidRPr="00470C7C">
        <w:rPr>
          <w:rStyle w:val="Refdenotaalpie"/>
          <w:rFonts w:cs="Arial"/>
          <w:lang w:val="es-ES"/>
        </w:rPr>
        <w:footnoteReference w:id="159"/>
      </w:r>
      <w:r w:rsidRPr="00470C7C">
        <w:rPr>
          <w:rFonts w:cs="Times New Roman"/>
          <w:szCs w:val="20"/>
          <w:lang w:val="es-ES"/>
        </w:rPr>
        <w:t>.</w:t>
      </w:r>
    </w:p>
    <w:p w14:paraId="13BB2787" w14:textId="77777777" w:rsidR="0003391C" w:rsidRPr="00470C7C" w:rsidRDefault="0003391C" w:rsidP="00140440">
      <w:pPr>
        <w:pStyle w:val="Prrafodelista"/>
        <w:contextualSpacing w:val="0"/>
        <w:rPr>
          <w:rFonts w:cs="Arial"/>
          <w:szCs w:val="20"/>
          <w:lang w:val="es-ES"/>
        </w:rPr>
      </w:pPr>
    </w:p>
    <w:p w14:paraId="0DE820CA"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El 21 de noviembre de 2003 el Ministerio Público del Estado de Pará presentó sus alegatos finales</w:t>
      </w:r>
      <w:r w:rsidR="0055799A" w:rsidRPr="00470C7C">
        <w:rPr>
          <w:rFonts w:cs="Arial"/>
          <w:szCs w:val="20"/>
          <w:lang w:val="es-ES"/>
        </w:rPr>
        <w:t>,</w:t>
      </w:r>
      <w:r w:rsidRPr="00470C7C">
        <w:rPr>
          <w:rFonts w:cs="Arial"/>
          <w:szCs w:val="20"/>
          <w:lang w:val="es-ES"/>
        </w:rPr>
        <w:t xml:space="preserve"> en los cuales solicitó que la denuncia en contra de Raimundo Alves da Rocha y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Alves Vieira fuera considerada improcedente y que se les absolviera</w:t>
      </w:r>
      <w:r w:rsidR="0055799A" w:rsidRPr="00470C7C">
        <w:rPr>
          <w:rFonts w:cs="Arial"/>
          <w:szCs w:val="20"/>
          <w:lang w:val="es-ES"/>
        </w:rPr>
        <w:t>,</w:t>
      </w:r>
      <w:r w:rsidRPr="00470C7C">
        <w:rPr>
          <w:rFonts w:cs="Arial"/>
          <w:szCs w:val="20"/>
          <w:lang w:val="es-ES"/>
        </w:rPr>
        <w:t xml:space="preserve"> en virtud de la falta de indicios suficientes de su autoría</w:t>
      </w:r>
      <w:r w:rsidRPr="00470C7C">
        <w:rPr>
          <w:rStyle w:val="Refdenotaalpie"/>
          <w:rFonts w:cs="Arial"/>
          <w:lang w:val="es-ES"/>
        </w:rPr>
        <w:footnoteReference w:id="160"/>
      </w:r>
      <w:r w:rsidRPr="00470C7C">
        <w:rPr>
          <w:rFonts w:cs="Times New Roman"/>
          <w:szCs w:val="20"/>
          <w:lang w:val="es-ES"/>
        </w:rPr>
        <w:t xml:space="preserve">. </w:t>
      </w:r>
    </w:p>
    <w:p w14:paraId="1D3EA872" w14:textId="77777777" w:rsidR="00917270" w:rsidRPr="00470C7C" w:rsidRDefault="00917270" w:rsidP="00140440">
      <w:pPr>
        <w:pStyle w:val="Prrafodelista"/>
        <w:autoSpaceDE w:val="0"/>
        <w:autoSpaceDN w:val="0"/>
        <w:adjustRightInd w:val="0"/>
        <w:ind w:left="0"/>
        <w:contextualSpacing w:val="0"/>
        <w:rPr>
          <w:rFonts w:cs="Times New Roman"/>
          <w:szCs w:val="20"/>
          <w:lang w:val="es-ES"/>
        </w:rPr>
      </w:pPr>
    </w:p>
    <w:p w14:paraId="07D0E6B3"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 El 8 de noviembre de 2004 la justicia estadual se declaró incompetente para conocer del proceso penal, lo cual generó un conflicto de competencias</w:t>
      </w:r>
      <w:r w:rsidRPr="00470C7C">
        <w:rPr>
          <w:rStyle w:val="Refdenotaalpie"/>
          <w:rFonts w:cs="Arial"/>
          <w:lang w:val="es-ES"/>
        </w:rPr>
        <w:footnoteReference w:id="161"/>
      </w:r>
      <w:r w:rsidRPr="00470C7C">
        <w:rPr>
          <w:rFonts w:cs="Arial"/>
          <w:szCs w:val="20"/>
          <w:lang w:val="es-ES"/>
        </w:rPr>
        <w:t>. El 2</w:t>
      </w:r>
      <w:r w:rsidR="00C16144" w:rsidRPr="00470C7C">
        <w:rPr>
          <w:rFonts w:cs="Arial"/>
          <w:szCs w:val="20"/>
          <w:lang w:val="es-ES"/>
        </w:rPr>
        <w:t>6</w:t>
      </w:r>
      <w:r w:rsidRPr="00470C7C">
        <w:rPr>
          <w:rFonts w:cs="Arial"/>
          <w:szCs w:val="20"/>
          <w:lang w:val="es-ES"/>
        </w:rPr>
        <w:t xml:space="preserve"> de septiembre de 2007 la Tercera </w:t>
      </w:r>
      <w:r w:rsidR="00A916B1" w:rsidRPr="00470C7C">
        <w:rPr>
          <w:rFonts w:cs="Arial"/>
          <w:szCs w:val="20"/>
          <w:lang w:val="es-ES"/>
        </w:rPr>
        <w:t>S</w:t>
      </w:r>
      <w:r w:rsidRPr="00470C7C">
        <w:rPr>
          <w:rFonts w:cs="Arial"/>
          <w:szCs w:val="20"/>
          <w:lang w:val="es-ES"/>
        </w:rPr>
        <w:t>ección del Superior Tribunal de Justicia informó al juez estadual que, luego de conocer del conflicto de competencias en el caso, había decidido que la jurisdicción competente era la federal</w:t>
      </w:r>
      <w:r w:rsidRPr="00470C7C">
        <w:rPr>
          <w:rStyle w:val="Refdenotaalpie"/>
          <w:rFonts w:cs="Arial"/>
          <w:lang w:val="es-ES"/>
        </w:rPr>
        <w:footnoteReference w:id="162"/>
      </w:r>
      <w:r w:rsidRPr="00470C7C">
        <w:rPr>
          <w:rFonts w:cs="Arial"/>
          <w:szCs w:val="20"/>
          <w:lang w:val="es-ES"/>
        </w:rPr>
        <w:t xml:space="preserve">. El 11 de diciembre de 2007 se remitió el expediente a la jurisdicción federal de </w:t>
      </w:r>
      <w:proofErr w:type="spellStart"/>
      <w:r w:rsidRPr="00470C7C">
        <w:rPr>
          <w:rFonts w:cs="Arial"/>
          <w:szCs w:val="20"/>
          <w:lang w:val="es-ES"/>
        </w:rPr>
        <w:t>Marabá</w:t>
      </w:r>
      <w:proofErr w:type="spellEnd"/>
      <w:r w:rsidRPr="00470C7C">
        <w:rPr>
          <w:rFonts w:cs="Arial"/>
          <w:szCs w:val="20"/>
          <w:lang w:val="es-ES"/>
        </w:rPr>
        <w:t>, Pará</w:t>
      </w:r>
      <w:r w:rsidRPr="00470C7C">
        <w:rPr>
          <w:rStyle w:val="Refdenotaalpie"/>
          <w:rFonts w:cs="Arial"/>
          <w:lang w:val="es-ES"/>
        </w:rPr>
        <w:footnoteReference w:id="163"/>
      </w:r>
      <w:r w:rsidRPr="00470C7C">
        <w:rPr>
          <w:rFonts w:cs="Arial"/>
          <w:szCs w:val="20"/>
          <w:lang w:val="es-ES"/>
        </w:rPr>
        <w:t>.</w:t>
      </w:r>
    </w:p>
    <w:p w14:paraId="742F06DD"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4B274212"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Luego de haber citado en varias ocasiones</w:t>
      </w:r>
      <w:r w:rsidR="0055799A" w:rsidRPr="00470C7C">
        <w:rPr>
          <w:rFonts w:cs="Arial"/>
          <w:szCs w:val="20"/>
          <w:lang w:val="es-ES"/>
        </w:rPr>
        <w:t>,</w:t>
      </w:r>
      <w:r w:rsidRPr="00470C7C">
        <w:rPr>
          <w:rFonts w:cs="Arial"/>
          <w:szCs w:val="20"/>
          <w:lang w:val="es-ES"/>
        </w:rPr>
        <w:t xml:space="preserve"> durante el año 2008</w:t>
      </w:r>
      <w:r w:rsidR="0055799A" w:rsidRPr="00470C7C">
        <w:rPr>
          <w:rFonts w:cs="Arial"/>
          <w:szCs w:val="20"/>
          <w:lang w:val="es-ES"/>
        </w:rPr>
        <w:t>,</w:t>
      </w:r>
      <w:r w:rsidRPr="00470C7C">
        <w:rPr>
          <w:rFonts w:cs="Arial"/>
          <w:szCs w:val="20"/>
          <w:lang w:val="es-ES"/>
        </w:rPr>
        <w:t xml:space="preserve"> </w:t>
      </w:r>
      <w:r w:rsidR="0055799A" w:rsidRPr="00470C7C">
        <w:rPr>
          <w:rFonts w:cs="Arial"/>
          <w:szCs w:val="20"/>
          <w:lang w:val="es-ES"/>
        </w:rPr>
        <w:t xml:space="preserve">a comparecer </w:t>
      </w:r>
      <w:r w:rsidRPr="00470C7C">
        <w:rPr>
          <w:rFonts w:cs="Arial"/>
          <w:szCs w:val="20"/>
          <w:lang w:val="es-ES"/>
        </w:rPr>
        <w:t xml:space="preserve">a los señores Raimundo Alves da Rocha y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 xml:space="preserve">Alves Vieira, y en virtud de su ausencia, el 3 de julio de 2008 el juez </w:t>
      </w:r>
      <w:r w:rsidR="00A916B1" w:rsidRPr="00470C7C">
        <w:rPr>
          <w:rFonts w:cs="Arial"/>
          <w:szCs w:val="20"/>
          <w:lang w:val="es-ES"/>
        </w:rPr>
        <w:t xml:space="preserve">concedió plazo para </w:t>
      </w:r>
      <w:r w:rsidRPr="00470C7C">
        <w:rPr>
          <w:rFonts w:cs="Arial"/>
          <w:szCs w:val="20"/>
          <w:lang w:val="es-ES"/>
        </w:rPr>
        <w:t>los alegatos finales de las partes</w:t>
      </w:r>
      <w:r w:rsidRPr="00470C7C">
        <w:rPr>
          <w:rStyle w:val="Refdenotaalpie"/>
          <w:rFonts w:cs="Arial"/>
          <w:lang w:val="es-ES"/>
        </w:rPr>
        <w:footnoteReference w:id="164"/>
      </w:r>
      <w:r w:rsidRPr="00470C7C">
        <w:rPr>
          <w:rFonts w:cs="Times New Roman"/>
          <w:szCs w:val="20"/>
          <w:lang w:val="es-ES"/>
        </w:rPr>
        <w:t>.</w:t>
      </w:r>
      <w:r w:rsidRPr="00470C7C">
        <w:rPr>
          <w:rFonts w:cs="Arial"/>
          <w:szCs w:val="20"/>
          <w:lang w:val="es-ES"/>
        </w:rPr>
        <w:t xml:space="preserve"> El 10 de julio de 2008 el Ministerio Público Federal presentó sus alegatos finales</w:t>
      </w:r>
      <w:r w:rsidR="0055799A" w:rsidRPr="00470C7C">
        <w:rPr>
          <w:rFonts w:cs="Arial"/>
          <w:szCs w:val="20"/>
          <w:lang w:val="es-ES"/>
        </w:rPr>
        <w:t>,</w:t>
      </w:r>
      <w:r w:rsidRPr="00470C7C">
        <w:rPr>
          <w:rFonts w:cs="Arial"/>
          <w:szCs w:val="20"/>
          <w:lang w:val="es-ES"/>
        </w:rPr>
        <w:t xml:space="preserve"> en los que solicitó que se decretara la extinción de la acción penal contra Raimundo Alves da Rocha y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Alves Vieira</w:t>
      </w:r>
      <w:r w:rsidRPr="00470C7C">
        <w:rPr>
          <w:rStyle w:val="Refdenotaalpie"/>
          <w:rFonts w:cs="Arial"/>
          <w:lang w:val="es-ES"/>
        </w:rPr>
        <w:footnoteReference w:id="165"/>
      </w:r>
      <w:r w:rsidRPr="00470C7C">
        <w:rPr>
          <w:rFonts w:cs="Arial"/>
          <w:szCs w:val="20"/>
          <w:lang w:val="es-ES"/>
        </w:rPr>
        <w:t>.</w:t>
      </w:r>
      <w:r w:rsidRPr="00470C7C">
        <w:rPr>
          <w:rFonts w:cs="Times New Roman"/>
          <w:szCs w:val="20"/>
          <w:lang w:val="es-ES"/>
        </w:rPr>
        <w:t xml:space="preserve"> </w:t>
      </w:r>
      <w:r w:rsidRPr="00470C7C">
        <w:rPr>
          <w:rFonts w:cs="Arial"/>
          <w:szCs w:val="20"/>
          <w:lang w:val="es-ES"/>
        </w:rPr>
        <w:t>Al respecto consideró lo siguiente:</w:t>
      </w:r>
    </w:p>
    <w:p w14:paraId="3C1E9B0F" w14:textId="77777777" w:rsidR="0003391C" w:rsidRPr="00470C7C" w:rsidRDefault="0003391C" w:rsidP="00140440">
      <w:pPr>
        <w:autoSpaceDE w:val="0"/>
        <w:autoSpaceDN w:val="0"/>
        <w:adjustRightInd w:val="0"/>
        <w:jc w:val="both"/>
        <w:rPr>
          <w:rFonts w:cs="Arial"/>
          <w:szCs w:val="20"/>
          <w:lang w:val="es-ES"/>
        </w:rPr>
      </w:pPr>
    </w:p>
    <w:p w14:paraId="7D2F6536"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 el informe de fiscalización del Ministerio del Trabajo narra las condiciones inhóspitas vividas por los trabajadores de la </w:t>
      </w:r>
      <w:r w:rsidRPr="00470C7C">
        <w:rPr>
          <w:rFonts w:cs="Arial"/>
          <w:iCs/>
          <w:sz w:val="16"/>
          <w:szCs w:val="20"/>
          <w:lang w:val="es-ES"/>
        </w:rPr>
        <w:t>Hacienda Brasil Verde,</w:t>
      </w:r>
      <w:r w:rsidRPr="00470C7C">
        <w:rPr>
          <w:rFonts w:cs="Arial"/>
          <w:i/>
          <w:iCs/>
          <w:sz w:val="16"/>
          <w:szCs w:val="20"/>
          <w:lang w:val="es-ES"/>
        </w:rPr>
        <w:t xml:space="preserve"> </w:t>
      </w:r>
      <w:r w:rsidRPr="00470C7C">
        <w:rPr>
          <w:rFonts w:cs="Arial"/>
          <w:sz w:val="16"/>
          <w:szCs w:val="20"/>
          <w:lang w:val="es-ES"/>
        </w:rPr>
        <w:t>sin agua potable para beber, durmiendo en barracas cubiertas de plástico y paja, piso de tierra batido y sin instalaciones sanitarias, sin equipo de seguridad individual, sin protección alguna contra la intemperie. Además, se verificó la práctica de delitos de frustración, mediante fraude, de derechos protegidos por la legislación laboral.</w:t>
      </w:r>
    </w:p>
    <w:p w14:paraId="1E4AD5DC" w14:textId="77777777" w:rsidR="0003391C" w:rsidRPr="00470C7C" w:rsidRDefault="0003391C" w:rsidP="00140440">
      <w:pPr>
        <w:autoSpaceDE w:val="0"/>
        <w:autoSpaceDN w:val="0"/>
        <w:adjustRightInd w:val="0"/>
        <w:ind w:left="720" w:right="720"/>
        <w:jc w:val="both"/>
        <w:rPr>
          <w:rFonts w:cs="Arial"/>
          <w:sz w:val="16"/>
          <w:szCs w:val="20"/>
          <w:lang w:val="es-ES"/>
        </w:rPr>
      </w:pPr>
    </w:p>
    <w:p w14:paraId="37FB1B89"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 existe prueba suficiente de la autoría de la práctica de los delitos de reducción a condición análoga a la de </w:t>
      </w:r>
      <w:r w:rsidR="00861D40" w:rsidRPr="00470C7C">
        <w:rPr>
          <w:rFonts w:cs="Arial"/>
          <w:sz w:val="16"/>
          <w:szCs w:val="20"/>
          <w:lang w:val="es-ES"/>
        </w:rPr>
        <w:t xml:space="preserve">esclavo </w:t>
      </w:r>
      <w:r w:rsidRPr="00470C7C">
        <w:rPr>
          <w:rFonts w:cs="Arial"/>
          <w:sz w:val="16"/>
          <w:szCs w:val="20"/>
          <w:lang w:val="es-ES"/>
        </w:rPr>
        <w:t xml:space="preserve">(art. </w:t>
      </w:r>
      <w:r w:rsidRPr="00470C7C">
        <w:rPr>
          <w:rFonts w:cs="Times New Roman"/>
          <w:sz w:val="16"/>
          <w:szCs w:val="20"/>
          <w:lang w:val="es-ES"/>
        </w:rPr>
        <w:t>149</w:t>
      </w:r>
      <w:r w:rsidR="00861D40" w:rsidRPr="00470C7C">
        <w:rPr>
          <w:rFonts w:cs="Times New Roman"/>
          <w:sz w:val="16"/>
          <w:szCs w:val="20"/>
          <w:lang w:val="es-ES"/>
        </w:rPr>
        <w:t xml:space="preserve">, </w:t>
      </w:r>
      <w:proofErr w:type="spellStart"/>
      <w:r w:rsidR="00861D40" w:rsidRPr="00470C7C">
        <w:rPr>
          <w:rFonts w:cs="Times New Roman"/>
          <w:i/>
          <w:sz w:val="16"/>
          <w:szCs w:val="20"/>
          <w:lang w:val="es-ES"/>
        </w:rPr>
        <w:t>caput</w:t>
      </w:r>
      <w:proofErr w:type="spellEnd"/>
      <w:r w:rsidRPr="00470C7C">
        <w:rPr>
          <w:rFonts w:cs="Arial"/>
          <w:sz w:val="16"/>
          <w:szCs w:val="20"/>
          <w:lang w:val="es-ES"/>
        </w:rPr>
        <w:t xml:space="preserve">), atentado contra la libertad de trabajo (art. </w:t>
      </w:r>
      <w:r w:rsidRPr="00470C7C">
        <w:rPr>
          <w:rFonts w:cs="Times New Roman"/>
          <w:sz w:val="16"/>
          <w:szCs w:val="20"/>
          <w:lang w:val="es-ES"/>
        </w:rPr>
        <w:t xml:space="preserve">197.1) </w:t>
      </w:r>
      <w:r w:rsidRPr="00470C7C">
        <w:rPr>
          <w:rFonts w:cs="Arial"/>
          <w:sz w:val="16"/>
          <w:szCs w:val="20"/>
          <w:lang w:val="es-ES"/>
        </w:rPr>
        <w:t xml:space="preserve">y reclutamiento ilegal de trabajadores de un local para otro del territorio nacional (art. </w:t>
      </w:r>
      <w:r w:rsidRPr="00470C7C">
        <w:rPr>
          <w:rFonts w:cs="Times New Roman"/>
          <w:sz w:val="16"/>
          <w:szCs w:val="20"/>
          <w:lang w:val="es-ES"/>
        </w:rPr>
        <w:t>207),</w:t>
      </w:r>
      <w:r w:rsidRPr="00470C7C">
        <w:rPr>
          <w:rFonts w:cs="Arial"/>
          <w:sz w:val="16"/>
          <w:szCs w:val="20"/>
          <w:lang w:val="es-ES"/>
        </w:rPr>
        <w:t xml:space="preserve"> mediante la detención por deudas.</w:t>
      </w:r>
    </w:p>
    <w:p w14:paraId="375C1C9B" w14:textId="77777777" w:rsidR="0003391C" w:rsidRPr="00470C7C" w:rsidRDefault="0003391C" w:rsidP="00140440">
      <w:pPr>
        <w:autoSpaceDE w:val="0"/>
        <w:autoSpaceDN w:val="0"/>
        <w:adjustRightInd w:val="0"/>
        <w:ind w:left="720" w:right="720"/>
        <w:jc w:val="both"/>
        <w:rPr>
          <w:rFonts w:cs="Arial"/>
          <w:sz w:val="16"/>
          <w:szCs w:val="20"/>
          <w:lang w:val="es-ES"/>
        </w:rPr>
      </w:pPr>
    </w:p>
    <w:p w14:paraId="63C224DF"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 no obstante la comprobación de la autoría y materialización del </w:t>
      </w:r>
      <w:proofErr w:type="gramStart"/>
      <w:r w:rsidRPr="00470C7C">
        <w:rPr>
          <w:rFonts w:cs="Arial"/>
          <w:sz w:val="16"/>
          <w:szCs w:val="20"/>
          <w:lang w:val="es-ES"/>
        </w:rPr>
        <w:t>trama delictuoso</w:t>
      </w:r>
      <w:proofErr w:type="gramEnd"/>
      <w:r w:rsidRPr="00470C7C">
        <w:rPr>
          <w:rFonts w:cs="Arial"/>
          <w:sz w:val="16"/>
          <w:szCs w:val="20"/>
          <w:lang w:val="es-ES"/>
        </w:rPr>
        <w:t xml:space="preserve">, los delitos descritos en los artículos </w:t>
      </w:r>
      <w:r w:rsidRPr="00470C7C">
        <w:rPr>
          <w:rFonts w:cs="Times New Roman"/>
          <w:sz w:val="16"/>
          <w:szCs w:val="20"/>
          <w:lang w:val="es-ES"/>
        </w:rPr>
        <w:t>197.</w:t>
      </w:r>
      <w:r w:rsidRPr="00470C7C">
        <w:rPr>
          <w:rFonts w:cs="Arial"/>
          <w:sz w:val="16"/>
          <w:szCs w:val="20"/>
          <w:lang w:val="es-ES"/>
        </w:rPr>
        <w:t xml:space="preserve">1 y </w:t>
      </w:r>
      <w:r w:rsidRPr="00470C7C">
        <w:rPr>
          <w:rFonts w:cs="Times New Roman"/>
          <w:sz w:val="16"/>
          <w:szCs w:val="20"/>
          <w:lang w:val="es-ES"/>
        </w:rPr>
        <w:t xml:space="preserve">207 </w:t>
      </w:r>
      <w:r w:rsidRPr="00470C7C">
        <w:rPr>
          <w:rFonts w:cs="Arial"/>
          <w:sz w:val="16"/>
          <w:szCs w:val="20"/>
          <w:lang w:val="es-ES"/>
        </w:rPr>
        <w:t xml:space="preserve">del CP infelizmente ya fueron alcanzados por la prescripción, considerando que los hechos fueron constatados en el periodo del </w:t>
      </w:r>
      <w:r w:rsidRPr="00470C7C">
        <w:rPr>
          <w:rFonts w:cs="Times New Roman"/>
          <w:sz w:val="16"/>
          <w:szCs w:val="20"/>
          <w:lang w:val="es-ES"/>
        </w:rPr>
        <w:t xml:space="preserve">21 </w:t>
      </w:r>
      <w:r w:rsidRPr="00470C7C">
        <w:rPr>
          <w:rFonts w:cs="Arial"/>
          <w:sz w:val="16"/>
          <w:szCs w:val="20"/>
          <w:lang w:val="es-ES"/>
        </w:rPr>
        <w:t xml:space="preserve">al 30 de abril de </w:t>
      </w:r>
      <w:r w:rsidRPr="00470C7C">
        <w:rPr>
          <w:rFonts w:cs="Times New Roman"/>
          <w:sz w:val="16"/>
          <w:szCs w:val="20"/>
          <w:lang w:val="es-ES"/>
        </w:rPr>
        <w:t xml:space="preserve">1997 </w:t>
      </w:r>
      <w:r w:rsidRPr="00470C7C">
        <w:rPr>
          <w:rFonts w:cs="Arial"/>
          <w:sz w:val="16"/>
          <w:szCs w:val="20"/>
          <w:lang w:val="es-ES"/>
        </w:rPr>
        <w:t xml:space="preserve">y la pena máxima de los respectivos delitos es de uno a tres años. Siendo así, operó la prescripción de la acción penal estatal, con base en el artículo </w:t>
      </w:r>
      <w:r w:rsidRPr="00470C7C">
        <w:rPr>
          <w:rFonts w:cs="Times New Roman"/>
          <w:sz w:val="16"/>
          <w:szCs w:val="20"/>
          <w:lang w:val="es-ES"/>
        </w:rPr>
        <w:t xml:space="preserve">109, </w:t>
      </w:r>
      <w:r w:rsidRPr="00470C7C">
        <w:rPr>
          <w:rFonts w:cs="Arial"/>
          <w:sz w:val="16"/>
          <w:szCs w:val="20"/>
          <w:lang w:val="es-ES"/>
        </w:rPr>
        <w:t>VI del CPB.</w:t>
      </w:r>
    </w:p>
    <w:p w14:paraId="2A0D728E" w14:textId="77777777" w:rsidR="0003391C" w:rsidRPr="00470C7C" w:rsidRDefault="0003391C" w:rsidP="00140440">
      <w:pPr>
        <w:autoSpaceDE w:val="0"/>
        <w:autoSpaceDN w:val="0"/>
        <w:adjustRightInd w:val="0"/>
        <w:ind w:left="720" w:right="720"/>
        <w:jc w:val="both"/>
        <w:rPr>
          <w:rFonts w:cs="Arial"/>
          <w:sz w:val="16"/>
          <w:szCs w:val="20"/>
          <w:lang w:val="es-ES"/>
        </w:rPr>
      </w:pPr>
    </w:p>
    <w:p w14:paraId="60F06882" w14:textId="77777777" w:rsidR="0003391C" w:rsidRPr="00470C7C" w:rsidRDefault="0003391C" w:rsidP="00140440">
      <w:pPr>
        <w:autoSpaceDE w:val="0"/>
        <w:autoSpaceDN w:val="0"/>
        <w:adjustRightInd w:val="0"/>
        <w:ind w:left="720" w:right="720"/>
        <w:jc w:val="both"/>
        <w:rPr>
          <w:rFonts w:cs="Arial"/>
          <w:sz w:val="16"/>
          <w:szCs w:val="20"/>
          <w:lang w:val="es-ES"/>
        </w:rPr>
      </w:pPr>
      <w:r w:rsidRPr="00470C7C">
        <w:rPr>
          <w:rFonts w:cs="Arial"/>
          <w:sz w:val="16"/>
          <w:szCs w:val="20"/>
          <w:lang w:val="es-ES"/>
        </w:rPr>
        <w:t xml:space="preserve">En relación con el delito descrito en el artículo </w:t>
      </w:r>
      <w:r w:rsidRPr="00470C7C">
        <w:rPr>
          <w:rFonts w:cs="Times New Roman"/>
          <w:sz w:val="16"/>
          <w:szCs w:val="20"/>
          <w:lang w:val="es-ES"/>
        </w:rPr>
        <w:t xml:space="preserve">149 </w:t>
      </w:r>
      <w:r w:rsidRPr="00470C7C">
        <w:rPr>
          <w:rFonts w:cs="Arial"/>
          <w:sz w:val="16"/>
          <w:szCs w:val="20"/>
          <w:lang w:val="es-ES"/>
        </w:rPr>
        <w:t xml:space="preserve">del CP, pese a que la pena máxima se consumará en abril de </w:t>
      </w:r>
      <w:r w:rsidRPr="00470C7C">
        <w:rPr>
          <w:rFonts w:cs="Arial"/>
          <w:iCs/>
          <w:sz w:val="16"/>
          <w:szCs w:val="20"/>
          <w:lang w:val="es-ES"/>
        </w:rPr>
        <w:t>2009</w:t>
      </w:r>
      <w:r w:rsidRPr="00470C7C">
        <w:rPr>
          <w:rFonts w:cs="Arial"/>
          <w:i/>
          <w:iCs/>
          <w:sz w:val="16"/>
          <w:szCs w:val="20"/>
          <w:lang w:val="es-ES"/>
        </w:rPr>
        <w:t xml:space="preserve">, </w:t>
      </w:r>
      <w:r w:rsidRPr="00470C7C">
        <w:rPr>
          <w:rFonts w:cs="Arial"/>
          <w:sz w:val="16"/>
          <w:szCs w:val="20"/>
          <w:lang w:val="es-ES"/>
        </w:rPr>
        <w:t>se debe concluir por la verificación del marco de prescripción de la pena en perspectiva, teniendo en cuenta que este órgano de ejecución no vislumbró mayores elementos que posibiliten el agravamiento suficiente de la eventual sanción aplicada</w:t>
      </w:r>
      <w:r w:rsidRPr="00470C7C">
        <w:rPr>
          <w:rStyle w:val="Refdenotaalpie"/>
          <w:rFonts w:cs="Arial"/>
          <w:sz w:val="16"/>
          <w:lang w:val="es-ES"/>
        </w:rPr>
        <w:footnoteReference w:id="166"/>
      </w:r>
      <w:r w:rsidRPr="00470C7C">
        <w:rPr>
          <w:rFonts w:cs="Arial"/>
          <w:sz w:val="16"/>
          <w:szCs w:val="20"/>
          <w:lang w:val="es-ES"/>
        </w:rPr>
        <w:t>.</w:t>
      </w:r>
    </w:p>
    <w:p w14:paraId="01E6228A" w14:textId="77777777" w:rsidR="0003391C" w:rsidRPr="00470C7C" w:rsidRDefault="0003391C" w:rsidP="00140440">
      <w:pPr>
        <w:autoSpaceDE w:val="0"/>
        <w:autoSpaceDN w:val="0"/>
        <w:adjustRightInd w:val="0"/>
        <w:jc w:val="both"/>
        <w:rPr>
          <w:rFonts w:cs="Arial"/>
          <w:szCs w:val="20"/>
          <w:lang w:val="es-ES"/>
        </w:rPr>
      </w:pPr>
    </w:p>
    <w:p w14:paraId="74C7BD67"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 El 10 de julio de 2008 mediante sentencia judicial, el Juez Federal de la Sección de Pará declaró </w:t>
      </w:r>
      <w:r w:rsidR="00736356" w:rsidRPr="00470C7C">
        <w:rPr>
          <w:rFonts w:cs="Arial"/>
          <w:szCs w:val="20"/>
          <w:lang w:val="es-ES"/>
        </w:rPr>
        <w:t xml:space="preserve">extinta la acción penal respecto de Raimundo Alves da Rocha y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00736356" w:rsidRPr="00470C7C">
        <w:rPr>
          <w:rFonts w:cs="Arial"/>
          <w:szCs w:val="20"/>
          <w:lang w:val="es-ES"/>
        </w:rPr>
        <w:t>Alves Vieira</w:t>
      </w:r>
      <w:r w:rsidR="00FC7F27" w:rsidRPr="00470C7C">
        <w:rPr>
          <w:rFonts w:cs="Arial"/>
          <w:szCs w:val="20"/>
          <w:lang w:val="es-ES"/>
        </w:rPr>
        <w:t>,</w:t>
      </w:r>
      <w:r w:rsidRPr="00470C7C">
        <w:rPr>
          <w:rFonts w:cs="Arial"/>
          <w:szCs w:val="20"/>
          <w:lang w:val="es-ES"/>
        </w:rPr>
        <w:t xml:space="preserve"> teniendo en cuenta que habían pasado más de 10 años desde que se había realizado la denuncia, la pena máxima a aplicarse era de 8 años y la prescripción de la pena era de 12 años, </w:t>
      </w:r>
      <w:r w:rsidR="007F4361" w:rsidRPr="00470C7C">
        <w:rPr>
          <w:rFonts w:cs="Arial"/>
          <w:szCs w:val="20"/>
          <w:lang w:val="es-ES"/>
        </w:rPr>
        <w:t>así como que</w:t>
      </w:r>
      <w:r w:rsidR="00B54FB3" w:rsidRPr="00470C7C">
        <w:rPr>
          <w:rFonts w:cs="Arial"/>
          <w:szCs w:val="20"/>
          <w:lang w:val="es-ES"/>
        </w:rPr>
        <w:t xml:space="preserve"> solo</w:t>
      </w:r>
      <w:r w:rsidR="00A916B1" w:rsidRPr="00470C7C">
        <w:rPr>
          <w:rFonts w:cs="Arial"/>
          <w:szCs w:val="20"/>
          <w:lang w:val="es-ES"/>
        </w:rPr>
        <w:t xml:space="preserve"> </w:t>
      </w:r>
      <w:r w:rsidRPr="00470C7C">
        <w:rPr>
          <w:rFonts w:cs="Arial"/>
          <w:szCs w:val="20"/>
          <w:lang w:val="es-ES"/>
        </w:rPr>
        <w:t xml:space="preserve">en caso de ser condenados a la pena </w:t>
      </w:r>
      <w:r w:rsidR="00176C77" w:rsidRPr="00470C7C">
        <w:rPr>
          <w:rFonts w:cs="Arial"/>
          <w:szCs w:val="20"/>
          <w:lang w:val="es-ES"/>
        </w:rPr>
        <w:t xml:space="preserve">máxima </w:t>
      </w:r>
      <w:r w:rsidRPr="00470C7C">
        <w:rPr>
          <w:rFonts w:cs="Arial"/>
          <w:szCs w:val="20"/>
          <w:lang w:val="es-ES"/>
        </w:rPr>
        <w:t>no se daría la prescripción</w:t>
      </w:r>
      <w:r w:rsidRPr="00470C7C">
        <w:rPr>
          <w:rStyle w:val="Refdenotaalpie"/>
          <w:rFonts w:cs="Arial"/>
          <w:lang w:val="es-ES"/>
        </w:rPr>
        <w:footnoteReference w:id="167"/>
      </w:r>
      <w:r w:rsidRPr="00470C7C">
        <w:rPr>
          <w:rFonts w:cs="Arial"/>
          <w:szCs w:val="20"/>
          <w:lang w:val="es-ES"/>
        </w:rPr>
        <w:t xml:space="preserve">. </w:t>
      </w:r>
      <w:r w:rsidR="007F4361" w:rsidRPr="00470C7C">
        <w:rPr>
          <w:rFonts w:cs="Arial"/>
          <w:szCs w:val="20"/>
          <w:lang w:val="es-ES"/>
        </w:rPr>
        <w:t>E</w:t>
      </w:r>
      <w:r w:rsidRPr="00470C7C">
        <w:rPr>
          <w:rFonts w:cs="Arial"/>
          <w:szCs w:val="20"/>
          <w:lang w:val="es-ES"/>
        </w:rPr>
        <w:t>l juez afirmó que era "bastante improbable" que fueran condenados a dicha pena</w:t>
      </w:r>
      <w:r w:rsidR="007F4361" w:rsidRPr="00470C7C">
        <w:rPr>
          <w:rFonts w:cs="Arial"/>
          <w:szCs w:val="20"/>
          <w:lang w:val="es-ES"/>
        </w:rPr>
        <w:t>,</w:t>
      </w:r>
      <w:r w:rsidRPr="00470C7C">
        <w:rPr>
          <w:rFonts w:cs="Arial"/>
          <w:szCs w:val="20"/>
          <w:lang w:val="es-ES"/>
        </w:rPr>
        <w:t xml:space="preserve"> por lo que la prescripción sería "inevitable". </w:t>
      </w:r>
      <w:r w:rsidR="007F4361" w:rsidRPr="00470C7C">
        <w:rPr>
          <w:rFonts w:cs="Arial"/>
          <w:szCs w:val="20"/>
          <w:lang w:val="es-ES"/>
        </w:rPr>
        <w:t>C</w:t>
      </w:r>
      <w:r w:rsidRPr="00470C7C">
        <w:rPr>
          <w:rFonts w:cs="Arial"/>
          <w:szCs w:val="20"/>
          <w:lang w:val="es-ES"/>
        </w:rPr>
        <w:t xml:space="preserve">onsideró que los elementos probatorios con que se contaba la instrucción criminal resultaban </w:t>
      </w:r>
      <w:r w:rsidRPr="00470C7C">
        <w:rPr>
          <w:rFonts w:cs="Times New Roman"/>
          <w:szCs w:val="20"/>
          <w:lang w:val="es-ES"/>
        </w:rPr>
        <w:t>“</w:t>
      </w:r>
      <w:r w:rsidRPr="00470C7C">
        <w:rPr>
          <w:rFonts w:cs="Arial"/>
          <w:szCs w:val="20"/>
          <w:lang w:val="es-ES"/>
        </w:rPr>
        <w:t>inútiles”. Con base en lo anterior, así como en la falta de acción por parte del Estado, la política criminal y la economía procesal, el juez decidió declarar extinta la acción penal</w:t>
      </w:r>
      <w:r w:rsidRPr="00470C7C">
        <w:rPr>
          <w:rStyle w:val="Refdenotaalpie"/>
          <w:rFonts w:cs="Arial"/>
          <w:bCs/>
          <w:lang w:val="es-ES"/>
        </w:rPr>
        <w:footnoteReference w:id="168"/>
      </w:r>
      <w:r w:rsidRPr="00470C7C">
        <w:rPr>
          <w:rFonts w:cs="Arial"/>
          <w:bCs/>
          <w:szCs w:val="20"/>
          <w:lang w:val="es-ES"/>
        </w:rPr>
        <w:t>.</w:t>
      </w:r>
    </w:p>
    <w:p w14:paraId="2DBA1E3E" w14:textId="77777777" w:rsidR="0003391C" w:rsidRPr="00470C7C" w:rsidRDefault="0003391C" w:rsidP="00140440">
      <w:pPr>
        <w:pStyle w:val="Prrafodelista"/>
        <w:autoSpaceDE w:val="0"/>
        <w:autoSpaceDN w:val="0"/>
        <w:adjustRightInd w:val="0"/>
        <w:ind w:left="0"/>
        <w:contextualSpacing w:val="0"/>
        <w:rPr>
          <w:rFonts w:cs="Arial"/>
          <w:bCs/>
          <w:szCs w:val="20"/>
          <w:lang w:val="es-ES"/>
        </w:rPr>
      </w:pPr>
    </w:p>
    <w:p w14:paraId="58270AD0" w14:textId="77777777" w:rsidR="0003391C" w:rsidRPr="00470C7C" w:rsidRDefault="006E2220" w:rsidP="008622F3">
      <w:pPr>
        <w:pStyle w:val="Ttulo3"/>
      </w:pPr>
      <w:bookmarkStart w:id="289" w:name="_Toc460433015"/>
      <w:bookmarkStart w:id="290" w:name="_Toc460441946"/>
      <w:bookmarkStart w:id="291" w:name="_Toc462750764"/>
      <w:bookmarkStart w:id="292" w:name="_Toc462751088"/>
      <w:bookmarkStart w:id="293" w:name="_Toc464813940"/>
      <w:r w:rsidRPr="00470C7C">
        <w:t>B</w:t>
      </w:r>
      <w:r w:rsidR="004E708F" w:rsidRPr="00470C7C">
        <w:t>.</w:t>
      </w:r>
      <w:r w:rsidR="008622F3" w:rsidRPr="00470C7C">
        <w:t>2</w:t>
      </w:r>
      <w:r w:rsidR="00DC2886" w:rsidRPr="00470C7C">
        <w:t>.</w:t>
      </w:r>
      <w:r w:rsidR="0003391C" w:rsidRPr="00470C7C">
        <w:t xml:space="preserve"> </w:t>
      </w:r>
      <w:r w:rsidR="00FD7C20" w:rsidRPr="00470C7C">
        <w:t>Continuación de</w:t>
      </w:r>
      <w:r w:rsidR="0003391C" w:rsidRPr="00470C7C">
        <w:t xml:space="preserve">l procedimiento realizado por el Ministerio del Trabajo relativo a </w:t>
      </w:r>
      <w:r w:rsidR="00917270" w:rsidRPr="00470C7C">
        <w:t xml:space="preserve">una segunda </w:t>
      </w:r>
      <w:r w:rsidR="0003391C" w:rsidRPr="00470C7C">
        <w:t xml:space="preserve">visita </w:t>
      </w:r>
      <w:r w:rsidR="00917270" w:rsidRPr="00470C7C">
        <w:t>en</w:t>
      </w:r>
      <w:r w:rsidR="0003391C" w:rsidRPr="00470C7C">
        <w:t xml:space="preserve"> 1997</w:t>
      </w:r>
      <w:bookmarkEnd w:id="289"/>
      <w:bookmarkEnd w:id="290"/>
      <w:bookmarkEnd w:id="291"/>
      <w:bookmarkEnd w:id="292"/>
      <w:bookmarkEnd w:id="293"/>
    </w:p>
    <w:p w14:paraId="6CD6A2AE" w14:textId="77777777" w:rsidR="0003391C" w:rsidRPr="00470C7C" w:rsidRDefault="0003391C" w:rsidP="00140440">
      <w:pPr>
        <w:autoSpaceDE w:val="0"/>
        <w:autoSpaceDN w:val="0"/>
        <w:adjustRightInd w:val="0"/>
        <w:jc w:val="both"/>
        <w:rPr>
          <w:rFonts w:cs="Arial"/>
          <w:iCs/>
          <w:szCs w:val="20"/>
          <w:lang w:val="es-ES"/>
        </w:rPr>
      </w:pPr>
    </w:p>
    <w:p w14:paraId="012BD43E" w14:textId="77777777" w:rsidR="0003391C" w:rsidRPr="00470C7C" w:rsidRDefault="0003391C" w:rsidP="00140440">
      <w:pPr>
        <w:pStyle w:val="Prrafodelista"/>
        <w:numPr>
          <w:ilvl w:val="0"/>
          <w:numId w:val="1"/>
        </w:numPr>
        <w:autoSpaceDE w:val="0"/>
        <w:autoSpaceDN w:val="0"/>
        <w:adjustRightInd w:val="0"/>
        <w:contextualSpacing w:val="0"/>
        <w:rPr>
          <w:rFonts w:cs="Times New Roman"/>
          <w:szCs w:val="20"/>
          <w:lang w:val="es-ES"/>
        </w:rPr>
      </w:pPr>
      <w:r w:rsidRPr="00470C7C">
        <w:rPr>
          <w:rFonts w:cs="Arial"/>
          <w:szCs w:val="20"/>
          <w:lang w:val="es-ES"/>
        </w:rPr>
        <w:t>El 13 de octubre de 1998 el Ministerio Público del Trabajo solicitó a la Delegación Regional del Trabajo de Pará la realización de una nueva fiscalización a la hacienda, debido al tiempo transcurrido desde la última</w:t>
      </w:r>
      <w:r w:rsidRPr="00470C7C">
        <w:rPr>
          <w:rStyle w:val="Refdenotaalpie"/>
          <w:rFonts w:cs="Arial"/>
          <w:lang w:val="es-ES"/>
        </w:rPr>
        <w:footnoteReference w:id="169"/>
      </w:r>
      <w:r w:rsidRPr="00470C7C">
        <w:rPr>
          <w:rFonts w:cs="Times New Roman"/>
          <w:szCs w:val="20"/>
          <w:lang w:val="es-ES"/>
        </w:rPr>
        <w:t xml:space="preserve">. </w:t>
      </w:r>
      <w:r w:rsidRPr="00470C7C">
        <w:rPr>
          <w:rFonts w:cs="Arial"/>
          <w:szCs w:val="20"/>
          <w:lang w:val="es-ES"/>
        </w:rPr>
        <w:t>El 8 de febrero de 1999 la DRT de Pará informó que no había realizado la fiscalización por falta de recursos financieros</w:t>
      </w:r>
      <w:r w:rsidRPr="00470C7C">
        <w:rPr>
          <w:rStyle w:val="Refdenotaalpie"/>
          <w:rFonts w:cs="Arial"/>
          <w:lang w:val="es-ES"/>
        </w:rPr>
        <w:footnoteReference w:id="170"/>
      </w:r>
      <w:r w:rsidRPr="00470C7C">
        <w:rPr>
          <w:rFonts w:cs="Arial"/>
          <w:szCs w:val="20"/>
          <w:lang w:val="es-ES"/>
        </w:rPr>
        <w:t>. El 15 de junio de 1999 el Ministerio Público del Trabajo reiteró su solicitud</w:t>
      </w:r>
      <w:r w:rsidRPr="00470C7C">
        <w:rPr>
          <w:rStyle w:val="Refdenotaalpie"/>
          <w:rFonts w:cs="Arial"/>
          <w:lang w:val="es-ES"/>
        </w:rPr>
        <w:footnoteReference w:id="171"/>
      </w:r>
      <w:r w:rsidRPr="00470C7C">
        <w:rPr>
          <w:rFonts w:cs="Arial"/>
          <w:szCs w:val="20"/>
          <w:lang w:val="es-ES"/>
        </w:rPr>
        <w:t>.</w:t>
      </w:r>
    </w:p>
    <w:p w14:paraId="0979F8B6" w14:textId="77777777" w:rsidR="0003391C" w:rsidRPr="00470C7C" w:rsidRDefault="0003391C" w:rsidP="00140440">
      <w:pPr>
        <w:pStyle w:val="Prrafodelista"/>
        <w:contextualSpacing w:val="0"/>
        <w:rPr>
          <w:rFonts w:cs="Times New Roman"/>
          <w:szCs w:val="20"/>
          <w:lang w:val="es-ES"/>
        </w:rPr>
      </w:pPr>
    </w:p>
    <w:p w14:paraId="27471BB6" w14:textId="77777777" w:rsidR="0003391C" w:rsidRPr="00470C7C" w:rsidRDefault="0003391C" w:rsidP="00140440">
      <w:pPr>
        <w:pStyle w:val="Prrafodelista"/>
        <w:numPr>
          <w:ilvl w:val="0"/>
          <w:numId w:val="1"/>
        </w:numPr>
        <w:autoSpaceDE w:val="0"/>
        <w:autoSpaceDN w:val="0"/>
        <w:adjustRightInd w:val="0"/>
        <w:contextualSpacing w:val="0"/>
        <w:rPr>
          <w:rFonts w:cs="Arial"/>
          <w:i/>
          <w:iCs/>
          <w:szCs w:val="20"/>
          <w:lang w:val="es-ES"/>
        </w:rPr>
      </w:pPr>
      <w:r w:rsidRPr="00470C7C">
        <w:rPr>
          <w:rFonts w:cs="Arial"/>
          <w:szCs w:val="20"/>
          <w:lang w:val="es-ES"/>
        </w:rPr>
        <w:t>El 15 de enero de 1999 la Procuraduría del Trabajo recomendó al propietario de la Hacienda Brasil Verde abstenerse de la práctica de cobranza de calzado "so pena de tomarse medidas judiciales" al respecto</w:t>
      </w:r>
      <w:r w:rsidRPr="00470C7C">
        <w:rPr>
          <w:rStyle w:val="Refdenotaalpie"/>
          <w:rFonts w:cs="Arial"/>
          <w:lang w:val="es-ES"/>
        </w:rPr>
        <w:footnoteReference w:id="172"/>
      </w:r>
      <w:r w:rsidRPr="00470C7C">
        <w:rPr>
          <w:rFonts w:cs="Arial"/>
          <w:szCs w:val="20"/>
          <w:lang w:val="es-ES"/>
        </w:rPr>
        <w:t xml:space="preserve">. </w:t>
      </w:r>
    </w:p>
    <w:p w14:paraId="6DFEDFEE" w14:textId="77777777" w:rsidR="0003391C" w:rsidRPr="00470C7C" w:rsidRDefault="0003391C" w:rsidP="00140440">
      <w:pPr>
        <w:pStyle w:val="Prrafodelista"/>
        <w:autoSpaceDE w:val="0"/>
        <w:autoSpaceDN w:val="0"/>
        <w:adjustRightInd w:val="0"/>
        <w:ind w:left="0"/>
        <w:contextualSpacing w:val="0"/>
        <w:rPr>
          <w:rFonts w:cs="Times New Roman"/>
          <w:szCs w:val="20"/>
          <w:lang w:val="es-ES"/>
        </w:rPr>
      </w:pPr>
    </w:p>
    <w:p w14:paraId="65E1A89B" w14:textId="77777777" w:rsidR="004766BC" w:rsidRPr="00470C7C" w:rsidRDefault="006E2220" w:rsidP="008622F3">
      <w:pPr>
        <w:pStyle w:val="Ttulo3"/>
      </w:pPr>
      <w:bookmarkStart w:id="294" w:name="_Toc460433016"/>
      <w:bookmarkStart w:id="295" w:name="_Toc460441947"/>
      <w:bookmarkStart w:id="296" w:name="_Toc462750765"/>
      <w:bookmarkStart w:id="297" w:name="_Toc462751089"/>
      <w:bookmarkStart w:id="298" w:name="_Toc464813941"/>
      <w:r w:rsidRPr="00470C7C">
        <w:t>B</w:t>
      </w:r>
      <w:r w:rsidR="004766BC" w:rsidRPr="00470C7C">
        <w:t>.</w:t>
      </w:r>
      <w:r w:rsidR="004B71B2" w:rsidRPr="00470C7C">
        <w:t>3</w:t>
      </w:r>
      <w:r w:rsidR="00DC2886" w:rsidRPr="00470C7C">
        <w:t>.</w:t>
      </w:r>
      <w:r w:rsidR="004766BC" w:rsidRPr="00470C7C">
        <w:t xml:space="preserve"> La visita a la Hacienda Brasil Verde en 2000</w:t>
      </w:r>
      <w:bookmarkEnd w:id="294"/>
      <w:bookmarkEnd w:id="295"/>
      <w:bookmarkEnd w:id="296"/>
      <w:bookmarkEnd w:id="297"/>
      <w:bookmarkEnd w:id="298"/>
      <w:r w:rsidR="004766BC" w:rsidRPr="00470C7C">
        <w:t xml:space="preserve"> </w:t>
      </w:r>
    </w:p>
    <w:p w14:paraId="1D0E1D33" w14:textId="77777777" w:rsidR="004766BC" w:rsidRPr="00470C7C" w:rsidRDefault="004766BC" w:rsidP="004766BC">
      <w:pPr>
        <w:autoSpaceDE w:val="0"/>
        <w:autoSpaceDN w:val="0"/>
        <w:adjustRightInd w:val="0"/>
        <w:jc w:val="both"/>
        <w:rPr>
          <w:rFonts w:cs="Arial"/>
          <w:szCs w:val="20"/>
          <w:lang w:val="es-ES"/>
        </w:rPr>
      </w:pPr>
    </w:p>
    <w:p w14:paraId="4182EDAB" w14:textId="77777777" w:rsidR="004766BC" w:rsidRPr="00470C7C" w:rsidRDefault="004766BC" w:rsidP="004766BC">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 </w:t>
      </w:r>
      <w:r w:rsidRPr="00470C7C">
        <w:t xml:space="preserve">Durante </w:t>
      </w:r>
      <w:r w:rsidR="004D50FA" w:rsidRPr="00470C7C">
        <w:t xml:space="preserve">el </w:t>
      </w:r>
      <w:r w:rsidRPr="00470C7C">
        <w:t>mes de febrero de 2000, el</w:t>
      </w:r>
      <w:r w:rsidR="00DB1C1D" w:rsidRPr="00470C7C">
        <w:rPr>
          <w:i/>
        </w:rPr>
        <w:t xml:space="preserve"> gato </w:t>
      </w:r>
      <w:r w:rsidRPr="00470C7C">
        <w:t>conocido como “</w:t>
      </w:r>
      <w:proofErr w:type="spellStart"/>
      <w:r w:rsidRPr="00470C7C">
        <w:t>Meladinho</w:t>
      </w:r>
      <w:proofErr w:type="spellEnd"/>
      <w:r w:rsidRPr="00470C7C">
        <w:t>” reclutó a trabajadores en el Municipio de Barras, Estado de Piauí, para trabajar en la Hacienda Brasil Verde</w:t>
      </w:r>
      <w:r w:rsidRPr="00470C7C">
        <w:rPr>
          <w:vertAlign w:val="superscript"/>
        </w:rPr>
        <w:footnoteReference w:id="173"/>
      </w:r>
      <w:r w:rsidRPr="00470C7C">
        <w:t>. El</w:t>
      </w:r>
      <w:r w:rsidR="00DB1C1D" w:rsidRPr="00470C7C">
        <w:rPr>
          <w:i/>
        </w:rPr>
        <w:t xml:space="preserve"> gato </w:t>
      </w:r>
      <w:r w:rsidRPr="00470C7C">
        <w:t>comentaba que el salario que recibirían sería de 10 reales por “</w:t>
      </w:r>
      <w:proofErr w:type="spellStart"/>
      <w:r w:rsidRPr="00470C7C">
        <w:rPr>
          <w:i/>
        </w:rPr>
        <w:t>alqueire</w:t>
      </w:r>
      <w:proofErr w:type="spellEnd"/>
      <w:r w:rsidRPr="00470C7C">
        <w:rPr>
          <w:i/>
        </w:rPr>
        <w:t xml:space="preserve"> de </w:t>
      </w:r>
      <w:proofErr w:type="spellStart"/>
      <w:r w:rsidRPr="00470C7C">
        <w:rPr>
          <w:i/>
        </w:rPr>
        <w:t>juquira</w:t>
      </w:r>
      <w:proofErr w:type="spellEnd"/>
      <w:r w:rsidRPr="00470C7C">
        <w:rPr>
          <w:i/>
        </w:rPr>
        <w:t xml:space="preserve"> </w:t>
      </w:r>
      <w:proofErr w:type="spellStart"/>
      <w:r w:rsidRPr="00470C7C">
        <w:rPr>
          <w:i/>
        </w:rPr>
        <w:t>roçada</w:t>
      </w:r>
      <w:proofErr w:type="spellEnd"/>
      <w:r w:rsidRPr="00470C7C">
        <w:t>”</w:t>
      </w:r>
      <w:r w:rsidR="004D50FA" w:rsidRPr="00470C7C">
        <w:rPr>
          <w:rStyle w:val="Refdenotaalpie"/>
        </w:rPr>
        <w:footnoteReference w:id="174"/>
      </w:r>
      <w:r w:rsidRPr="00470C7C">
        <w:t>, lo cual era considerado por los trabajadores como un salario muy atractivo. Asimismo, como parte de la oferta, el</w:t>
      </w:r>
      <w:r w:rsidR="00DB1C1D" w:rsidRPr="00470C7C">
        <w:rPr>
          <w:i/>
        </w:rPr>
        <w:t xml:space="preserve"> gato </w:t>
      </w:r>
      <w:r w:rsidRPr="00470C7C">
        <w:t xml:space="preserve">les entregaba a los interesados un adelanto de </w:t>
      </w:r>
      <w:r w:rsidR="00736356" w:rsidRPr="00470C7C">
        <w:t>salario de entre 30 y 60 reales</w:t>
      </w:r>
      <w:r w:rsidRPr="00470C7C">
        <w:t xml:space="preserve">. Además, les ofrecía transporte, alimentación y alojamiento durante su estadía en la hacienda. </w:t>
      </w:r>
    </w:p>
    <w:p w14:paraId="56E47F2E" w14:textId="77777777" w:rsidR="004766BC" w:rsidRPr="00470C7C" w:rsidRDefault="004766BC" w:rsidP="004766BC">
      <w:pPr>
        <w:pStyle w:val="Prrafodelista"/>
        <w:autoSpaceDE w:val="0"/>
        <w:autoSpaceDN w:val="0"/>
        <w:adjustRightInd w:val="0"/>
        <w:ind w:left="0"/>
        <w:contextualSpacing w:val="0"/>
        <w:rPr>
          <w:rFonts w:cs="Arial"/>
          <w:szCs w:val="20"/>
          <w:lang w:val="es-ES"/>
        </w:rPr>
      </w:pPr>
    </w:p>
    <w:p w14:paraId="16EFDB2F" w14:textId="77777777" w:rsidR="004766BC" w:rsidRPr="00470C7C" w:rsidRDefault="004766BC" w:rsidP="004766BC">
      <w:pPr>
        <w:pStyle w:val="Prrafodelista"/>
        <w:numPr>
          <w:ilvl w:val="0"/>
          <w:numId w:val="1"/>
        </w:numPr>
        <w:autoSpaceDE w:val="0"/>
        <w:autoSpaceDN w:val="0"/>
        <w:adjustRightInd w:val="0"/>
        <w:contextualSpacing w:val="0"/>
        <w:rPr>
          <w:rFonts w:cs="Arial"/>
          <w:szCs w:val="20"/>
          <w:lang w:val="es-ES"/>
        </w:rPr>
      </w:pPr>
      <w:r w:rsidRPr="00470C7C">
        <w:t xml:space="preserve">Para llegar a la Hacienda Brasil Verde, los trabajadores reclutados tuvieron que viajar durante aproximadamente tres días en bus, tren y camión. Respecto del tren, las presuntas víctimas describieron que el viaje les generó mucho sufrimiento, porque los colocaron en vagones sin sillas, no aptos para el transporte de personas. Asimismo, declararon que el camión era utilizado para transportar animales, teniendo entonces que compartir el espacio con ellos, sintiendo una profunda humillación. Además, los trabajadores tuvieron que permanecer una noche en un hotel situado en la ciudad de </w:t>
      </w:r>
      <w:proofErr w:type="spellStart"/>
      <w:r w:rsidRPr="00470C7C">
        <w:t>Xinguara</w:t>
      </w:r>
      <w:proofErr w:type="spellEnd"/>
      <w:r w:rsidRPr="00470C7C">
        <w:t>, con el cual quedaron endeudados</w:t>
      </w:r>
      <w:r w:rsidRPr="00470C7C">
        <w:rPr>
          <w:vertAlign w:val="superscript"/>
        </w:rPr>
        <w:footnoteReference w:id="175"/>
      </w:r>
      <w:r w:rsidRPr="00470C7C">
        <w:t>.</w:t>
      </w:r>
    </w:p>
    <w:p w14:paraId="0AB85AE4" w14:textId="77777777" w:rsidR="004766BC" w:rsidRPr="00470C7C" w:rsidRDefault="004766BC" w:rsidP="004766BC">
      <w:pPr>
        <w:pStyle w:val="Prrafodelista"/>
        <w:rPr>
          <w:rFonts w:cs="Arial"/>
          <w:szCs w:val="20"/>
          <w:lang w:val="es-ES"/>
        </w:rPr>
      </w:pPr>
    </w:p>
    <w:p w14:paraId="5D8394DF" w14:textId="77777777" w:rsidR="004766BC" w:rsidRPr="00470C7C" w:rsidRDefault="004766BC" w:rsidP="004766BC">
      <w:pPr>
        <w:pStyle w:val="Prrafodelista"/>
        <w:numPr>
          <w:ilvl w:val="0"/>
          <w:numId w:val="1"/>
        </w:numPr>
        <w:autoSpaceDE w:val="0"/>
        <w:autoSpaceDN w:val="0"/>
        <w:adjustRightInd w:val="0"/>
        <w:contextualSpacing w:val="0"/>
        <w:rPr>
          <w:rFonts w:cs="Arial"/>
          <w:szCs w:val="20"/>
          <w:lang w:val="es-ES"/>
        </w:rPr>
      </w:pPr>
      <w:r w:rsidRPr="00470C7C">
        <w:t>Cuando los trabajadores llegaron a la Hacienda Brasil Verde entregaron sus cédulas de trabajo al gerente conocido como “</w:t>
      </w:r>
      <w:proofErr w:type="spellStart"/>
      <w:r w:rsidRPr="00470C7C">
        <w:t>Toninho</w:t>
      </w:r>
      <w:proofErr w:type="spellEnd"/>
      <w:r w:rsidRPr="00470C7C">
        <w:t>”, sin que éstas les fueran posteriormente regresadas. Asimismo, el gerente los obligó a firmar documentos en blanco. Esta práctica era conocida por el Estado en virtud de inspecciones anteriores</w:t>
      </w:r>
      <w:r w:rsidRPr="00470C7C">
        <w:rPr>
          <w:rStyle w:val="Refdenotaalpie"/>
        </w:rPr>
        <w:footnoteReference w:id="176"/>
      </w:r>
      <w:r w:rsidRPr="00470C7C">
        <w:t>.</w:t>
      </w:r>
      <w:r w:rsidRPr="00470C7C">
        <w:rPr>
          <w:rFonts w:cs="Arial"/>
          <w:szCs w:val="20"/>
        </w:rPr>
        <w:t xml:space="preserve"> Al llegar a la Hacienda, los trabajadores </w:t>
      </w:r>
      <w:r w:rsidRPr="00470C7C">
        <w:t>se percataron de que nada de lo ofrecido era cierto</w:t>
      </w:r>
      <w:r w:rsidRPr="00470C7C">
        <w:rPr>
          <w:vertAlign w:val="superscript"/>
        </w:rPr>
        <w:footnoteReference w:id="177"/>
      </w:r>
      <w:r w:rsidRPr="00470C7C">
        <w:t>. En relación con las condiciones de alojamiento los trabajadores dormían en ranchos de madera sin energía eléctrica, ni camas, ni armarios. Las paredes eran de tablas irregulares y el techo de lona, lo que generaba que los trabajadores se mojaran en caso de lluvia. En los ranchos dormían decenas de trabajadores, en hamacas o redes. El sanitario y la ducha se encontraban en muy mal estado, afuera del rancho entre la vegetación, y no contaba</w:t>
      </w:r>
      <w:r w:rsidR="003C3D81" w:rsidRPr="00470C7C">
        <w:t>n</w:t>
      </w:r>
      <w:r w:rsidRPr="00470C7C">
        <w:t xml:space="preserve"> con paredes ni techo. Además, producto de la suciedad de los baños, algunos trabajadores preferían hacer sus necesidades corporales en la vegetación y bañarse en una quebrada, o no bañarse del todo</w:t>
      </w:r>
      <w:r w:rsidRPr="00470C7C">
        <w:rPr>
          <w:vertAlign w:val="superscript"/>
        </w:rPr>
        <w:footnoteReference w:id="178"/>
      </w:r>
      <w:r w:rsidRPr="00470C7C">
        <w:t>.</w:t>
      </w:r>
    </w:p>
    <w:p w14:paraId="1BF32A1F" w14:textId="77777777" w:rsidR="004766BC" w:rsidRPr="00470C7C" w:rsidRDefault="004766BC" w:rsidP="004766BC">
      <w:pPr>
        <w:pStyle w:val="Prrafodelista"/>
        <w:ind w:left="0"/>
      </w:pPr>
    </w:p>
    <w:p w14:paraId="5AA3AB72" w14:textId="77777777" w:rsidR="004766BC" w:rsidRPr="00470C7C" w:rsidRDefault="004766BC" w:rsidP="004766BC">
      <w:pPr>
        <w:pStyle w:val="Prrafodelista"/>
        <w:numPr>
          <w:ilvl w:val="0"/>
          <w:numId w:val="1"/>
        </w:numPr>
        <w:contextualSpacing w:val="0"/>
      </w:pPr>
      <w:r w:rsidRPr="00470C7C">
        <w:t>Por otra parte, la alimentación que recibían los trabajadores era insuficiente, repetitiva y de mala calidad. La comida era preparada por la cocinera de la hacienda, en un establecimiento en malas condiciones y al aire libre. El agua que consumían provenía de una pequeña cascada que caía en medio de la vegetación, era almacenada en recipientes inadecuados y repartida en botellas colectivas. Durante la jornada laboral, los trabajadores almorzaban en las plantaciones que se encontraban cortando. Asimismo, toda la comida que consumían era anotada en cuadernos para luego descontarla de sus salarios</w:t>
      </w:r>
      <w:r w:rsidRPr="00470C7C">
        <w:rPr>
          <w:vertAlign w:val="superscript"/>
        </w:rPr>
        <w:footnoteReference w:id="179"/>
      </w:r>
      <w:r w:rsidRPr="00470C7C">
        <w:t>.</w:t>
      </w:r>
    </w:p>
    <w:p w14:paraId="53F5197E" w14:textId="77777777" w:rsidR="004766BC" w:rsidRPr="00470C7C" w:rsidRDefault="004766BC" w:rsidP="004766BC">
      <w:pPr>
        <w:pStyle w:val="Prrafodelista"/>
        <w:ind w:left="0"/>
      </w:pPr>
    </w:p>
    <w:p w14:paraId="7CDFD1E2" w14:textId="77777777" w:rsidR="004766BC" w:rsidRPr="00470C7C" w:rsidRDefault="004766BC" w:rsidP="004766BC">
      <w:pPr>
        <w:pStyle w:val="Prrafodelista"/>
        <w:numPr>
          <w:ilvl w:val="0"/>
          <w:numId w:val="1"/>
        </w:numPr>
        <w:contextualSpacing w:val="0"/>
      </w:pPr>
      <w:r w:rsidRPr="00470C7C">
        <w:t xml:space="preserve">Los trabajadores eran despertados a las 3:00 de la madrugada de forma violenta por parte de uno de los encargados de la hacienda. Luego debían desplazarse a pie o en camión a la plantación en la que trabajarían, que se encontraba a </w:t>
      </w:r>
      <w:r w:rsidR="004D50FA" w:rsidRPr="00470C7C">
        <w:t xml:space="preserve">varios </w:t>
      </w:r>
      <w:r w:rsidRPr="00470C7C">
        <w:t xml:space="preserve">kilómetros de los ranchos. La jornada de trabajo era de 12 horas o más, de aproximadamente seis de la mañana a seis de la tarde, con un descanso de media hora para almorzar. Los trabajadores eran divididos en grupos de aproximadamente 10 personas y trabajaban cortando </w:t>
      </w:r>
      <w:proofErr w:type="spellStart"/>
      <w:r w:rsidRPr="00470C7C">
        <w:rPr>
          <w:i/>
        </w:rPr>
        <w:t>juquira</w:t>
      </w:r>
      <w:proofErr w:type="spellEnd"/>
      <w:r w:rsidRPr="00470C7C">
        <w:t>. Concluidas sus labores los trabajadores eran recogidos por un camión y regresados a los ranchos. Solo tenían los domingos como día de descanso</w:t>
      </w:r>
      <w:r w:rsidRPr="00470C7C">
        <w:rPr>
          <w:vertAlign w:val="superscript"/>
        </w:rPr>
        <w:footnoteReference w:id="180"/>
      </w:r>
      <w:r w:rsidRPr="00470C7C">
        <w:t xml:space="preserve">. </w:t>
      </w:r>
    </w:p>
    <w:p w14:paraId="3183C682" w14:textId="77777777" w:rsidR="004766BC" w:rsidRPr="00470C7C" w:rsidRDefault="004766BC" w:rsidP="004766BC">
      <w:pPr>
        <w:pStyle w:val="Prrafodelista"/>
        <w:ind w:left="0"/>
      </w:pPr>
    </w:p>
    <w:p w14:paraId="2763495D" w14:textId="77777777" w:rsidR="004766BC" w:rsidRPr="00470C7C" w:rsidRDefault="004766BC" w:rsidP="004766BC">
      <w:pPr>
        <w:pStyle w:val="Prrafodelista"/>
        <w:numPr>
          <w:ilvl w:val="0"/>
          <w:numId w:val="1"/>
        </w:numPr>
        <w:autoSpaceDE w:val="0"/>
        <w:autoSpaceDN w:val="0"/>
        <w:adjustRightInd w:val="0"/>
        <w:contextualSpacing w:val="0"/>
        <w:rPr>
          <w:rFonts w:cs="Arial"/>
          <w:szCs w:val="20"/>
          <w:lang w:val="es-ES"/>
        </w:rPr>
      </w:pPr>
      <w:r w:rsidRPr="00470C7C">
        <w:t>Por consumir agua contaminada y realizar sus labores bajo la lluvia y con los pies cubiertos por agua, entre otros factores, algunos trabajadores se enfermaban con facilidad y regularidad. Particularmente, los trabajadores se contagiaban de hongos en sus pies, lo que les generaba mucho dolor, al punto de que la enfermedad les impedía ponerse las botas para realizar sus labores. Sin embargo, en la hacienda no había personal médico que los atendiera, ni recibían visitas de médicos de los pueblos cercanos. Si los trabajadores enfermos querían recibir medicamentos, debían solicitarlos a los encargados de la hacienda y estos los iban a comprar al pueblo, descontando el costo de sus salarios. Como el pago era recibido por la producción que generaban, los trabajadores tenían que ir a las plantaciones a pesar de estar enfermos</w:t>
      </w:r>
      <w:r w:rsidRPr="00470C7C">
        <w:rPr>
          <w:vertAlign w:val="superscript"/>
        </w:rPr>
        <w:footnoteReference w:id="181"/>
      </w:r>
      <w:r w:rsidRPr="00470C7C">
        <w:t>.</w:t>
      </w:r>
    </w:p>
    <w:p w14:paraId="270229FC" w14:textId="77777777" w:rsidR="004766BC" w:rsidRPr="00470C7C" w:rsidRDefault="004766BC" w:rsidP="004766BC">
      <w:pPr>
        <w:pStyle w:val="Prrafodelista"/>
        <w:rPr>
          <w:rFonts w:cs="Arial"/>
          <w:szCs w:val="20"/>
          <w:lang w:val="es-ES"/>
        </w:rPr>
      </w:pPr>
    </w:p>
    <w:p w14:paraId="1911810A" w14:textId="77777777" w:rsidR="004766BC" w:rsidRPr="00470C7C" w:rsidRDefault="004766BC" w:rsidP="004766BC">
      <w:pPr>
        <w:pStyle w:val="Prrafodelista"/>
        <w:numPr>
          <w:ilvl w:val="0"/>
          <w:numId w:val="1"/>
        </w:numPr>
        <w:contextualSpacing w:val="0"/>
      </w:pPr>
      <w:r w:rsidRPr="00470C7C">
        <w:t>Además, para poder recibir un salario los trabajadores tenían que cumplir una meta de producción que les era asignada por los encargados de la hacienda. Sin embargo, alcanzar dicha meta era muy difícil, razón por la cual no recibían ningún pago por sus servicios</w:t>
      </w:r>
      <w:r w:rsidRPr="00470C7C">
        <w:rPr>
          <w:vertAlign w:val="superscript"/>
        </w:rPr>
        <w:footnoteReference w:id="182"/>
      </w:r>
      <w:r w:rsidRPr="00470C7C">
        <w:t>.</w:t>
      </w:r>
    </w:p>
    <w:p w14:paraId="4F9023F7" w14:textId="77777777" w:rsidR="004766BC" w:rsidRPr="00470C7C" w:rsidRDefault="004766BC" w:rsidP="004766BC">
      <w:pPr>
        <w:pStyle w:val="Prrafodelista"/>
        <w:ind w:left="0"/>
      </w:pPr>
    </w:p>
    <w:p w14:paraId="67C09192" w14:textId="77777777" w:rsidR="004766BC" w:rsidRPr="00470C7C" w:rsidRDefault="004766BC" w:rsidP="004766BC">
      <w:pPr>
        <w:pStyle w:val="Prrafodelista"/>
        <w:numPr>
          <w:ilvl w:val="0"/>
          <w:numId w:val="1"/>
        </w:numPr>
        <w:contextualSpacing w:val="0"/>
      </w:pPr>
      <w:r w:rsidRPr="00470C7C">
        <w:t xml:space="preserve">También, los trabajadores eran obligados a realizar sus labores bajo las órdenes y amenazas de los encargados de la hacienda. Dichos encargados portaban armas de fuego y los vigilaban permanentemente. Asimismo, uno de los encargados de la vigilancia les contó a las presuntas víctimas que había matado a un trabajador después de una discusión y lo había enterrado en la hacienda, por lo que los trabajadores tenían miedo de que les pasara lo mismo a ellos. </w:t>
      </w:r>
      <w:proofErr w:type="spellStart"/>
      <w:r w:rsidR="00D60654" w:rsidRPr="00470C7C">
        <w:t>Antônio</w:t>
      </w:r>
      <w:proofErr w:type="spellEnd"/>
      <w:r w:rsidR="00D60654" w:rsidRPr="00470C7C">
        <w:t xml:space="preserve"> </w:t>
      </w:r>
      <w:r w:rsidRPr="00470C7C">
        <w:t>Francisco da Silva también denunció ante la policía federal la desaparición de un colega de trabajo en la Hacienda Brasil Verde. En virtud de ello, los trabajadores no podían salir de la hacienda y temían por sus vidas</w:t>
      </w:r>
      <w:r w:rsidRPr="00470C7C">
        <w:rPr>
          <w:vertAlign w:val="superscript"/>
        </w:rPr>
        <w:footnoteReference w:id="183"/>
      </w:r>
      <w:r w:rsidRPr="00470C7C">
        <w:t>.</w:t>
      </w:r>
    </w:p>
    <w:p w14:paraId="619D7BE2" w14:textId="77777777" w:rsidR="0089192A" w:rsidRPr="00470C7C" w:rsidRDefault="0089192A" w:rsidP="0089192A">
      <w:pPr>
        <w:pStyle w:val="Prrafodelista"/>
        <w:ind w:left="0"/>
        <w:contextualSpacing w:val="0"/>
      </w:pPr>
    </w:p>
    <w:p w14:paraId="71A671E1" w14:textId="77777777" w:rsidR="004766BC" w:rsidRPr="00470C7C" w:rsidRDefault="00C12173" w:rsidP="004766BC">
      <w:pPr>
        <w:pStyle w:val="Prrafodelista"/>
        <w:numPr>
          <w:ilvl w:val="0"/>
          <w:numId w:val="1"/>
        </w:numPr>
        <w:contextualSpacing w:val="0"/>
      </w:pPr>
      <w:r w:rsidRPr="00470C7C">
        <w:t>C</w:t>
      </w:r>
      <w:r w:rsidR="004766BC" w:rsidRPr="00470C7C">
        <w:t xml:space="preserve">omo consecuencia de </w:t>
      </w:r>
      <w:r w:rsidRPr="00470C7C">
        <w:t>la prohibición de sali</w:t>
      </w:r>
      <w:r w:rsidR="00075BE8" w:rsidRPr="00470C7C">
        <w:t>r</w:t>
      </w:r>
      <w:r w:rsidRPr="00470C7C">
        <w:t xml:space="preserve"> de la </w:t>
      </w:r>
      <w:r w:rsidR="004766BC" w:rsidRPr="00470C7C">
        <w:t xml:space="preserve">hacienda, si </w:t>
      </w:r>
      <w:r w:rsidRPr="00470C7C">
        <w:t xml:space="preserve">los trabajadores </w:t>
      </w:r>
      <w:r w:rsidR="004766BC" w:rsidRPr="00470C7C">
        <w:t>necesitaban comprar algún producto, les debían decir a los encargados de la hacienda para que fueran a la ciudad a realizar las compras correspondientes y se las entregaran, con la correspondiente deducción del salario</w:t>
      </w:r>
      <w:r w:rsidR="004766BC" w:rsidRPr="00470C7C">
        <w:rPr>
          <w:vertAlign w:val="superscript"/>
        </w:rPr>
        <w:footnoteReference w:id="184"/>
      </w:r>
      <w:r w:rsidR="004766BC" w:rsidRPr="00470C7C">
        <w:t xml:space="preserve">. </w:t>
      </w:r>
    </w:p>
    <w:p w14:paraId="196BAA58" w14:textId="77777777" w:rsidR="004766BC" w:rsidRPr="00470C7C" w:rsidRDefault="004766BC" w:rsidP="004766BC">
      <w:pPr>
        <w:pStyle w:val="Prrafodelista"/>
        <w:ind w:left="0"/>
      </w:pPr>
    </w:p>
    <w:p w14:paraId="5272B122" w14:textId="77777777" w:rsidR="004766BC" w:rsidRPr="00470C7C" w:rsidRDefault="004766BC" w:rsidP="004766BC">
      <w:pPr>
        <w:pStyle w:val="Prrafodelista"/>
        <w:numPr>
          <w:ilvl w:val="0"/>
          <w:numId w:val="1"/>
        </w:numPr>
        <w:contextualSpacing w:val="0"/>
      </w:pPr>
      <w:r w:rsidRPr="00470C7C">
        <w:t>La situación en la cual se encontraban los trabajadores les generaba un profundo deseo de huir de la hacienda. Sin embargo, la vigilancia en la que se encontraban, sumado a la carencia de salario, la ubicación aislada de la hacienda y su alrededor con la presencia de animales salvajes, les impedía regresar a sus hogares. Además, si los encargados de la vigilancia atrapaban a una persona que estaban intentando huir de la hacienda, aparte de regresarlo, le rompían su ropa y hamaca para dormir</w:t>
      </w:r>
      <w:r w:rsidRPr="00470C7C">
        <w:rPr>
          <w:vertAlign w:val="superscript"/>
        </w:rPr>
        <w:footnoteReference w:id="185"/>
      </w:r>
      <w:r w:rsidRPr="00470C7C">
        <w:t xml:space="preserve">. </w:t>
      </w:r>
    </w:p>
    <w:p w14:paraId="150243EA" w14:textId="77777777" w:rsidR="004766BC" w:rsidRPr="00470C7C" w:rsidRDefault="004766BC" w:rsidP="004766BC">
      <w:pPr>
        <w:pStyle w:val="Prrafodelista"/>
      </w:pPr>
    </w:p>
    <w:p w14:paraId="12F42454" w14:textId="77777777" w:rsidR="004766BC" w:rsidRPr="00470C7C" w:rsidRDefault="00C12173" w:rsidP="004766BC">
      <w:pPr>
        <w:pStyle w:val="Prrafodelista"/>
        <w:numPr>
          <w:ilvl w:val="0"/>
          <w:numId w:val="1"/>
        </w:numPr>
        <w:contextualSpacing w:val="0"/>
      </w:pPr>
      <w:r w:rsidRPr="00470C7C">
        <w:t xml:space="preserve">Los jóvenes </w:t>
      </w:r>
      <w:proofErr w:type="spellStart"/>
      <w:r w:rsidR="00D60654" w:rsidRPr="00470C7C">
        <w:t>Antônio</w:t>
      </w:r>
      <w:proofErr w:type="spellEnd"/>
      <w:r w:rsidR="00D60654" w:rsidRPr="00470C7C">
        <w:t xml:space="preserve"> </w:t>
      </w:r>
      <w:r w:rsidR="004766BC" w:rsidRPr="00470C7C">
        <w:t xml:space="preserve">Francisco da Silva y </w:t>
      </w:r>
      <w:r w:rsidR="00AB6218" w:rsidRPr="00470C7C">
        <w:t>José Francisco Furtado de Sousa</w:t>
      </w:r>
      <w:r w:rsidR="004766BC" w:rsidRPr="00470C7C">
        <w:t xml:space="preserve"> decidieron irse de la hacienda</w:t>
      </w:r>
      <w:r w:rsidRPr="00470C7C">
        <w:t xml:space="preserve"> </w:t>
      </w:r>
      <w:r w:rsidR="004B71B2" w:rsidRPr="00470C7C">
        <w:t>durante la primera semana de marzo de 2000</w:t>
      </w:r>
      <w:r w:rsidR="004766BC" w:rsidRPr="00470C7C">
        <w:t xml:space="preserve">. </w:t>
      </w:r>
      <w:r w:rsidR="00B40811" w:rsidRPr="00470C7C">
        <w:t xml:space="preserve">Entre </w:t>
      </w:r>
      <w:r w:rsidR="00620548" w:rsidRPr="00470C7C">
        <w:t xml:space="preserve">el </w:t>
      </w:r>
      <w:r w:rsidR="00B40811" w:rsidRPr="00470C7C">
        <w:t>3 y 5 de marzo, a</w:t>
      </w:r>
      <w:r w:rsidR="004766BC" w:rsidRPr="00470C7C">
        <w:t xml:space="preserve">proximadamente </w:t>
      </w:r>
      <w:r w:rsidRPr="00470C7C">
        <w:t xml:space="preserve">a </w:t>
      </w:r>
      <w:r w:rsidR="004766BC" w:rsidRPr="00470C7C">
        <w:t xml:space="preserve">las tres de la madrugada, uno de los encargados llegó al </w:t>
      </w:r>
      <w:r w:rsidR="00C13373" w:rsidRPr="00470C7C">
        <w:t>cobertizo</w:t>
      </w:r>
      <w:r w:rsidR="004766BC" w:rsidRPr="00470C7C">
        <w:t xml:space="preserve"> a despertar a los trabajadores. </w:t>
      </w:r>
      <w:proofErr w:type="spellStart"/>
      <w:r w:rsidR="00D60654" w:rsidRPr="00470C7C">
        <w:t>Antônio</w:t>
      </w:r>
      <w:proofErr w:type="spellEnd"/>
      <w:r w:rsidR="00D60654" w:rsidRPr="00470C7C">
        <w:t xml:space="preserve"> </w:t>
      </w:r>
      <w:r w:rsidR="004766BC" w:rsidRPr="00470C7C">
        <w:t xml:space="preserve">Francisco da Silva tenía fiebre, y a su compañero </w:t>
      </w:r>
      <w:r w:rsidR="00AB6218" w:rsidRPr="00470C7C">
        <w:t xml:space="preserve">José Francisco Furtado de Sousa </w:t>
      </w:r>
      <w:r w:rsidR="004766BC" w:rsidRPr="00470C7C">
        <w:t xml:space="preserve">se le dificultaba trabajar en virtud de que tenía una prótesis en una pierna. El encargado de vigilancia les consultó de forma agresiva si iban a trabajar, a lo que ellos le respondieron que no podían porque estaban enfermos. El vigilante los golpeó, los subió a un vehículo y los llevó a la oficina central de la hacienda. Allí, golpearon nuevamente a </w:t>
      </w:r>
      <w:r w:rsidR="00AB6218" w:rsidRPr="00470C7C">
        <w:t xml:space="preserve">José Francisco Furtado de Sousa </w:t>
      </w:r>
      <w:r w:rsidR="004766BC" w:rsidRPr="00470C7C">
        <w:t>y le dijeron que le iban a arrancar la prótesis de la pierna. Uno de los vigilantes los amenazó con amarrarlos durante 15 días e inc</w:t>
      </w:r>
      <w:r w:rsidR="005C377A" w:rsidRPr="00470C7C">
        <w:t xml:space="preserve">luso matarlos en ese instante. </w:t>
      </w:r>
      <w:r w:rsidR="004766BC" w:rsidRPr="00470C7C">
        <w:t>Los dos jóvenes sintieron mucho miedo. El vigilante los llevó a la parte de atrás de la oficina, los siguió golpeando y luego fue a conversar con los d</w:t>
      </w:r>
      <w:r w:rsidR="005C377A" w:rsidRPr="00470C7C">
        <w:t xml:space="preserve">emás encargados de la hacienda. </w:t>
      </w:r>
      <w:r w:rsidR="004766BC" w:rsidRPr="00470C7C">
        <w:t>Los jóvenes aprovecharon ese momento para huir. Se desplazaron caminando por la selva, porque tenían miedo de que los encontraran si huían por la carretera, bebiendo agua del piso y de los ríos que encontraban en su trayecto</w:t>
      </w:r>
      <w:r w:rsidR="004766BC" w:rsidRPr="00470C7C">
        <w:rPr>
          <w:vertAlign w:val="superscript"/>
        </w:rPr>
        <w:footnoteReference w:id="186"/>
      </w:r>
      <w:r w:rsidR="004766BC" w:rsidRPr="00470C7C">
        <w:t xml:space="preserve">. </w:t>
      </w:r>
    </w:p>
    <w:p w14:paraId="3B226675" w14:textId="77777777" w:rsidR="004766BC" w:rsidRPr="00470C7C" w:rsidRDefault="004766BC" w:rsidP="004766BC">
      <w:pPr>
        <w:pStyle w:val="Prrafodelista"/>
        <w:ind w:left="0"/>
      </w:pPr>
    </w:p>
    <w:p w14:paraId="31C17C55" w14:textId="77777777" w:rsidR="004766BC" w:rsidRPr="00470C7C" w:rsidRDefault="004766BC" w:rsidP="004766BC">
      <w:pPr>
        <w:pStyle w:val="Prrafodelista"/>
        <w:numPr>
          <w:ilvl w:val="0"/>
          <w:numId w:val="1"/>
        </w:numPr>
        <w:contextualSpacing w:val="0"/>
      </w:pPr>
      <w:r w:rsidRPr="00470C7C">
        <w:t>Posteriormente, los jóvenes llegaron a una carretera. Lograron detener a un camión de transporte de gasolina que pasaba por donde ellos se encontraban, le contaron al chofer su historia y</w:t>
      </w:r>
      <w:r w:rsidR="00A74771" w:rsidRPr="00470C7C">
        <w:t xml:space="preserve"> este </w:t>
      </w:r>
      <w:r w:rsidRPr="00470C7C">
        <w:t xml:space="preserve">accedió a llevarlos hasta la ciudad de </w:t>
      </w:r>
      <w:proofErr w:type="spellStart"/>
      <w:r w:rsidRPr="00470C7C">
        <w:t>Marabá</w:t>
      </w:r>
      <w:proofErr w:type="spellEnd"/>
      <w:r w:rsidRPr="00470C7C">
        <w:t>. Cuando los jóvenes encontraron la delegación de la policía</w:t>
      </w:r>
      <w:r w:rsidR="00B40811" w:rsidRPr="00470C7C">
        <w:t>, el 7 de marzo de 2000</w:t>
      </w:r>
      <w:r w:rsidRPr="00470C7C">
        <w:t xml:space="preserve">, le explicaron su situación a un oficial que se encontraba de guarda. Sin embargo, el policía les respondió que no podía ayudarlos porque el jefe de la delegación no estaba trabajando y por ser feriado de carnaval, indicándoles que regresaran en dos días. Los jóvenes durmieron en las calles de </w:t>
      </w:r>
      <w:proofErr w:type="spellStart"/>
      <w:r w:rsidRPr="00470C7C">
        <w:t>Marabá</w:t>
      </w:r>
      <w:proofErr w:type="spellEnd"/>
      <w:r w:rsidRPr="00470C7C">
        <w:t xml:space="preserve"> y regresaron a la policía federal. Ese día conversaron con </w:t>
      </w:r>
      <w:r w:rsidR="0079367B" w:rsidRPr="00470C7C">
        <w:t xml:space="preserve">un </w:t>
      </w:r>
      <w:r w:rsidRPr="00470C7C">
        <w:t>policía, pero fueron orientados a presentarse ante la CPT para que les ayudara. La CPT cuidó a los jóvenes por varios días</w:t>
      </w:r>
      <w:r w:rsidRPr="00470C7C">
        <w:rPr>
          <w:vertAlign w:val="superscript"/>
        </w:rPr>
        <w:footnoteReference w:id="187"/>
      </w:r>
      <w:r w:rsidRPr="00470C7C">
        <w:t>.</w:t>
      </w:r>
    </w:p>
    <w:p w14:paraId="66CB9CF2" w14:textId="77777777" w:rsidR="004766BC" w:rsidRPr="00470C7C" w:rsidRDefault="004766BC" w:rsidP="004766BC">
      <w:pPr>
        <w:pStyle w:val="Prrafodelista"/>
        <w:autoSpaceDE w:val="0"/>
        <w:autoSpaceDN w:val="0"/>
        <w:adjustRightInd w:val="0"/>
        <w:ind w:left="0"/>
        <w:contextualSpacing w:val="0"/>
        <w:rPr>
          <w:rFonts w:cs="Arial"/>
          <w:szCs w:val="20"/>
          <w:lang w:val="es-ES"/>
        </w:rPr>
      </w:pPr>
    </w:p>
    <w:p w14:paraId="2C50E87A" w14:textId="77777777" w:rsidR="004766BC" w:rsidRPr="00470C7C" w:rsidRDefault="004766BC" w:rsidP="004766BC">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agente policial que envió a los jóvenes a las oficinas de la Comisión Pastoral informó a la CPT que se habría contactado con el Ministerio del Trabajo, el cual se habría comprometido a enviar un equipo de auditores fiscales de trabajo con policías federales de </w:t>
      </w:r>
      <w:proofErr w:type="spellStart"/>
      <w:r w:rsidRPr="00470C7C">
        <w:rPr>
          <w:rFonts w:cs="Arial"/>
          <w:szCs w:val="20"/>
          <w:lang w:val="es-ES"/>
        </w:rPr>
        <w:t>Marabá</w:t>
      </w:r>
      <w:proofErr w:type="spellEnd"/>
      <w:r w:rsidRPr="00470C7C">
        <w:rPr>
          <w:rFonts w:cs="Arial"/>
          <w:szCs w:val="20"/>
          <w:lang w:val="es-ES"/>
        </w:rPr>
        <w:t xml:space="preserve"> a la Hacienda Brasil Verde para realizar las denuncias correspondientes</w:t>
      </w:r>
      <w:r w:rsidRPr="00470C7C">
        <w:rPr>
          <w:rStyle w:val="Refdenotaalpie"/>
          <w:rFonts w:cs="Arial"/>
          <w:lang w:val="es-ES"/>
        </w:rPr>
        <w:footnoteReference w:id="188"/>
      </w:r>
      <w:r w:rsidRPr="00470C7C">
        <w:rPr>
          <w:rFonts w:cs="Arial"/>
          <w:szCs w:val="20"/>
          <w:lang w:val="es-ES"/>
        </w:rPr>
        <w:t>.</w:t>
      </w:r>
    </w:p>
    <w:p w14:paraId="36F34DC3" w14:textId="77777777" w:rsidR="004766BC" w:rsidRPr="00470C7C" w:rsidRDefault="004766BC" w:rsidP="004766BC">
      <w:pPr>
        <w:pStyle w:val="Prrafodelista"/>
        <w:rPr>
          <w:rFonts w:cs="Arial"/>
          <w:szCs w:val="20"/>
          <w:lang w:val="es-ES"/>
        </w:rPr>
      </w:pPr>
    </w:p>
    <w:p w14:paraId="2EFB0995" w14:textId="77777777" w:rsidR="004766BC" w:rsidRPr="00470C7C" w:rsidRDefault="004766BC" w:rsidP="004766BC">
      <w:pPr>
        <w:pStyle w:val="Prrafodelista"/>
        <w:numPr>
          <w:ilvl w:val="0"/>
          <w:numId w:val="1"/>
        </w:numPr>
        <w:contextualSpacing w:val="0"/>
      </w:pPr>
      <w:r w:rsidRPr="00470C7C">
        <w:t xml:space="preserve">El 15 de marzo de 2000 se realizó una inspección a la Hacienda por parte de inspectores del Ministerio del Trabajo, en compañía de agentes de la Policía Federal. Al llegar a la Hacienda Brasil Verde se percataron de que en ella solo había aproximadamente 45 trabajadores. Se dirigieron a la Hacienda San Carlos donde encontraron los demás trabajadores. Los policías entrevistaron a los trabajadores, </w:t>
      </w:r>
      <w:r w:rsidR="00DC63F6" w:rsidRPr="00470C7C">
        <w:t xml:space="preserve">les interrogaron </w:t>
      </w:r>
      <w:r w:rsidRPr="00470C7C">
        <w:t xml:space="preserve">sobre su llegada a la hacienda, sus salarios y documentación personal. Los trabajadores fueron consultados </w:t>
      </w:r>
      <w:r w:rsidR="00DC63F6" w:rsidRPr="00470C7C">
        <w:t xml:space="preserve">sobre </w:t>
      </w:r>
      <w:r w:rsidRPr="00470C7C">
        <w:t>si querían irse de la hacienda y regresar a sus hogares, a lo cual tod</w:t>
      </w:r>
      <w:r w:rsidR="00DC63F6" w:rsidRPr="00470C7C">
        <w:t>o</w:t>
      </w:r>
      <w:r w:rsidRPr="00470C7C">
        <w:t xml:space="preserve">s </w:t>
      </w:r>
      <w:r w:rsidRPr="00470C7C">
        <w:rPr>
          <w:rFonts w:cs="Arial"/>
          <w:szCs w:val="20"/>
          <w:lang w:val="es-ES"/>
        </w:rPr>
        <w:t>los trabajadores manifestaron su "decisión unánime de salir”</w:t>
      </w:r>
      <w:r w:rsidRPr="00470C7C">
        <w:rPr>
          <w:rFonts w:cs="Times New Roman"/>
          <w:szCs w:val="20"/>
          <w:lang w:val="es-ES"/>
        </w:rPr>
        <w:t xml:space="preserve"> </w:t>
      </w:r>
      <w:r w:rsidRPr="00470C7C">
        <w:rPr>
          <w:rFonts w:cs="Arial"/>
          <w:szCs w:val="20"/>
          <w:lang w:val="es-ES"/>
        </w:rPr>
        <w:t>y de regresar a sus ciudades de origen donde habían sido reclutados</w:t>
      </w:r>
      <w:r w:rsidRPr="00470C7C">
        <w:rPr>
          <w:rStyle w:val="Refdenotaalpie"/>
          <w:rFonts w:cs="Arial"/>
          <w:lang w:val="es-ES"/>
        </w:rPr>
        <w:footnoteReference w:id="189"/>
      </w:r>
      <w:r w:rsidRPr="00470C7C">
        <w:t>. Sin embargo, el rescate no tuvo lugar ese día, de modo que los trabajadores tuvieron que dormir esa noche en la hacienda, situación que les generó mucho miedo, pues temían que los encargados de la hacienda los asesinaran mientras dormían</w:t>
      </w:r>
      <w:r w:rsidRPr="00470C7C">
        <w:rPr>
          <w:vertAlign w:val="superscript"/>
        </w:rPr>
        <w:footnoteReference w:id="190"/>
      </w:r>
      <w:r w:rsidRPr="00470C7C">
        <w:t xml:space="preserve">. </w:t>
      </w:r>
      <w:r w:rsidRPr="00470C7C">
        <w:rPr>
          <w:rFonts w:cs="Arial"/>
          <w:szCs w:val="20"/>
          <w:lang w:val="es-ES"/>
        </w:rPr>
        <w:t>La DRT de Pará verificó además la existencia de vigilancia armada en la Hacienda</w:t>
      </w:r>
      <w:r w:rsidRPr="00470C7C">
        <w:rPr>
          <w:rStyle w:val="Refdenotaalpie"/>
          <w:rFonts w:cs="Arial"/>
          <w:lang w:val="es-ES"/>
        </w:rPr>
        <w:footnoteReference w:id="191"/>
      </w:r>
      <w:r w:rsidRPr="00470C7C">
        <w:rPr>
          <w:rFonts w:cs="Arial"/>
          <w:szCs w:val="20"/>
          <w:lang w:val="es-ES"/>
        </w:rPr>
        <w:t>. Asimismo, comprobó que se hacía firmar en blanco a los trabajadores</w:t>
      </w:r>
      <w:r w:rsidRPr="00470C7C">
        <w:rPr>
          <w:rFonts w:cs="Times New Roman"/>
          <w:szCs w:val="20"/>
          <w:lang w:val="es-ES"/>
        </w:rPr>
        <w:t xml:space="preserve"> </w:t>
      </w:r>
      <w:r w:rsidRPr="00470C7C">
        <w:rPr>
          <w:rFonts w:cs="Arial"/>
          <w:szCs w:val="20"/>
          <w:lang w:val="es-ES"/>
        </w:rPr>
        <w:t>contratos con plazo determinado e indeterminado</w:t>
      </w:r>
      <w:r w:rsidRPr="00470C7C">
        <w:rPr>
          <w:rStyle w:val="Refdenotaalpie"/>
          <w:rFonts w:cs="Arial"/>
          <w:lang w:val="es-ES"/>
        </w:rPr>
        <w:footnoteReference w:id="192"/>
      </w:r>
      <w:r w:rsidRPr="00470C7C">
        <w:rPr>
          <w:rFonts w:cs="Arial"/>
          <w:szCs w:val="20"/>
          <w:lang w:val="es-ES"/>
        </w:rPr>
        <w:t>.</w:t>
      </w:r>
    </w:p>
    <w:p w14:paraId="6FAB6780" w14:textId="77777777" w:rsidR="004766BC" w:rsidRPr="00470C7C" w:rsidRDefault="004766BC" w:rsidP="004766BC">
      <w:pPr>
        <w:pStyle w:val="Prrafodelista"/>
        <w:ind w:left="0"/>
      </w:pPr>
    </w:p>
    <w:p w14:paraId="1DAE998E" w14:textId="77777777" w:rsidR="0003391C" w:rsidRPr="00470C7C" w:rsidRDefault="004766BC" w:rsidP="00174E05">
      <w:pPr>
        <w:pStyle w:val="Prrafodelista"/>
        <w:numPr>
          <w:ilvl w:val="0"/>
          <w:numId w:val="1"/>
        </w:numPr>
        <w:contextualSpacing w:val="0"/>
      </w:pPr>
      <w:r w:rsidRPr="00470C7C">
        <w:t xml:space="preserve">Al día siguiente, los inspectores del Ministerio de Trabajo obligaron a un encargado de la hacienda a pagarle a los trabajadores los montos indemnizatorios laborales para finiquitar sus contratos laborales. Asimismo, les obligaron a regresarles sus cédulas de trabajo. Los policías regresaron a los trabajadores sus cédulas de trabajo y les entregaron unos documentos y dinero. Sin embargo, a pesar de que los trabajadores rescatados eran analfabetos y se encontraban desconcertados por la situación, los agentes estatales no les explicaron a que se debía el dinero, ni en qué consistían los documentos que les habían entregado. </w:t>
      </w:r>
      <w:r w:rsidRPr="00470C7C">
        <w:rPr>
          <w:rFonts w:cs="Arial"/>
          <w:szCs w:val="20"/>
          <w:lang w:val="es-ES"/>
        </w:rPr>
        <w:t>El informe de la fiscalización señaló que había 82 personas trabajando en la hacienda</w:t>
      </w:r>
      <w:r w:rsidRPr="00470C7C">
        <w:rPr>
          <w:rStyle w:val="Refdenotaalpie"/>
          <w:rFonts w:cs="Arial"/>
          <w:i/>
          <w:lang w:val="es-ES"/>
        </w:rPr>
        <w:footnoteReference w:id="193"/>
      </w:r>
      <w:r w:rsidRPr="00470C7C">
        <w:rPr>
          <w:rFonts w:cs="Arial"/>
          <w:szCs w:val="20"/>
          <w:lang w:val="es-ES"/>
        </w:rPr>
        <w:t xml:space="preserve">. </w:t>
      </w:r>
    </w:p>
    <w:p w14:paraId="4E45A065"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60272B4A" w14:textId="77777777" w:rsidR="0003391C" w:rsidRPr="00470C7C" w:rsidRDefault="00964D0C" w:rsidP="008622F3">
      <w:pPr>
        <w:pStyle w:val="Ttulo3"/>
      </w:pPr>
      <w:bookmarkStart w:id="299" w:name="_Toc460433017"/>
      <w:bookmarkStart w:id="300" w:name="_Toc460441948"/>
      <w:bookmarkStart w:id="301" w:name="_Toc462750766"/>
      <w:bookmarkStart w:id="302" w:name="_Toc462751090"/>
      <w:bookmarkStart w:id="303" w:name="_Toc464813942"/>
      <w:r w:rsidRPr="00470C7C">
        <w:t>B</w:t>
      </w:r>
      <w:r w:rsidR="004B71B2" w:rsidRPr="00470C7C">
        <w:t>.4</w:t>
      </w:r>
      <w:r w:rsidR="00DC2886" w:rsidRPr="00470C7C">
        <w:t>.</w:t>
      </w:r>
      <w:r w:rsidR="0003391C" w:rsidRPr="00470C7C">
        <w:t xml:space="preserve"> El procedimiento realizado por el Ministerio del Trabajo relativo a la visita de 2000</w:t>
      </w:r>
      <w:bookmarkEnd w:id="299"/>
      <w:bookmarkEnd w:id="300"/>
      <w:bookmarkEnd w:id="301"/>
      <w:bookmarkEnd w:id="302"/>
      <w:bookmarkEnd w:id="303"/>
    </w:p>
    <w:p w14:paraId="59B4A59A"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0241D81F"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30 de mayo de 2000, con base en el informe de la fiscalización de 15 de marzo de 2000, el Ministerio Público del Trabajo presentó una acción civil pública ante la </w:t>
      </w:r>
      <w:r w:rsidR="00E76D06" w:rsidRPr="00470C7C">
        <w:rPr>
          <w:rFonts w:cs="Arial"/>
          <w:szCs w:val="20"/>
          <w:lang w:val="es-ES"/>
        </w:rPr>
        <w:t xml:space="preserve">Justicia </w:t>
      </w:r>
      <w:r w:rsidRPr="00470C7C">
        <w:rPr>
          <w:rFonts w:cs="Arial"/>
          <w:szCs w:val="20"/>
          <w:lang w:val="es-ES"/>
        </w:rPr>
        <w:t xml:space="preserve">Jueza del Trabajo, contra el propietario de la </w:t>
      </w:r>
      <w:r w:rsidRPr="00470C7C">
        <w:rPr>
          <w:rFonts w:cs="Arial"/>
          <w:iCs/>
          <w:szCs w:val="20"/>
          <w:lang w:val="es-ES"/>
        </w:rPr>
        <w:t>Hacienda Brasil Verde,</w:t>
      </w:r>
      <w:r w:rsidRPr="00470C7C">
        <w:rPr>
          <w:rFonts w:cs="Arial"/>
          <w:i/>
          <w:iCs/>
          <w:szCs w:val="20"/>
          <w:lang w:val="es-ES"/>
        </w:rPr>
        <w:t xml:space="preserve"> </w:t>
      </w:r>
      <w:r w:rsidRPr="00470C7C">
        <w:rPr>
          <w:rFonts w:cs="Arial"/>
          <w:szCs w:val="20"/>
          <w:lang w:val="es-ES"/>
        </w:rPr>
        <w:t xml:space="preserve">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Style w:val="Refdenotaalpie"/>
          <w:rFonts w:cs="Arial"/>
          <w:lang w:val="es-ES"/>
        </w:rPr>
        <w:footnoteReference w:id="194"/>
      </w:r>
      <w:r w:rsidRPr="00470C7C">
        <w:rPr>
          <w:rFonts w:cs="Arial"/>
          <w:szCs w:val="20"/>
          <w:lang w:val="es-ES"/>
        </w:rPr>
        <w:t>.</w:t>
      </w:r>
      <w:r w:rsidRPr="00470C7C">
        <w:rPr>
          <w:rFonts w:cs="Times New Roman"/>
          <w:szCs w:val="20"/>
          <w:lang w:val="es-ES"/>
        </w:rPr>
        <w:t xml:space="preserve"> </w:t>
      </w:r>
      <w:r w:rsidRPr="00470C7C">
        <w:rPr>
          <w:rFonts w:cs="Arial"/>
          <w:szCs w:val="20"/>
          <w:lang w:val="es-ES"/>
        </w:rPr>
        <w:t xml:space="preserve">El Ministerio Público destacó que podía concluirse que: i) la Hacienda Brasil Verde mantenía a los trabajadores “en un sistema de cárcel privada”; </w:t>
      </w:r>
      <w:proofErr w:type="spellStart"/>
      <w:r w:rsidRPr="00470C7C">
        <w:rPr>
          <w:rFonts w:cs="Arial"/>
          <w:szCs w:val="20"/>
          <w:lang w:val="es-ES"/>
        </w:rPr>
        <w:t>ii</w:t>
      </w:r>
      <w:proofErr w:type="spellEnd"/>
      <w:r w:rsidRPr="00470C7C">
        <w:rPr>
          <w:rFonts w:cs="Arial"/>
          <w:szCs w:val="20"/>
          <w:lang w:val="es-ES"/>
        </w:rPr>
        <w:t xml:space="preserve">) </w:t>
      </w:r>
      <w:r w:rsidRPr="00470C7C">
        <w:rPr>
          <w:rFonts w:cs="Times New Roman"/>
          <w:szCs w:val="20"/>
          <w:lang w:val="es-ES"/>
        </w:rPr>
        <w:t>“qu</w:t>
      </w:r>
      <w:r w:rsidRPr="00470C7C">
        <w:rPr>
          <w:rFonts w:cs="Arial"/>
          <w:szCs w:val="20"/>
          <w:lang w:val="es-ES"/>
        </w:rPr>
        <w:t>eda[</w:t>
      </w:r>
      <w:proofErr w:type="spellStart"/>
      <w:r w:rsidRPr="00470C7C">
        <w:rPr>
          <w:rFonts w:cs="Arial"/>
          <w:szCs w:val="20"/>
          <w:lang w:val="es-ES"/>
        </w:rPr>
        <w:t>ba</w:t>
      </w:r>
      <w:proofErr w:type="spellEnd"/>
      <w:r w:rsidRPr="00470C7C">
        <w:rPr>
          <w:rFonts w:cs="Arial"/>
          <w:szCs w:val="20"/>
          <w:lang w:val="es-ES"/>
        </w:rPr>
        <w:t xml:space="preserve">] caracterizado el trabajo en régimen de esclavitud”, y </w:t>
      </w:r>
      <w:proofErr w:type="spellStart"/>
      <w:r w:rsidRPr="00470C7C">
        <w:rPr>
          <w:rFonts w:cs="Arial"/>
          <w:szCs w:val="20"/>
          <w:lang w:val="es-ES"/>
        </w:rPr>
        <w:t>iii</w:t>
      </w:r>
      <w:proofErr w:type="spellEnd"/>
      <w:r w:rsidRPr="00470C7C">
        <w:rPr>
          <w:rFonts w:cs="Arial"/>
          <w:szCs w:val="20"/>
          <w:lang w:val="es-ES"/>
        </w:rPr>
        <w:t>) la situación se agravaba al tratarse de trabajadores rurales, analfabetos y sin ninguna</w:t>
      </w:r>
      <w:r w:rsidR="00620D1C" w:rsidRPr="00470C7C">
        <w:rPr>
          <w:rFonts w:cs="Arial"/>
          <w:szCs w:val="20"/>
          <w:lang w:val="es-ES"/>
        </w:rPr>
        <w:t xml:space="preserve"> </w:t>
      </w:r>
      <w:r w:rsidR="00F40B3C" w:rsidRPr="00470C7C">
        <w:rPr>
          <w:rFonts w:cs="Arial"/>
          <w:szCs w:val="20"/>
          <w:lang w:val="es-ES"/>
        </w:rPr>
        <w:t>ilustración</w:t>
      </w:r>
      <w:r w:rsidRPr="00470C7C">
        <w:rPr>
          <w:rFonts w:cs="Arial"/>
          <w:szCs w:val="20"/>
          <w:lang w:val="es-ES"/>
        </w:rPr>
        <w:t>, quienes habían sido sometidos “a condiciones de vida degradantes”</w:t>
      </w:r>
      <w:r w:rsidRPr="00470C7C">
        <w:rPr>
          <w:rStyle w:val="Refdenotaalpie"/>
          <w:rFonts w:cs="Arial"/>
          <w:lang w:val="es-ES"/>
        </w:rPr>
        <w:footnoteReference w:id="195"/>
      </w:r>
      <w:r w:rsidRPr="00470C7C">
        <w:rPr>
          <w:rFonts w:cs="Arial"/>
          <w:szCs w:val="20"/>
          <w:lang w:val="es-ES"/>
        </w:rPr>
        <w:t xml:space="preserve">. </w:t>
      </w:r>
    </w:p>
    <w:p w14:paraId="330CC234" w14:textId="77777777" w:rsidR="0003391C" w:rsidRPr="00470C7C" w:rsidRDefault="0003391C" w:rsidP="00140440">
      <w:pPr>
        <w:pStyle w:val="Prrafodelista"/>
        <w:autoSpaceDE w:val="0"/>
        <w:autoSpaceDN w:val="0"/>
        <w:adjustRightInd w:val="0"/>
        <w:ind w:left="0"/>
        <w:contextualSpacing w:val="0"/>
        <w:rPr>
          <w:rFonts w:cs="Arial"/>
          <w:szCs w:val="20"/>
          <w:lang w:val="es-ES"/>
        </w:rPr>
      </w:pPr>
    </w:p>
    <w:p w14:paraId="0B830D6D"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En virtud de lo anterior, el Ministerio Público del Trabajo concluyó que 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debía “cesar el trabajo esclavo, interrumpiendo los trabajos forzados y el régimen de cárcel y nunca más practicar el trabajo esclavo, porque configura[</w:t>
      </w:r>
      <w:proofErr w:type="spellStart"/>
      <w:r w:rsidRPr="00470C7C">
        <w:rPr>
          <w:rFonts w:cs="Arial"/>
          <w:szCs w:val="20"/>
          <w:lang w:val="es-ES"/>
        </w:rPr>
        <w:t>ba</w:t>
      </w:r>
      <w:proofErr w:type="spellEnd"/>
      <w:r w:rsidRPr="00470C7C">
        <w:rPr>
          <w:rFonts w:cs="Arial"/>
          <w:szCs w:val="20"/>
          <w:lang w:val="es-ES"/>
        </w:rPr>
        <w:t>] delito y atentado contra la libertad de trabajo”</w:t>
      </w:r>
      <w:r w:rsidRPr="00470C7C">
        <w:rPr>
          <w:rStyle w:val="Refdenotaalpie"/>
          <w:rFonts w:cs="Arial"/>
          <w:lang w:val="es-ES"/>
        </w:rPr>
        <w:footnoteReference w:id="196"/>
      </w:r>
      <w:r w:rsidRPr="00470C7C">
        <w:rPr>
          <w:rFonts w:cs="Arial"/>
          <w:szCs w:val="20"/>
          <w:lang w:val="es-ES"/>
        </w:rPr>
        <w:t xml:space="preserve">. </w:t>
      </w:r>
    </w:p>
    <w:p w14:paraId="3DA6D27C" w14:textId="77777777" w:rsidR="0003391C" w:rsidRPr="00470C7C" w:rsidRDefault="0003391C" w:rsidP="00140440">
      <w:pPr>
        <w:pStyle w:val="Prrafodelista"/>
        <w:contextualSpacing w:val="0"/>
        <w:rPr>
          <w:rFonts w:cs="Arial"/>
          <w:szCs w:val="20"/>
          <w:lang w:val="es-ES"/>
        </w:rPr>
      </w:pPr>
    </w:p>
    <w:p w14:paraId="43E5A840"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9 de junio de 2000 la Junta de Conciliación y Juzgamiento de </w:t>
      </w:r>
      <w:proofErr w:type="spellStart"/>
      <w:r w:rsidR="00E0432D" w:rsidRPr="00470C7C">
        <w:rPr>
          <w:rFonts w:cs="Arial"/>
          <w:szCs w:val="20"/>
          <w:lang w:val="es-ES"/>
        </w:rPr>
        <w:t>Conceição</w:t>
      </w:r>
      <w:proofErr w:type="spellEnd"/>
      <w:r w:rsidR="00E0432D" w:rsidRPr="00470C7C">
        <w:rPr>
          <w:rFonts w:cs="Arial"/>
          <w:szCs w:val="20"/>
          <w:lang w:val="es-ES"/>
        </w:rPr>
        <w:t xml:space="preserve"> do </w:t>
      </w:r>
      <w:proofErr w:type="spellStart"/>
      <w:r w:rsidRPr="00470C7C">
        <w:rPr>
          <w:rFonts w:cs="Arial"/>
          <w:szCs w:val="20"/>
          <w:lang w:val="es-ES"/>
        </w:rPr>
        <w:t>Araguaia</w:t>
      </w:r>
      <w:proofErr w:type="spellEnd"/>
      <w:r w:rsidRPr="00470C7C">
        <w:rPr>
          <w:rFonts w:cs="Arial"/>
          <w:szCs w:val="20"/>
          <w:lang w:val="es-ES"/>
        </w:rPr>
        <w:t xml:space="preserve"> convocó al Ministerio Público del Trabajo y al señor 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a una audiencia relativa a la acusación presentada por el Ministerio Público</w:t>
      </w:r>
      <w:r w:rsidRPr="00470C7C">
        <w:rPr>
          <w:rStyle w:val="Refdenotaalpie"/>
          <w:rFonts w:cs="Arial"/>
          <w:lang w:val="es-ES"/>
        </w:rPr>
        <w:footnoteReference w:id="197"/>
      </w:r>
      <w:r w:rsidRPr="00470C7C">
        <w:rPr>
          <w:rFonts w:cs="Arial"/>
          <w:szCs w:val="20"/>
          <w:lang w:val="es-ES"/>
        </w:rPr>
        <w:t xml:space="preserve">. El 20 de julio de 2000 se llevó a cabo dicha audiencia, en la que el señor 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se comprometió a:</w:t>
      </w:r>
    </w:p>
    <w:p w14:paraId="5C748AD8" w14:textId="77777777" w:rsidR="00996267" w:rsidRPr="00470C7C" w:rsidRDefault="00996267" w:rsidP="00140440">
      <w:pPr>
        <w:autoSpaceDE w:val="0"/>
        <w:autoSpaceDN w:val="0"/>
        <w:adjustRightInd w:val="0"/>
        <w:ind w:left="720" w:right="720"/>
        <w:jc w:val="both"/>
        <w:rPr>
          <w:rFonts w:cs="Arial"/>
          <w:sz w:val="16"/>
          <w:szCs w:val="20"/>
          <w:lang w:val="es-ES"/>
        </w:rPr>
      </w:pPr>
    </w:p>
    <w:p w14:paraId="7DFF7A60" w14:textId="77777777" w:rsidR="0003391C" w:rsidRPr="00470C7C" w:rsidRDefault="0003391C" w:rsidP="00140440">
      <w:pPr>
        <w:autoSpaceDE w:val="0"/>
        <w:autoSpaceDN w:val="0"/>
        <w:adjustRightInd w:val="0"/>
        <w:ind w:left="720" w:right="720"/>
        <w:jc w:val="both"/>
        <w:rPr>
          <w:rFonts w:cs="Times New Roman"/>
          <w:sz w:val="16"/>
          <w:szCs w:val="20"/>
          <w:lang w:val="es-ES"/>
        </w:rPr>
      </w:pPr>
      <w:r w:rsidRPr="00470C7C">
        <w:rPr>
          <w:rFonts w:cs="Arial"/>
          <w:sz w:val="16"/>
          <w:szCs w:val="20"/>
          <w:lang w:val="es-ES"/>
        </w:rPr>
        <w:t>no admitir ni permitir el trabajo de empleados en régimen de esclavitud, so pena de multa de 10.000 UFIR por trabajador encontrado en esa situación, blanco o negro; otorgamiento de habitación, instalación sanitaria, agua potable, alojamiento digno para las personas [...] so pena de multa de 500 UFIR por el incumplimiento [...] no pedir firmas en blanco a los empleados, en cualquier tipo de documento, so pena de multa de 100 UFIR por documento encontrado en dichas condiciones</w:t>
      </w:r>
      <w:r w:rsidRPr="00470C7C">
        <w:rPr>
          <w:rStyle w:val="Refdenotaalpie"/>
          <w:rFonts w:cs="Arial"/>
          <w:sz w:val="16"/>
          <w:lang w:val="es-ES"/>
        </w:rPr>
        <w:footnoteReference w:id="198"/>
      </w:r>
      <w:r w:rsidRPr="00470C7C">
        <w:rPr>
          <w:rFonts w:cs="Times New Roman"/>
          <w:sz w:val="16"/>
          <w:szCs w:val="20"/>
          <w:lang w:val="es-ES"/>
        </w:rPr>
        <w:t>.</w:t>
      </w:r>
    </w:p>
    <w:p w14:paraId="4D06A305" w14:textId="77777777" w:rsidR="0003391C" w:rsidRPr="00470C7C" w:rsidRDefault="0003391C" w:rsidP="00140440">
      <w:pPr>
        <w:autoSpaceDE w:val="0"/>
        <w:autoSpaceDN w:val="0"/>
        <w:adjustRightInd w:val="0"/>
        <w:jc w:val="both"/>
        <w:rPr>
          <w:rFonts w:cs="Arial"/>
          <w:szCs w:val="20"/>
          <w:lang w:val="es-ES"/>
        </w:rPr>
      </w:pPr>
    </w:p>
    <w:p w14:paraId="12A8D142" w14:textId="77777777" w:rsidR="0003391C" w:rsidRPr="00470C7C" w:rsidRDefault="0003391C" w:rsidP="00140440">
      <w:pPr>
        <w:pStyle w:val="Prrafodelista"/>
        <w:numPr>
          <w:ilvl w:val="0"/>
          <w:numId w:val="1"/>
        </w:numPr>
        <w:autoSpaceDE w:val="0"/>
        <w:autoSpaceDN w:val="0"/>
        <w:adjustRightInd w:val="0"/>
        <w:contextualSpacing w:val="0"/>
        <w:rPr>
          <w:rFonts w:cs="Arial"/>
          <w:szCs w:val="20"/>
          <w:lang w:val="es-ES"/>
        </w:rPr>
      </w:pPr>
      <w:r w:rsidRPr="00470C7C">
        <w:rPr>
          <w:rFonts w:cs="Arial"/>
          <w:szCs w:val="20"/>
          <w:lang w:val="es-ES"/>
        </w:rPr>
        <w:t xml:space="preserve">El 14 de agosto de 2000 el Ministerio Público del Trabajo solicitó a la DRT de Pará que averiguara si los términos del acuerdo judicial celebrado entre el MPT y 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estarían siendo debidamente cumplidos por parte de éste</w:t>
      </w:r>
      <w:r w:rsidRPr="00470C7C">
        <w:rPr>
          <w:rStyle w:val="Refdenotaalpie"/>
          <w:rFonts w:cs="Arial"/>
          <w:lang w:val="es-ES"/>
        </w:rPr>
        <w:footnoteReference w:id="199"/>
      </w:r>
      <w:r w:rsidRPr="00470C7C">
        <w:rPr>
          <w:rFonts w:cs="Arial"/>
          <w:szCs w:val="20"/>
          <w:lang w:val="es-ES"/>
        </w:rPr>
        <w:t>. El 18 de agosto de 2000 el procedimiento fue archivado</w:t>
      </w:r>
      <w:r w:rsidRPr="00470C7C">
        <w:rPr>
          <w:rStyle w:val="Refdenotaalpie"/>
          <w:rFonts w:cs="Arial"/>
          <w:lang w:val="es-ES"/>
        </w:rPr>
        <w:footnoteReference w:id="200"/>
      </w:r>
      <w:r w:rsidRPr="00470C7C">
        <w:rPr>
          <w:rFonts w:cs="Times New Roman"/>
          <w:szCs w:val="20"/>
          <w:lang w:val="es-ES"/>
        </w:rPr>
        <w:t>.</w:t>
      </w:r>
    </w:p>
    <w:p w14:paraId="71708DAA" w14:textId="77777777" w:rsidR="0003391C" w:rsidRPr="00470C7C" w:rsidRDefault="0003391C" w:rsidP="00140440">
      <w:pPr>
        <w:pStyle w:val="Prrafodelista"/>
        <w:autoSpaceDE w:val="0"/>
        <w:autoSpaceDN w:val="0"/>
        <w:adjustRightInd w:val="0"/>
        <w:ind w:left="0"/>
        <w:contextualSpacing w:val="0"/>
        <w:rPr>
          <w:rFonts w:cs="Arial"/>
          <w:i/>
          <w:iCs/>
          <w:szCs w:val="20"/>
          <w:lang w:val="es-ES"/>
        </w:rPr>
      </w:pPr>
    </w:p>
    <w:p w14:paraId="05F7B7E9" w14:textId="77777777" w:rsidR="0003391C" w:rsidRPr="00470C7C" w:rsidRDefault="0003391C" w:rsidP="00140440">
      <w:pPr>
        <w:pStyle w:val="Prrafodelista"/>
        <w:numPr>
          <w:ilvl w:val="0"/>
          <w:numId w:val="1"/>
        </w:numPr>
        <w:autoSpaceDE w:val="0"/>
        <w:autoSpaceDN w:val="0"/>
        <w:adjustRightInd w:val="0"/>
        <w:contextualSpacing w:val="0"/>
        <w:rPr>
          <w:rFonts w:cs="Arial"/>
          <w:i/>
          <w:iCs/>
          <w:szCs w:val="20"/>
          <w:lang w:val="es-ES"/>
        </w:rPr>
      </w:pPr>
      <w:r w:rsidRPr="00470C7C">
        <w:rPr>
          <w:rFonts w:cs="Arial"/>
          <w:szCs w:val="20"/>
          <w:lang w:val="es-ES"/>
        </w:rPr>
        <w:t xml:space="preserve">El 21 de junio de 2001 el Ministerio Público del Trabajo remitió a la Subprocuradora General de la República un informe pormenorizado de los procedimientos instaurados por dicho órgano en relación con las empresas pertenecientes al Grupo </w:t>
      </w:r>
      <w:proofErr w:type="spellStart"/>
      <w:r w:rsidRPr="00470C7C">
        <w:rPr>
          <w:rFonts w:cs="Arial"/>
          <w:szCs w:val="20"/>
          <w:lang w:val="es-ES"/>
        </w:rPr>
        <w:t>Quagliato</w:t>
      </w:r>
      <w:proofErr w:type="spellEnd"/>
      <w:r w:rsidRPr="00470C7C">
        <w:rPr>
          <w:rFonts w:cs="Arial"/>
          <w:szCs w:val="20"/>
          <w:lang w:val="es-ES"/>
        </w:rPr>
        <w:t xml:space="preserve">, entre ellas la </w:t>
      </w:r>
      <w:r w:rsidRPr="00470C7C">
        <w:rPr>
          <w:rFonts w:cs="Arial"/>
          <w:iCs/>
          <w:szCs w:val="20"/>
          <w:lang w:val="es-ES"/>
        </w:rPr>
        <w:t>Hacienda Brasil Verde</w:t>
      </w:r>
      <w:r w:rsidRPr="00470C7C">
        <w:rPr>
          <w:rStyle w:val="Refdenotaalpie"/>
          <w:rFonts w:cs="Arial"/>
          <w:iCs/>
          <w:lang w:val="es-ES"/>
        </w:rPr>
        <w:footnoteReference w:id="201"/>
      </w:r>
      <w:r w:rsidRPr="00470C7C">
        <w:rPr>
          <w:rFonts w:cs="Arial"/>
          <w:iCs/>
          <w:szCs w:val="20"/>
          <w:lang w:val="es-ES"/>
        </w:rPr>
        <w:t>.</w:t>
      </w:r>
    </w:p>
    <w:p w14:paraId="0B571095" w14:textId="77777777" w:rsidR="0003391C" w:rsidRPr="00470C7C" w:rsidRDefault="0003391C" w:rsidP="00140440">
      <w:pPr>
        <w:pStyle w:val="Prrafodelista"/>
        <w:autoSpaceDE w:val="0"/>
        <w:autoSpaceDN w:val="0"/>
        <w:adjustRightInd w:val="0"/>
        <w:ind w:left="0"/>
        <w:contextualSpacing w:val="0"/>
        <w:rPr>
          <w:rFonts w:cs="Arial"/>
          <w:iCs/>
          <w:szCs w:val="20"/>
          <w:lang w:val="es-ES"/>
        </w:rPr>
      </w:pPr>
    </w:p>
    <w:p w14:paraId="2623DAAE" w14:textId="77777777" w:rsidR="0003391C" w:rsidRPr="00470C7C" w:rsidRDefault="0003391C" w:rsidP="00140440">
      <w:pPr>
        <w:pStyle w:val="Prrafodelista"/>
        <w:numPr>
          <w:ilvl w:val="0"/>
          <w:numId w:val="1"/>
        </w:numPr>
        <w:autoSpaceDE w:val="0"/>
        <w:autoSpaceDN w:val="0"/>
        <w:adjustRightInd w:val="0"/>
        <w:contextualSpacing w:val="0"/>
        <w:rPr>
          <w:rFonts w:cs="Arial"/>
          <w:i/>
          <w:iCs/>
          <w:szCs w:val="20"/>
          <w:lang w:val="es-ES"/>
        </w:rPr>
      </w:pPr>
      <w:r w:rsidRPr="00470C7C">
        <w:rPr>
          <w:rFonts w:cs="Arial"/>
          <w:szCs w:val="20"/>
          <w:lang w:val="es-ES"/>
        </w:rPr>
        <w:t xml:space="preserve">Del 12 al 18 de mayo de 2002 el Ministerio del Trabajo realizó una nueva fiscalización en las regiones de </w:t>
      </w:r>
      <w:proofErr w:type="spellStart"/>
      <w:r w:rsidRPr="00470C7C">
        <w:rPr>
          <w:rFonts w:cs="Arial"/>
          <w:szCs w:val="20"/>
          <w:lang w:val="es-ES"/>
        </w:rPr>
        <w:t>Xinguara</w:t>
      </w:r>
      <w:proofErr w:type="spellEnd"/>
      <w:r w:rsidRPr="00470C7C">
        <w:rPr>
          <w:rFonts w:cs="Arial"/>
          <w:szCs w:val="20"/>
          <w:lang w:val="es-ES"/>
        </w:rPr>
        <w:t xml:space="preserve">, </w:t>
      </w:r>
      <w:proofErr w:type="spellStart"/>
      <w:r w:rsidRPr="00470C7C">
        <w:rPr>
          <w:rFonts w:cs="Arial"/>
          <w:szCs w:val="20"/>
          <w:lang w:val="es-ES"/>
        </w:rPr>
        <w:t>Curionópolis</w:t>
      </w:r>
      <w:proofErr w:type="spellEnd"/>
      <w:r w:rsidRPr="00470C7C">
        <w:rPr>
          <w:rFonts w:cs="Arial"/>
          <w:szCs w:val="20"/>
          <w:lang w:val="es-ES"/>
        </w:rPr>
        <w:t xml:space="preserve"> y </w:t>
      </w:r>
      <w:proofErr w:type="spellStart"/>
      <w:r w:rsidRPr="00470C7C">
        <w:rPr>
          <w:rFonts w:cs="Arial"/>
          <w:szCs w:val="20"/>
          <w:lang w:val="es-ES"/>
        </w:rPr>
        <w:t>Sapucaia</w:t>
      </w:r>
      <w:proofErr w:type="spellEnd"/>
      <w:r w:rsidRPr="00470C7C">
        <w:rPr>
          <w:rFonts w:cs="Arial"/>
          <w:szCs w:val="20"/>
          <w:lang w:val="es-ES"/>
        </w:rPr>
        <w:t>, con la finalidad de verificar el cumplimiento de los compromisos acordados entre el MPT y varios empleadores rurales</w:t>
      </w:r>
      <w:r w:rsidRPr="00470C7C">
        <w:rPr>
          <w:rStyle w:val="Refdenotaalpie"/>
          <w:rFonts w:cs="Arial"/>
          <w:lang w:val="es-ES"/>
        </w:rPr>
        <w:footnoteReference w:id="202"/>
      </w:r>
      <w:r w:rsidRPr="00470C7C">
        <w:rPr>
          <w:rFonts w:cs="Arial"/>
          <w:szCs w:val="20"/>
          <w:lang w:val="es-ES"/>
        </w:rPr>
        <w:t xml:space="preserve">. Dentro de esta fiscalización </w:t>
      </w:r>
      <w:r w:rsidR="0079367B" w:rsidRPr="00470C7C">
        <w:rPr>
          <w:rFonts w:cs="Arial"/>
          <w:szCs w:val="20"/>
          <w:lang w:val="es-ES"/>
        </w:rPr>
        <w:t xml:space="preserve">se </w:t>
      </w:r>
      <w:r w:rsidRPr="00470C7C">
        <w:rPr>
          <w:rFonts w:cs="Arial"/>
          <w:szCs w:val="20"/>
          <w:lang w:val="es-ES"/>
        </w:rPr>
        <w:t xml:space="preserve">visitó la </w:t>
      </w:r>
      <w:r w:rsidRPr="00470C7C">
        <w:rPr>
          <w:rFonts w:cs="Arial"/>
          <w:iCs/>
          <w:szCs w:val="20"/>
          <w:lang w:val="es-ES"/>
        </w:rPr>
        <w:t>Hacienda Brasil Verde</w:t>
      </w:r>
      <w:r w:rsidRPr="00470C7C">
        <w:rPr>
          <w:rStyle w:val="Refdenotaalpie"/>
          <w:rFonts w:cs="Arial"/>
          <w:iCs/>
          <w:lang w:val="es-ES"/>
        </w:rPr>
        <w:footnoteReference w:id="203"/>
      </w:r>
      <w:r w:rsidRPr="00470C7C">
        <w:rPr>
          <w:rFonts w:cs="Arial"/>
          <w:iCs/>
          <w:szCs w:val="20"/>
          <w:lang w:val="es-ES"/>
        </w:rPr>
        <w:t xml:space="preserve">. Después de la fiscalización </w:t>
      </w:r>
      <w:r w:rsidR="0079367B" w:rsidRPr="00470C7C">
        <w:rPr>
          <w:rFonts w:cs="Arial"/>
          <w:iCs/>
          <w:szCs w:val="20"/>
          <w:lang w:val="es-ES"/>
        </w:rPr>
        <w:t xml:space="preserve">se </w:t>
      </w:r>
      <w:r w:rsidRPr="00470C7C">
        <w:rPr>
          <w:rFonts w:cs="Arial"/>
          <w:szCs w:val="20"/>
          <w:lang w:val="es-ES"/>
        </w:rPr>
        <w:t>concluyó que los empleadores venían cumpliendo con sus compromisos</w:t>
      </w:r>
      <w:r w:rsidRPr="00470C7C">
        <w:rPr>
          <w:rStyle w:val="Refdenotaalpie"/>
          <w:rFonts w:cs="Arial"/>
          <w:lang w:val="es-ES"/>
        </w:rPr>
        <w:footnoteReference w:id="204"/>
      </w:r>
      <w:r w:rsidRPr="00470C7C">
        <w:rPr>
          <w:rFonts w:cs="Arial"/>
          <w:szCs w:val="20"/>
          <w:lang w:val="es-ES"/>
        </w:rPr>
        <w:t xml:space="preserve">, y </w:t>
      </w:r>
      <w:proofErr w:type="gramStart"/>
      <w:r w:rsidRPr="00470C7C">
        <w:rPr>
          <w:rFonts w:cs="Arial"/>
          <w:szCs w:val="20"/>
          <w:lang w:val="es-ES"/>
        </w:rPr>
        <w:t>que</w:t>
      </w:r>
      <w:proofErr w:type="gramEnd"/>
      <w:r w:rsidRPr="00470C7C">
        <w:rPr>
          <w:rFonts w:cs="Arial"/>
          <w:szCs w:val="20"/>
          <w:lang w:val="es-ES"/>
        </w:rPr>
        <w:t xml:space="preserve"> como resultado de los compromisos acordados, la administración directa de los empleados por el empleador había eliminado la dependencia económica y física de los trabajadores a los </w:t>
      </w:r>
      <w:r w:rsidRPr="00470C7C">
        <w:rPr>
          <w:rFonts w:cs="Arial"/>
          <w:i/>
          <w:szCs w:val="20"/>
          <w:lang w:val="es-ES"/>
        </w:rPr>
        <w:t>gatos</w:t>
      </w:r>
      <w:r w:rsidRPr="00470C7C">
        <w:rPr>
          <w:rFonts w:cs="Arial"/>
          <w:szCs w:val="20"/>
          <w:lang w:val="es-ES"/>
        </w:rPr>
        <w:t xml:space="preserve">, que era la causa de explotación de mano de obra forzada y análoga a </w:t>
      </w:r>
      <w:r w:rsidR="00DC63F6" w:rsidRPr="00470C7C">
        <w:rPr>
          <w:rFonts w:cs="Arial"/>
          <w:szCs w:val="20"/>
          <w:lang w:val="es-ES"/>
        </w:rPr>
        <w:t xml:space="preserve">la </w:t>
      </w:r>
      <w:r w:rsidR="00696CD2" w:rsidRPr="00470C7C">
        <w:rPr>
          <w:rFonts w:cs="Arial"/>
          <w:szCs w:val="20"/>
          <w:lang w:val="es-ES"/>
        </w:rPr>
        <w:t>de esclavo</w:t>
      </w:r>
      <w:r w:rsidRPr="00470C7C">
        <w:rPr>
          <w:rStyle w:val="Refdenotaalpie"/>
          <w:rFonts w:cs="Arial"/>
          <w:lang w:val="es-ES"/>
        </w:rPr>
        <w:footnoteReference w:id="205"/>
      </w:r>
      <w:r w:rsidRPr="00470C7C">
        <w:rPr>
          <w:rFonts w:cs="Arial"/>
          <w:szCs w:val="20"/>
          <w:lang w:val="es-ES"/>
        </w:rPr>
        <w:t>.</w:t>
      </w:r>
    </w:p>
    <w:p w14:paraId="488901AE" w14:textId="77777777" w:rsidR="0003391C" w:rsidRPr="00470C7C" w:rsidRDefault="0003391C" w:rsidP="00140440">
      <w:pPr>
        <w:pStyle w:val="Prrafodelista"/>
        <w:contextualSpacing w:val="0"/>
        <w:rPr>
          <w:rFonts w:cs="Arial"/>
          <w:i/>
          <w:iCs/>
          <w:szCs w:val="20"/>
          <w:lang w:val="es-ES"/>
        </w:rPr>
      </w:pPr>
    </w:p>
    <w:p w14:paraId="4B123A17" w14:textId="77777777" w:rsidR="00E137D8" w:rsidRPr="00470C7C" w:rsidRDefault="00964D0C" w:rsidP="008622F3">
      <w:pPr>
        <w:pStyle w:val="Ttulo3"/>
      </w:pPr>
      <w:bookmarkStart w:id="304" w:name="_Toc460433018"/>
      <w:bookmarkStart w:id="305" w:name="_Toc460441949"/>
      <w:bookmarkStart w:id="306" w:name="_Toc462750767"/>
      <w:bookmarkStart w:id="307" w:name="_Toc462751091"/>
      <w:bookmarkStart w:id="308" w:name="_Toc464813943"/>
      <w:r w:rsidRPr="00470C7C">
        <w:t>B</w:t>
      </w:r>
      <w:r w:rsidR="004E708F" w:rsidRPr="00470C7C">
        <w:t>.5</w:t>
      </w:r>
      <w:r w:rsidR="00DC2886" w:rsidRPr="00470C7C">
        <w:t>.</w:t>
      </w:r>
      <w:r w:rsidR="00E137D8" w:rsidRPr="00470C7C">
        <w:t xml:space="preserve"> Proceso Penal respecto a la Inspección de 2000</w:t>
      </w:r>
      <w:bookmarkEnd w:id="304"/>
      <w:bookmarkEnd w:id="305"/>
      <w:bookmarkEnd w:id="306"/>
      <w:bookmarkEnd w:id="307"/>
      <w:bookmarkEnd w:id="308"/>
    </w:p>
    <w:p w14:paraId="154B61F2" w14:textId="77777777" w:rsidR="00E137D8" w:rsidRPr="00470C7C" w:rsidRDefault="00E137D8" w:rsidP="00140440">
      <w:pPr>
        <w:pStyle w:val="Prrafodelista"/>
        <w:contextualSpacing w:val="0"/>
        <w:rPr>
          <w:rFonts w:cs="Arial"/>
          <w:i/>
          <w:iCs/>
          <w:szCs w:val="20"/>
          <w:lang w:val="es-ES"/>
        </w:rPr>
      </w:pPr>
    </w:p>
    <w:p w14:paraId="07F92F60" w14:textId="77777777" w:rsidR="0003391C" w:rsidRPr="00470C7C" w:rsidRDefault="0003391C" w:rsidP="00140440">
      <w:pPr>
        <w:pStyle w:val="Prrafodelista"/>
        <w:numPr>
          <w:ilvl w:val="0"/>
          <w:numId w:val="1"/>
        </w:numPr>
        <w:autoSpaceDE w:val="0"/>
        <w:autoSpaceDN w:val="0"/>
        <w:adjustRightInd w:val="0"/>
        <w:contextualSpacing w:val="0"/>
        <w:rPr>
          <w:rFonts w:cs="Arial"/>
          <w:i/>
          <w:iCs/>
          <w:szCs w:val="20"/>
          <w:lang w:val="es-ES"/>
        </w:rPr>
      </w:pPr>
      <w:r w:rsidRPr="00470C7C">
        <w:rPr>
          <w:rFonts w:cs="Arial"/>
          <w:szCs w:val="20"/>
          <w:lang w:val="es-ES"/>
        </w:rPr>
        <w:t xml:space="preserve">En el </w:t>
      </w:r>
      <w:r w:rsidR="00E137D8" w:rsidRPr="00470C7C">
        <w:rPr>
          <w:rFonts w:cs="Arial"/>
          <w:szCs w:val="20"/>
          <w:lang w:val="es-ES"/>
        </w:rPr>
        <w:t xml:space="preserve">año </w:t>
      </w:r>
      <w:r w:rsidRPr="00470C7C">
        <w:rPr>
          <w:rFonts w:cs="Arial"/>
          <w:szCs w:val="20"/>
          <w:lang w:val="es-ES"/>
        </w:rPr>
        <w:t>2000, después de la fiscalización en la Hacienda Brasil Verde</w:t>
      </w:r>
      <w:r w:rsidR="00D94AC6" w:rsidRPr="00470C7C">
        <w:rPr>
          <w:rFonts w:cs="Arial"/>
          <w:szCs w:val="20"/>
          <w:lang w:val="es-ES"/>
        </w:rPr>
        <w:t>,</w:t>
      </w:r>
      <w:r w:rsidRPr="00470C7C">
        <w:rPr>
          <w:rFonts w:cs="Arial"/>
          <w:szCs w:val="20"/>
          <w:lang w:val="es-ES"/>
        </w:rPr>
        <w:t xml:space="preserve"> </w:t>
      </w:r>
      <w:r w:rsidR="00E137D8" w:rsidRPr="00470C7C">
        <w:rPr>
          <w:rFonts w:cs="Arial"/>
          <w:szCs w:val="20"/>
          <w:lang w:val="es-ES"/>
        </w:rPr>
        <w:t xml:space="preserve">el Ministerio Público Federal presentó la denuncia penal </w:t>
      </w:r>
      <w:r w:rsidRPr="00470C7C">
        <w:rPr>
          <w:rFonts w:cs="Arial"/>
          <w:szCs w:val="20"/>
          <w:lang w:val="es-ES"/>
        </w:rPr>
        <w:t xml:space="preserve">No. 0472001 </w:t>
      </w:r>
      <w:r w:rsidR="00E137D8" w:rsidRPr="00470C7C">
        <w:rPr>
          <w:rFonts w:cs="Arial"/>
          <w:szCs w:val="20"/>
          <w:lang w:val="es-ES"/>
        </w:rPr>
        <w:t xml:space="preserve">ante </w:t>
      </w:r>
      <w:r w:rsidRPr="00470C7C">
        <w:rPr>
          <w:rFonts w:cs="Arial"/>
          <w:szCs w:val="20"/>
          <w:lang w:val="es-ES"/>
        </w:rPr>
        <w:t xml:space="preserve">el Juzgado Federal de </w:t>
      </w:r>
      <w:proofErr w:type="spellStart"/>
      <w:r w:rsidRPr="00470C7C">
        <w:rPr>
          <w:rFonts w:cs="Arial"/>
          <w:szCs w:val="20"/>
          <w:lang w:val="es-ES"/>
        </w:rPr>
        <w:t>Marabá</w:t>
      </w:r>
      <w:proofErr w:type="spellEnd"/>
      <w:r w:rsidR="00E137D8" w:rsidRPr="00470C7C">
        <w:rPr>
          <w:rFonts w:cs="Arial"/>
          <w:szCs w:val="20"/>
          <w:lang w:val="es-ES"/>
        </w:rPr>
        <w:t>,</w:t>
      </w:r>
      <w:r w:rsidRPr="00470C7C">
        <w:rPr>
          <w:rFonts w:cs="Arial"/>
          <w:szCs w:val="20"/>
          <w:lang w:val="es-ES"/>
        </w:rPr>
        <w:t xml:space="preserve"> en Pará. La justicia federal declinó competencia a la justicia estatal el 11 de ju</w:t>
      </w:r>
      <w:r w:rsidR="0079367B" w:rsidRPr="00470C7C">
        <w:rPr>
          <w:rFonts w:cs="Arial"/>
          <w:szCs w:val="20"/>
          <w:lang w:val="es-ES"/>
        </w:rPr>
        <w:t>l</w:t>
      </w:r>
      <w:r w:rsidRPr="00470C7C">
        <w:rPr>
          <w:rFonts w:cs="Arial"/>
          <w:szCs w:val="20"/>
          <w:lang w:val="es-ES"/>
        </w:rPr>
        <w:t>io de 2001. El Estado informó a la Corte que no existía información acerca de lo que habría pasado con dicho proceso y que no había podido localizar copia de los autos de la investigación</w:t>
      </w:r>
      <w:r w:rsidRPr="00470C7C">
        <w:rPr>
          <w:rStyle w:val="Refdenotaalpie"/>
          <w:rFonts w:cs="Arial"/>
          <w:lang w:val="es-ES"/>
        </w:rPr>
        <w:footnoteReference w:id="206"/>
      </w:r>
      <w:r w:rsidRPr="00470C7C">
        <w:rPr>
          <w:rFonts w:cs="Arial"/>
          <w:szCs w:val="20"/>
          <w:lang w:val="es-ES"/>
        </w:rPr>
        <w:t>.</w:t>
      </w:r>
      <w:r w:rsidR="00E137D8" w:rsidRPr="00470C7C">
        <w:rPr>
          <w:rFonts w:cs="Arial"/>
          <w:szCs w:val="20"/>
          <w:lang w:val="es-ES"/>
        </w:rPr>
        <w:t xml:space="preserve"> Por lo tanto, la Corte no cuenta con información respecto de ese proceso penal y su contenido, más allá de la información de que la petición fue interpuesta por el Ministerio Público y se refiere a los hechos objeto de la fiscalización de abril de 2000 en la Hacienda Brasil Verde. </w:t>
      </w:r>
    </w:p>
    <w:p w14:paraId="7D9B1AA9" w14:textId="77777777" w:rsidR="0003391C" w:rsidRPr="00470C7C" w:rsidRDefault="0003391C" w:rsidP="00140440">
      <w:pPr>
        <w:pStyle w:val="Prrafodelista"/>
        <w:autoSpaceDE w:val="0"/>
        <w:autoSpaceDN w:val="0"/>
        <w:adjustRightInd w:val="0"/>
        <w:ind w:left="0"/>
        <w:contextualSpacing w:val="0"/>
        <w:rPr>
          <w:rFonts w:cs="Arial"/>
          <w:iCs/>
          <w:szCs w:val="20"/>
          <w:lang w:val="es-ES"/>
        </w:rPr>
      </w:pPr>
    </w:p>
    <w:p w14:paraId="425ACCB7" w14:textId="77777777" w:rsidR="0003391C" w:rsidRPr="00470C7C" w:rsidRDefault="00964D0C" w:rsidP="008622F3">
      <w:pPr>
        <w:pStyle w:val="Ttulo3"/>
        <w:rPr>
          <w:lang w:val="es-ES"/>
        </w:rPr>
      </w:pPr>
      <w:bookmarkStart w:id="309" w:name="_Toc460433019"/>
      <w:bookmarkStart w:id="310" w:name="_Toc460441950"/>
      <w:bookmarkStart w:id="311" w:name="_Toc462750768"/>
      <w:bookmarkStart w:id="312" w:name="_Toc462751092"/>
      <w:bookmarkStart w:id="313" w:name="_Toc464813944"/>
      <w:r w:rsidRPr="00470C7C">
        <w:rPr>
          <w:lang w:val="es-ES"/>
        </w:rPr>
        <w:t>B</w:t>
      </w:r>
      <w:r w:rsidR="004E708F" w:rsidRPr="00470C7C">
        <w:rPr>
          <w:lang w:val="es-ES"/>
        </w:rPr>
        <w:t>.6</w:t>
      </w:r>
      <w:r w:rsidR="00DC2886" w:rsidRPr="00470C7C">
        <w:rPr>
          <w:lang w:val="es-ES"/>
        </w:rPr>
        <w:t>. Sobre la situació</w:t>
      </w:r>
      <w:r w:rsidR="0003391C" w:rsidRPr="00470C7C">
        <w:rPr>
          <w:lang w:val="es-ES"/>
        </w:rPr>
        <w:t xml:space="preserve">n actual de </w:t>
      </w:r>
      <w:proofErr w:type="spellStart"/>
      <w:r w:rsidR="008B075C" w:rsidRPr="00470C7C">
        <w:rPr>
          <w:lang w:val="es-ES"/>
        </w:rPr>
        <w:t>Iron</w:t>
      </w:r>
      <w:proofErr w:type="spellEnd"/>
      <w:r w:rsidR="008B075C" w:rsidRPr="00470C7C">
        <w:rPr>
          <w:lang w:val="es-ES"/>
        </w:rPr>
        <w:t xml:space="preserve"> Canuto </w:t>
      </w:r>
      <w:r w:rsidR="00BE63A6" w:rsidRPr="00470C7C">
        <w:rPr>
          <w:lang w:val="es-ES"/>
        </w:rPr>
        <w:t>da Silva</w:t>
      </w:r>
      <w:r w:rsidR="0003391C" w:rsidRPr="00470C7C">
        <w:rPr>
          <w:lang w:val="es-ES"/>
        </w:rPr>
        <w:t xml:space="preserve"> y </w:t>
      </w:r>
      <w:r w:rsidR="00200C04" w:rsidRPr="00470C7C">
        <w:rPr>
          <w:lang w:val="es-ES"/>
        </w:rPr>
        <w:t xml:space="preserve">Luis Ferreira </w:t>
      </w:r>
      <w:bookmarkEnd w:id="309"/>
      <w:bookmarkEnd w:id="310"/>
      <w:bookmarkEnd w:id="311"/>
      <w:bookmarkEnd w:id="312"/>
      <w:bookmarkEnd w:id="313"/>
      <w:r w:rsidR="00701BB2" w:rsidRPr="00470C7C">
        <w:rPr>
          <w:lang w:val="es-ES"/>
        </w:rPr>
        <w:t xml:space="preserve">da Cruz </w:t>
      </w:r>
    </w:p>
    <w:p w14:paraId="306C641E" w14:textId="77777777" w:rsidR="0003391C" w:rsidRPr="00470C7C" w:rsidRDefault="0003391C" w:rsidP="00140440">
      <w:pPr>
        <w:pStyle w:val="Prrafodelista"/>
        <w:contextualSpacing w:val="0"/>
        <w:rPr>
          <w:rFonts w:cs="Arial"/>
          <w:i/>
          <w:iCs/>
          <w:szCs w:val="20"/>
          <w:lang w:val="es-ES"/>
        </w:rPr>
      </w:pPr>
    </w:p>
    <w:p w14:paraId="4949B25B" w14:textId="77777777" w:rsidR="0003391C" w:rsidRPr="00470C7C" w:rsidRDefault="0003391C" w:rsidP="00140440">
      <w:pPr>
        <w:pStyle w:val="Prrafodelista"/>
        <w:numPr>
          <w:ilvl w:val="0"/>
          <w:numId w:val="1"/>
        </w:numPr>
        <w:autoSpaceDE w:val="0"/>
        <w:autoSpaceDN w:val="0"/>
        <w:adjustRightInd w:val="0"/>
        <w:contextualSpacing w:val="0"/>
        <w:rPr>
          <w:rFonts w:cs="Arial"/>
          <w:iCs/>
          <w:szCs w:val="20"/>
          <w:lang w:val="es-ES"/>
        </w:rPr>
      </w:pPr>
      <w:r w:rsidRPr="00470C7C">
        <w:rPr>
          <w:rFonts w:cs="Arial"/>
          <w:iCs/>
          <w:szCs w:val="20"/>
          <w:lang w:val="es-ES"/>
        </w:rPr>
        <w:t xml:space="preserve">El 29 de octubre de 2007 el director de la Policía de Pará solicitó a la CPT que le remitiera copia de la denuncia sobre la desaparición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w:t>
      </w:r>
      <w:r w:rsidR="00BE63A6" w:rsidRPr="00470C7C">
        <w:rPr>
          <w:rFonts w:cs="Arial"/>
          <w:iCs/>
          <w:szCs w:val="20"/>
          <w:lang w:val="es-ES"/>
        </w:rPr>
        <w:t>da Silva</w:t>
      </w:r>
      <w:r w:rsidRPr="00470C7C">
        <w:rPr>
          <w:rFonts w:cs="Arial"/>
          <w:iCs/>
          <w:szCs w:val="20"/>
          <w:lang w:val="es-ES"/>
        </w:rPr>
        <w:t xml:space="preserve"> y </w:t>
      </w:r>
      <w:r w:rsidR="00200C04" w:rsidRPr="00470C7C">
        <w:rPr>
          <w:rFonts w:cs="Arial"/>
          <w:iCs/>
          <w:szCs w:val="20"/>
          <w:lang w:val="es-ES"/>
        </w:rPr>
        <w:t xml:space="preserve">Luis Ferreira </w:t>
      </w:r>
      <w:r w:rsidR="00701BB2" w:rsidRPr="00470C7C">
        <w:rPr>
          <w:rFonts w:cs="Arial"/>
          <w:iCs/>
          <w:szCs w:val="20"/>
          <w:lang w:val="es-ES"/>
        </w:rPr>
        <w:t xml:space="preserve">da Cruz </w:t>
      </w:r>
      <w:r w:rsidRPr="00470C7C">
        <w:rPr>
          <w:rFonts w:cs="Arial"/>
          <w:iCs/>
          <w:szCs w:val="20"/>
          <w:lang w:val="es-ES"/>
        </w:rPr>
        <w:t>para que apoyara la investigación sobre dichos hechos</w:t>
      </w:r>
      <w:r w:rsidRPr="00470C7C">
        <w:rPr>
          <w:rStyle w:val="Refdenotaalpie"/>
          <w:rFonts w:cs="Arial"/>
          <w:iCs/>
          <w:lang w:val="es-ES"/>
        </w:rPr>
        <w:footnoteReference w:id="207"/>
      </w:r>
      <w:r w:rsidRPr="00470C7C">
        <w:rPr>
          <w:rFonts w:cs="Arial"/>
          <w:iCs/>
          <w:szCs w:val="20"/>
          <w:lang w:val="es-ES"/>
        </w:rPr>
        <w:t xml:space="preserve">. En julio </w:t>
      </w:r>
      <w:r w:rsidR="00F443BC" w:rsidRPr="00470C7C">
        <w:rPr>
          <w:rFonts w:cs="Arial"/>
          <w:iCs/>
          <w:szCs w:val="20"/>
          <w:lang w:val="es-ES"/>
        </w:rPr>
        <w:t xml:space="preserve">de 2007 y febrero </w:t>
      </w:r>
      <w:r w:rsidRPr="00470C7C">
        <w:rPr>
          <w:rFonts w:cs="Arial"/>
          <w:iCs/>
          <w:szCs w:val="20"/>
          <w:lang w:val="es-ES"/>
        </w:rPr>
        <w:t xml:space="preserve">de 2009 la Secretaría de Estado de Justicia y Derechos Humanos de Pará entrevistó a los familiares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y </w:t>
      </w:r>
      <w:r w:rsidR="00200C04" w:rsidRPr="00470C7C">
        <w:rPr>
          <w:rFonts w:cs="Arial"/>
          <w:iCs/>
          <w:szCs w:val="20"/>
          <w:lang w:val="es-ES"/>
        </w:rPr>
        <w:t>Luis Ferreira da Cruz</w:t>
      </w:r>
      <w:r w:rsidRPr="00470C7C">
        <w:rPr>
          <w:rFonts w:cs="Arial"/>
          <w:iCs/>
          <w:szCs w:val="20"/>
          <w:lang w:val="es-ES"/>
        </w:rPr>
        <w:t xml:space="preserve"> para obtener información sobre su paradero</w:t>
      </w:r>
      <w:r w:rsidRPr="00470C7C">
        <w:rPr>
          <w:rStyle w:val="Refdenotaalpie"/>
          <w:rFonts w:cs="Arial"/>
          <w:iCs/>
          <w:lang w:val="es-ES"/>
        </w:rPr>
        <w:footnoteReference w:id="208"/>
      </w:r>
      <w:r w:rsidRPr="00470C7C">
        <w:rPr>
          <w:rFonts w:cs="Arial"/>
          <w:iCs/>
          <w:szCs w:val="20"/>
          <w:lang w:val="es-ES"/>
        </w:rPr>
        <w:t xml:space="preserve">. </w:t>
      </w:r>
    </w:p>
    <w:p w14:paraId="2B4C36A2" w14:textId="77777777" w:rsidR="0003391C" w:rsidRPr="00470C7C" w:rsidRDefault="0003391C" w:rsidP="00140440">
      <w:pPr>
        <w:pStyle w:val="Prrafodelista"/>
        <w:autoSpaceDE w:val="0"/>
        <w:autoSpaceDN w:val="0"/>
        <w:adjustRightInd w:val="0"/>
        <w:ind w:left="0"/>
        <w:contextualSpacing w:val="0"/>
        <w:rPr>
          <w:rFonts w:cs="Arial"/>
          <w:iCs/>
          <w:szCs w:val="20"/>
          <w:lang w:val="es-ES"/>
        </w:rPr>
      </w:pPr>
    </w:p>
    <w:p w14:paraId="25D8BC12" w14:textId="77777777" w:rsidR="0003391C" w:rsidRPr="00470C7C" w:rsidRDefault="0003391C" w:rsidP="00140440">
      <w:pPr>
        <w:pStyle w:val="Prrafodelista"/>
        <w:numPr>
          <w:ilvl w:val="0"/>
          <w:numId w:val="1"/>
        </w:numPr>
        <w:autoSpaceDE w:val="0"/>
        <w:autoSpaceDN w:val="0"/>
        <w:adjustRightInd w:val="0"/>
        <w:contextualSpacing w:val="0"/>
        <w:rPr>
          <w:rFonts w:cs="Arial"/>
          <w:iCs/>
          <w:szCs w:val="20"/>
          <w:lang w:val="es-ES"/>
        </w:rPr>
      </w:pPr>
      <w:r w:rsidRPr="00470C7C">
        <w:rPr>
          <w:rFonts w:cs="Arial"/>
          <w:iCs/>
          <w:szCs w:val="20"/>
          <w:lang w:val="es-ES"/>
        </w:rPr>
        <w:t xml:space="preserve">La compañera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informó que habría convivido con él por 13 años y habían tenido cuatro hijos; habrían residido con él en </w:t>
      </w:r>
      <w:proofErr w:type="spellStart"/>
      <w:r w:rsidR="0079367B" w:rsidRPr="00470C7C">
        <w:rPr>
          <w:rFonts w:cs="Arial"/>
          <w:iCs/>
          <w:szCs w:val="20"/>
          <w:lang w:val="es-ES"/>
        </w:rPr>
        <w:t>Arapoema</w:t>
      </w:r>
      <w:proofErr w:type="spellEnd"/>
      <w:r w:rsidR="0079367B" w:rsidRPr="00470C7C">
        <w:rPr>
          <w:rFonts w:cs="Arial"/>
          <w:iCs/>
          <w:szCs w:val="20"/>
          <w:lang w:val="es-ES"/>
        </w:rPr>
        <w:t xml:space="preserve">, </w:t>
      </w:r>
      <w:r w:rsidRPr="00470C7C">
        <w:rPr>
          <w:rFonts w:cs="Arial"/>
          <w:iCs/>
          <w:szCs w:val="20"/>
          <w:lang w:val="es-ES"/>
        </w:rPr>
        <w:t>estado de Tocantins</w:t>
      </w:r>
      <w:r w:rsidR="0079367B" w:rsidRPr="00470C7C">
        <w:rPr>
          <w:rFonts w:cs="Arial"/>
          <w:iCs/>
          <w:szCs w:val="20"/>
          <w:lang w:val="es-ES"/>
        </w:rPr>
        <w:t>,</w:t>
      </w:r>
      <w:r w:rsidRPr="00470C7C">
        <w:rPr>
          <w:rFonts w:cs="Arial"/>
          <w:iCs/>
          <w:szCs w:val="20"/>
          <w:lang w:val="es-ES"/>
        </w:rPr>
        <w:t xml:space="preserve"> </w:t>
      </w:r>
      <w:r w:rsidR="00DF7B9B" w:rsidRPr="00470C7C">
        <w:rPr>
          <w:rFonts w:cs="Arial"/>
          <w:iCs/>
          <w:szCs w:val="20"/>
          <w:lang w:val="es-ES"/>
        </w:rPr>
        <w:t xml:space="preserve">en 1994 y posteriormente en </w:t>
      </w:r>
      <w:proofErr w:type="spellStart"/>
      <w:r w:rsidR="00DF7B9B" w:rsidRPr="00470C7C">
        <w:rPr>
          <w:rFonts w:cs="Arial"/>
          <w:iCs/>
          <w:szCs w:val="20"/>
          <w:lang w:val="es-ES"/>
        </w:rPr>
        <w:t>Re</w:t>
      </w:r>
      <w:r w:rsidRPr="00470C7C">
        <w:rPr>
          <w:rFonts w:cs="Arial"/>
          <w:iCs/>
          <w:szCs w:val="20"/>
          <w:lang w:val="es-ES"/>
        </w:rPr>
        <w:t>denção</w:t>
      </w:r>
      <w:proofErr w:type="spellEnd"/>
      <w:r w:rsidRPr="00470C7C">
        <w:rPr>
          <w:rFonts w:cs="Arial"/>
          <w:iCs/>
          <w:szCs w:val="20"/>
          <w:lang w:val="es-ES"/>
        </w:rPr>
        <w:t xml:space="preserve"> y Floresta de </w:t>
      </w:r>
      <w:proofErr w:type="spellStart"/>
      <w:r w:rsidRPr="00470C7C">
        <w:rPr>
          <w:rFonts w:cs="Arial"/>
          <w:iCs/>
          <w:szCs w:val="20"/>
          <w:lang w:val="es-ES"/>
        </w:rPr>
        <w:t>Araguaia</w:t>
      </w:r>
      <w:proofErr w:type="spellEnd"/>
      <w:r w:rsidR="0079367B" w:rsidRPr="00470C7C">
        <w:rPr>
          <w:rFonts w:cs="Arial"/>
          <w:iCs/>
          <w:szCs w:val="20"/>
          <w:lang w:val="es-ES"/>
        </w:rPr>
        <w:t>, Pará,</w:t>
      </w:r>
      <w:r w:rsidRPr="00470C7C">
        <w:rPr>
          <w:rFonts w:cs="Arial"/>
          <w:iCs/>
          <w:szCs w:val="20"/>
          <w:lang w:val="es-ES"/>
        </w:rPr>
        <w:t xml:space="preserve"> entre 1999 y 2007</w:t>
      </w:r>
      <w:r w:rsidRPr="00470C7C">
        <w:rPr>
          <w:rStyle w:val="Refdenotaalpie"/>
          <w:rFonts w:cs="Arial"/>
          <w:iCs/>
          <w:lang w:val="es-ES"/>
        </w:rPr>
        <w:footnoteReference w:id="209"/>
      </w:r>
      <w:r w:rsidRPr="00470C7C">
        <w:rPr>
          <w:rFonts w:cs="Arial"/>
          <w:iCs/>
          <w:szCs w:val="20"/>
          <w:lang w:val="es-ES"/>
        </w:rPr>
        <w:t xml:space="preserve">. La madre y la compañera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relataron que el 22 de julio de 2007</w:t>
      </w:r>
      <w:r w:rsidR="00A74771" w:rsidRPr="00470C7C">
        <w:rPr>
          <w:rFonts w:cs="Arial"/>
          <w:iCs/>
          <w:szCs w:val="20"/>
          <w:lang w:val="es-ES"/>
        </w:rPr>
        <w:t xml:space="preserve"> este </w:t>
      </w:r>
      <w:r w:rsidRPr="00470C7C">
        <w:rPr>
          <w:rFonts w:cs="Arial"/>
          <w:iCs/>
          <w:szCs w:val="20"/>
          <w:lang w:val="es-ES"/>
        </w:rPr>
        <w:t>habría muerto en circunstancias no relacionadas con el presente caso</w:t>
      </w:r>
      <w:r w:rsidRPr="00470C7C">
        <w:rPr>
          <w:rStyle w:val="Refdenotaalpie"/>
          <w:rFonts w:cs="Arial"/>
          <w:iCs/>
          <w:lang w:val="es-ES"/>
        </w:rPr>
        <w:footnoteReference w:id="210"/>
      </w:r>
      <w:r w:rsidRPr="00470C7C">
        <w:rPr>
          <w:rFonts w:cs="Arial"/>
          <w:iCs/>
          <w:szCs w:val="20"/>
          <w:lang w:val="es-ES"/>
        </w:rPr>
        <w:t xml:space="preserve">. </w:t>
      </w:r>
    </w:p>
    <w:p w14:paraId="06B3C281" w14:textId="77777777" w:rsidR="0003391C" w:rsidRPr="00470C7C" w:rsidRDefault="0003391C" w:rsidP="00140440">
      <w:pPr>
        <w:pStyle w:val="Prrafodelista"/>
        <w:contextualSpacing w:val="0"/>
        <w:rPr>
          <w:rFonts w:cs="Arial"/>
          <w:iCs/>
          <w:szCs w:val="20"/>
          <w:lang w:val="es-ES"/>
        </w:rPr>
      </w:pPr>
    </w:p>
    <w:p w14:paraId="393978AD" w14:textId="77777777" w:rsidR="00EB72DC" w:rsidRPr="00470C7C" w:rsidRDefault="0003391C" w:rsidP="00140440">
      <w:pPr>
        <w:pStyle w:val="Prrafodelista"/>
        <w:numPr>
          <w:ilvl w:val="0"/>
          <w:numId w:val="1"/>
        </w:numPr>
        <w:autoSpaceDE w:val="0"/>
        <w:autoSpaceDN w:val="0"/>
        <w:adjustRightInd w:val="0"/>
        <w:contextualSpacing w:val="0"/>
        <w:rPr>
          <w:rFonts w:cs="Arial"/>
          <w:iCs/>
          <w:szCs w:val="20"/>
          <w:lang w:val="es-ES"/>
        </w:rPr>
      </w:pPr>
      <w:r w:rsidRPr="00470C7C">
        <w:rPr>
          <w:rFonts w:cs="Arial"/>
          <w:iCs/>
          <w:szCs w:val="20"/>
          <w:lang w:val="es-ES"/>
        </w:rPr>
        <w:t xml:space="preserve">En lo que respecta a </w:t>
      </w:r>
      <w:r w:rsidR="00200C04" w:rsidRPr="00470C7C">
        <w:rPr>
          <w:rFonts w:cs="Arial"/>
          <w:iCs/>
          <w:szCs w:val="20"/>
          <w:lang w:val="es-ES"/>
        </w:rPr>
        <w:t xml:space="preserve">Luis Ferreira </w:t>
      </w:r>
      <w:r w:rsidR="00867094" w:rsidRPr="00470C7C">
        <w:rPr>
          <w:rFonts w:cs="Arial"/>
          <w:iCs/>
          <w:szCs w:val="20"/>
          <w:lang w:val="es-ES"/>
        </w:rPr>
        <w:t>da Cruz</w:t>
      </w:r>
      <w:r w:rsidRPr="00470C7C">
        <w:rPr>
          <w:rFonts w:cs="Arial"/>
          <w:iCs/>
          <w:szCs w:val="20"/>
          <w:lang w:val="es-ES"/>
        </w:rPr>
        <w:t>, el 17 de febrero de 2009 su madre de crianza informó a la Secretaría de Justicia y Derechos Humanos de Pará que “no sabía de su paradero”</w:t>
      </w:r>
      <w:r w:rsidRPr="00470C7C">
        <w:rPr>
          <w:rStyle w:val="Refdenotaalpie"/>
          <w:rFonts w:cs="Arial"/>
          <w:iCs/>
          <w:lang w:val="es-ES"/>
        </w:rPr>
        <w:footnoteReference w:id="211"/>
      </w:r>
      <w:r w:rsidR="00D94AC6" w:rsidRPr="00470C7C">
        <w:rPr>
          <w:rFonts w:cs="Arial"/>
          <w:iCs/>
          <w:szCs w:val="20"/>
          <w:lang w:val="es-ES"/>
        </w:rPr>
        <w:t>.</w:t>
      </w:r>
      <w:r w:rsidR="00F62A06" w:rsidRPr="00470C7C">
        <w:rPr>
          <w:rFonts w:cs="Arial"/>
          <w:iCs/>
          <w:szCs w:val="20"/>
          <w:lang w:val="es-ES"/>
        </w:rPr>
        <w:t xml:space="preserve"> </w:t>
      </w:r>
      <w:r w:rsidR="00D94AC6" w:rsidRPr="00470C7C">
        <w:rPr>
          <w:rFonts w:cs="Arial"/>
          <w:iCs/>
          <w:szCs w:val="20"/>
          <w:lang w:val="es-ES"/>
        </w:rPr>
        <w:t>P</w:t>
      </w:r>
      <w:r w:rsidRPr="00470C7C">
        <w:rPr>
          <w:rFonts w:cs="Arial"/>
          <w:iCs/>
          <w:szCs w:val="20"/>
          <w:lang w:val="es-ES"/>
        </w:rPr>
        <w:t xml:space="preserve">osteriormente, en agosto de 2015 relató a la Policía Federal que </w:t>
      </w:r>
      <w:proofErr w:type="spellStart"/>
      <w:r w:rsidRPr="00470C7C">
        <w:rPr>
          <w:rFonts w:cs="Arial"/>
          <w:iCs/>
          <w:szCs w:val="20"/>
          <w:lang w:val="es-ES"/>
        </w:rPr>
        <w:t>Luiz</w:t>
      </w:r>
      <w:proofErr w:type="spellEnd"/>
      <w:r w:rsidRPr="00470C7C">
        <w:rPr>
          <w:rFonts w:cs="Arial"/>
          <w:iCs/>
          <w:szCs w:val="20"/>
          <w:lang w:val="es-ES"/>
        </w:rPr>
        <w:t xml:space="preserve"> habría muerto “aproximadamente hacía diez años en un enfrentamiento con la policía”</w:t>
      </w:r>
      <w:r w:rsidRPr="00470C7C">
        <w:rPr>
          <w:rStyle w:val="Refdenotaalpie"/>
          <w:rFonts w:cs="Arial"/>
          <w:iCs/>
          <w:lang w:val="es-ES"/>
        </w:rPr>
        <w:footnoteReference w:id="212"/>
      </w:r>
      <w:r w:rsidRPr="00470C7C">
        <w:rPr>
          <w:rFonts w:cs="Arial"/>
          <w:iCs/>
          <w:szCs w:val="20"/>
          <w:lang w:val="es-ES"/>
        </w:rPr>
        <w:t xml:space="preserve">. Por su parte, la hermana de crianza de </w:t>
      </w:r>
      <w:r w:rsidR="00200C04" w:rsidRPr="00470C7C">
        <w:rPr>
          <w:rFonts w:cs="Arial"/>
          <w:iCs/>
          <w:szCs w:val="20"/>
          <w:lang w:val="es-ES"/>
        </w:rPr>
        <w:t>Luis Ferreira da Cruz</w:t>
      </w:r>
      <w:r w:rsidRPr="00470C7C">
        <w:rPr>
          <w:rFonts w:cs="Arial"/>
          <w:iCs/>
          <w:szCs w:val="20"/>
          <w:lang w:val="es-ES"/>
        </w:rPr>
        <w:t xml:space="preserve"> también informó que habría muerto hacía diez años, y “como no tenía documentos personales al momento en que fue asesinado, […] fue sepultado como indigente”</w:t>
      </w:r>
      <w:r w:rsidRPr="00470C7C">
        <w:rPr>
          <w:rStyle w:val="Refdenotaalpie"/>
          <w:rFonts w:cs="Arial"/>
          <w:iCs/>
          <w:lang w:val="es-ES"/>
        </w:rPr>
        <w:footnoteReference w:id="213"/>
      </w:r>
      <w:r w:rsidRPr="00470C7C">
        <w:rPr>
          <w:rFonts w:cs="Arial"/>
          <w:iCs/>
          <w:szCs w:val="20"/>
          <w:lang w:val="es-ES"/>
        </w:rPr>
        <w:t xml:space="preserve">. </w:t>
      </w:r>
    </w:p>
    <w:p w14:paraId="6CD745F5" w14:textId="77777777" w:rsidR="004F1E86" w:rsidRPr="00470C7C" w:rsidRDefault="004F1E86" w:rsidP="00140440">
      <w:pPr>
        <w:pStyle w:val="Prrafodelista"/>
        <w:autoSpaceDE w:val="0"/>
        <w:autoSpaceDN w:val="0"/>
        <w:adjustRightInd w:val="0"/>
        <w:ind w:left="0"/>
        <w:contextualSpacing w:val="0"/>
        <w:rPr>
          <w:rFonts w:cs="Arial"/>
          <w:iCs/>
          <w:szCs w:val="20"/>
          <w:lang w:val="es-ES"/>
        </w:rPr>
      </w:pPr>
    </w:p>
    <w:p w14:paraId="19A3C24A" w14:textId="77777777" w:rsidR="004F1E86" w:rsidRPr="00470C7C" w:rsidRDefault="004F1E86"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14" w:name="_Toc460432491"/>
      <w:bookmarkStart w:id="315" w:name="_Toc464813945"/>
      <w:r w:rsidRPr="00470C7C">
        <w:rPr>
          <w:rFonts w:eastAsia="Times New Roman" w:cs="Verdana"/>
          <w:b/>
          <w:bCs/>
          <w:caps/>
          <w:noProof/>
          <w:snapToGrid w:val="0"/>
          <w:szCs w:val="20"/>
          <w:lang w:eastAsia="es-ES"/>
        </w:rPr>
        <w:t>VII</w:t>
      </w:r>
      <w:bookmarkEnd w:id="314"/>
      <w:bookmarkEnd w:id="315"/>
    </w:p>
    <w:p w14:paraId="3A615525" w14:textId="77777777" w:rsidR="004F1E86" w:rsidRPr="00470C7C" w:rsidRDefault="00964D0C"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16" w:name="_Toc464813946"/>
      <w:r w:rsidRPr="00470C7C">
        <w:rPr>
          <w:rFonts w:eastAsia="Times New Roman" w:cs="Verdana"/>
          <w:b/>
          <w:bCs/>
          <w:caps/>
          <w:noProof/>
          <w:snapToGrid w:val="0"/>
          <w:szCs w:val="20"/>
          <w:lang w:eastAsia="es-ES"/>
        </w:rPr>
        <w:t>DETERMINACIÓN SOBRE LAS PRESUNTAS VÍCTIMAS</w:t>
      </w:r>
      <w:bookmarkEnd w:id="316"/>
    </w:p>
    <w:p w14:paraId="430C3220" w14:textId="77777777" w:rsidR="004F1E86" w:rsidRPr="00470C7C" w:rsidRDefault="004F1E86" w:rsidP="004F1E86">
      <w:pPr>
        <w:pStyle w:val="Prrafodelista"/>
        <w:ind w:left="0"/>
        <w:rPr>
          <w:rFonts w:cs="Arial"/>
          <w:iCs/>
          <w:szCs w:val="20"/>
          <w:lang w:val="es-ES"/>
        </w:rPr>
      </w:pPr>
    </w:p>
    <w:p w14:paraId="45EBCC9E" w14:textId="77777777" w:rsidR="002246F9" w:rsidRPr="00470C7C" w:rsidRDefault="004F1E86" w:rsidP="002246F9">
      <w:pPr>
        <w:pStyle w:val="Prrafodelista"/>
        <w:numPr>
          <w:ilvl w:val="0"/>
          <w:numId w:val="1"/>
        </w:numPr>
        <w:autoSpaceDE w:val="0"/>
        <w:autoSpaceDN w:val="0"/>
        <w:adjustRightInd w:val="0"/>
        <w:contextualSpacing w:val="0"/>
        <w:rPr>
          <w:rFonts w:cs="Arial"/>
          <w:szCs w:val="20"/>
          <w:lang w:val="es-ES"/>
        </w:rPr>
      </w:pPr>
      <w:r w:rsidRPr="00470C7C">
        <w:rPr>
          <w:rFonts w:cs="Arial"/>
          <w:iCs/>
          <w:szCs w:val="20"/>
          <w:lang w:val="es-ES"/>
        </w:rPr>
        <w:t xml:space="preserve">En este capítulo la Corte hará una consideración previa sobre las personas a quien </w:t>
      </w:r>
      <w:r w:rsidR="00D56FAC" w:rsidRPr="00470C7C">
        <w:rPr>
          <w:rFonts w:cs="Arial"/>
          <w:iCs/>
          <w:szCs w:val="20"/>
          <w:lang w:val="es-ES"/>
        </w:rPr>
        <w:t xml:space="preserve">estimará </w:t>
      </w:r>
      <w:r w:rsidRPr="00470C7C">
        <w:rPr>
          <w:rFonts w:cs="Arial"/>
          <w:iCs/>
          <w:szCs w:val="20"/>
          <w:lang w:val="es-ES"/>
        </w:rPr>
        <w:t>como presuntas víctimas en el presente caso, detallando la prueba y las razones para calificarlas como tal</w:t>
      </w:r>
      <w:r w:rsidR="00F443BC" w:rsidRPr="00470C7C">
        <w:rPr>
          <w:rFonts w:cs="Arial"/>
          <w:iCs/>
          <w:szCs w:val="20"/>
          <w:lang w:val="es-ES"/>
        </w:rPr>
        <w:t>es</w:t>
      </w:r>
      <w:r w:rsidRPr="00470C7C">
        <w:rPr>
          <w:rFonts w:cs="Arial"/>
          <w:iCs/>
          <w:szCs w:val="20"/>
          <w:lang w:val="es-ES"/>
        </w:rPr>
        <w:t xml:space="preserve">. </w:t>
      </w:r>
      <w:r w:rsidR="004B1FD7" w:rsidRPr="00470C7C">
        <w:rPr>
          <w:rFonts w:cs="Arial"/>
          <w:szCs w:val="20"/>
          <w:lang w:val="es-ES"/>
        </w:rPr>
        <w:t>Sin perjuicio de</w:t>
      </w:r>
      <w:r w:rsidR="002246F9" w:rsidRPr="00470C7C">
        <w:rPr>
          <w:rFonts w:cs="Arial"/>
          <w:szCs w:val="20"/>
          <w:lang w:val="es-ES"/>
        </w:rPr>
        <w:t xml:space="preserve"> lo señalado sobre la competencia </w:t>
      </w:r>
      <w:proofErr w:type="spellStart"/>
      <w:r w:rsidR="002246F9" w:rsidRPr="00470C7C">
        <w:rPr>
          <w:rFonts w:cs="Arial"/>
          <w:i/>
          <w:szCs w:val="20"/>
          <w:lang w:val="es-ES"/>
        </w:rPr>
        <w:t>ratione</w:t>
      </w:r>
      <w:proofErr w:type="spellEnd"/>
      <w:r w:rsidR="002246F9" w:rsidRPr="00470C7C">
        <w:rPr>
          <w:rFonts w:cs="Arial"/>
          <w:i/>
          <w:szCs w:val="20"/>
          <w:lang w:val="es-ES"/>
        </w:rPr>
        <w:t xml:space="preserve"> </w:t>
      </w:r>
      <w:proofErr w:type="spellStart"/>
      <w:r w:rsidR="002246F9" w:rsidRPr="00470C7C">
        <w:rPr>
          <w:rFonts w:cs="Arial"/>
          <w:i/>
          <w:szCs w:val="20"/>
          <w:lang w:val="es-ES"/>
        </w:rPr>
        <w:t>temporis</w:t>
      </w:r>
      <w:proofErr w:type="spellEnd"/>
      <w:r w:rsidR="002246F9" w:rsidRPr="00470C7C">
        <w:rPr>
          <w:rFonts w:cs="Arial"/>
          <w:szCs w:val="20"/>
          <w:lang w:val="es-ES"/>
        </w:rPr>
        <w:t xml:space="preserve"> en el presente caso (</w:t>
      </w:r>
      <w:r w:rsidR="002246F9" w:rsidRPr="00470C7C">
        <w:rPr>
          <w:rFonts w:cs="Arial"/>
          <w:i/>
          <w:szCs w:val="20"/>
          <w:lang w:val="es-ES"/>
        </w:rPr>
        <w:t>supra</w:t>
      </w:r>
      <w:r w:rsidR="002246F9" w:rsidRPr="00470C7C">
        <w:rPr>
          <w:rFonts w:cs="Arial"/>
          <w:szCs w:val="20"/>
          <w:lang w:val="es-ES"/>
        </w:rPr>
        <w:t xml:space="preserve"> </w:t>
      </w:r>
      <w:proofErr w:type="spellStart"/>
      <w:r w:rsidR="002246F9" w:rsidRPr="00470C7C">
        <w:rPr>
          <w:rFonts w:cs="Arial"/>
          <w:szCs w:val="20"/>
          <w:lang w:val="es-ES"/>
        </w:rPr>
        <w:t>párr</w:t>
      </w:r>
      <w:r w:rsidR="00186219" w:rsidRPr="00470C7C">
        <w:rPr>
          <w:rFonts w:cs="Arial"/>
          <w:szCs w:val="20"/>
          <w:lang w:val="es-ES"/>
        </w:rPr>
        <w:t>s</w:t>
      </w:r>
      <w:proofErr w:type="spellEnd"/>
      <w:r w:rsidR="002246F9" w:rsidRPr="00470C7C">
        <w:rPr>
          <w:rFonts w:cs="Arial"/>
          <w:szCs w:val="20"/>
          <w:lang w:val="es-ES"/>
        </w:rPr>
        <w:t xml:space="preserve">. </w:t>
      </w:r>
      <w:r w:rsidR="00186219" w:rsidRPr="00470C7C">
        <w:rPr>
          <w:rFonts w:cs="Arial"/>
          <w:szCs w:val="20"/>
          <w:lang w:val="es-ES"/>
        </w:rPr>
        <w:t>63 a 65</w:t>
      </w:r>
      <w:r w:rsidR="002246F9" w:rsidRPr="00470C7C">
        <w:rPr>
          <w:rFonts w:cs="Arial"/>
          <w:szCs w:val="20"/>
          <w:lang w:val="es-ES"/>
        </w:rPr>
        <w:t xml:space="preserve">), </w:t>
      </w:r>
      <w:r w:rsidR="002246F9" w:rsidRPr="00470C7C">
        <w:rPr>
          <w:rFonts w:eastAsia="Batang" w:cs="Times"/>
          <w:noProof/>
          <w:szCs w:val="20"/>
          <w:lang w:val="es-ES_tradnl" w:eastAsia="es-ES"/>
        </w:rPr>
        <w:t xml:space="preserve">la Corte se pronunciará sobre las alegadas violaciones que se fundamenten en hechos que ocurrieron o persistieron después del 10 de diciembre de 1998. De esta forma, ademas de </w:t>
      </w:r>
      <w:r w:rsidR="002246F9" w:rsidRPr="00470C7C">
        <w:rPr>
          <w:rFonts w:eastAsia="Batang" w:cs="Times"/>
          <w:noProof/>
          <w:szCs w:val="20"/>
          <w:lang w:val="es-MX" w:eastAsia="es-ES"/>
        </w:rPr>
        <w:t xml:space="preserve">la alegada desaparición forzada de </w:t>
      </w:r>
      <w:r w:rsidR="00200C04" w:rsidRPr="00470C7C">
        <w:rPr>
          <w:rFonts w:eastAsia="Batang" w:cs="Times"/>
          <w:noProof/>
          <w:szCs w:val="20"/>
          <w:lang w:val="es-MX" w:eastAsia="es-ES"/>
        </w:rPr>
        <w:t xml:space="preserve">Luis Ferreira </w:t>
      </w:r>
      <w:r w:rsidR="00701BB2" w:rsidRPr="00470C7C">
        <w:rPr>
          <w:rFonts w:eastAsia="Batang" w:cs="Times"/>
          <w:noProof/>
          <w:szCs w:val="20"/>
          <w:lang w:val="es-MX" w:eastAsia="es-ES"/>
        </w:rPr>
        <w:t xml:space="preserve">da Cruz </w:t>
      </w:r>
      <w:r w:rsidR="002246F9" w:rsidRPr="00470C7C">
        <w:rPr>
          <w:rFonts w:eastAsia="Batang" w:cs="Times"/>
          <w:noProof/>
          <w:szCs w:val="20"/>
          <w:lang w:val="es-MX" w:eastAsia="es-ES"/>
        </w:rPr>
        <w:t xml:space="preserve">e </w:t>
      </w:r>
      <w:r w:rsidR="008B075C" w:rsidRPr="00470C7C">
        <w:rPr>
          <w:rFonts w:eastAsia="Batang" w:cs="Times"/>
          <w:noProof/>
          <w:szCs w:val="20"/>
          <w:lang w:val="es-MX" w:eastAsia="es-ES"/>
        </w:rPr>
        <w:t>Iron Canuto da Silva</w:t>
      </w:r>
      <w:r w:rsidR="002246F9" w:rsidRPr="00470C7C">
        <w:rPr>
          <w:rFonts w:eastAsia="Batang" w:cs="Times"/>
          <w:noProof/>
          <w:szCs w:val="20"/>
          <w:lang w:val="es-MX" w:eastAsia="es-ES"/>
        </w:rPr>
        <w:t xml:space="preserve">, en la presente Sentencia la Corte analizará las alegadas violaciones relacionadas a hechos que tuvieron lugar o continuaron a partir de la fecha indicada anteriormente, es decir: i) la investigación </w:t>
      </w:r>
      <w:r w:rsidR="00BD1B84" w:rsidRPr="00470C7C">
        <w:rPr>
          <w:rFonts w:eastAsia="Batang" w:cs="Times"/>
          <w:noProof/>
          <w:szCs w:val="20"/>
          <w:lang w:val="es-MX" w:eastAsia="es-ES"/>
        </w:rPr>
        <w:t xml:space="preserve">y procesos iniciados </w:t>
      </w:r>
      <w:r w:rsidR="002246F9" w:rsidRPr="00470C7C">
        <w:rPr>
          <w:rFonts w:eastAsia="Batang" w:cs="Times"/>
          <w:noProof/>
          <w:szCs w:val="20"/>
          <w:lang w:val="es-MX" w:eastAsia="es-ES"/>
        </w:rPr>
        <w:t xml:space="preserve">como consecuencia de la inspección realizada en abril de 1997 en la Hacienda Brasil Verde, y ii) la inspección efectuada en marzo de 2000 en la Hacienda Brasil Verde, y la respectiva investigación iniciada posteriormente. </w:t>
      </w:r>
    </w:p>
    <w:p w14:paraId="02159ED2" w14:textId="77777777" w:rsidR="002246F9" w:rsidRPr="00470C7C" w:rsidRDefault="002246F9" w:rsidP="002246F9">
      <w:pPr>
        <w:pStyle w:val="Prrafodelista"/>
        <w:rPr>
          <w:rFonts w:eastAsia="Batang" w:cs="Times"/>
          <w:noProof/>
          <w:szCs w:val="20"/>
          <w:lang w:val="es-MX" w:eastAsia="es-ES"/>
        </w:rPr>
      </w:pPr>
    </w:p>
    <w:p w14:paraId="127A9477" w14:textId="77777777" w:rsidR="002246F9" w:rsidRPr="00470C7C" w:rsidRDefault="002246F9" w:rsidP="002246F9">
      <w:pPr>
        <w:pStyle w:val="Prrafodelista"/>
        <w:numPr>
          <w:ilvl w:val="0"/>
          <w:numId w:val="1"/>
        </w:numPr>
        <w:autoSpaceDE w:val="0"/>
        <w:autoSpaceDN w:val="0"/>
        <w:adjustRightInd w:val="0"/>
        <w:rPr>
          <w:rFonts w:cs="Arial"/>
          <w:szCs w:val="20"/>
          <w:lang w:val="es-ES"/>
        </w:rPr>
      </w:pPr>
      <w:r w:rsidRPr="00470C7C">
        <w:rPr>
          <w:rFonts w:eastAsia="Batang" w:cs="Times"/>
          <w:noProof/>
          <w:szCs w:val="20"/>
          <w:lang w:val="es-MX" w:eastAsia="es-ES"/>
        </w:rPr>
        <w:t xml:space="preserve">No obstante, antes de iniciar el análisis de fondo de la presente Sentencia, la Corte considera necesario realizar algunas consideraciones previas para establecer con claridad las presuntas víctimas que serán tomadas en consideración en el presente caso, quienes tienen relación con los hechos del caso dentro de la </w:t>
      </w:r>
      <w:r w:rsidRPr="00470C7C">
        <w:rPr>
          <w:rFonts w:cs="Arial"/>
          <w:szCs w:val="20"/>
          <w:lang w:val="es-ES"/>
        </w:rPr>
        <w:t xml:space="preserve">competencia </w:t>
      </w:r>
      <w:proofErr w:type="spellStart"/>
      <w:r w:rsidRPr="00470C7C">
        <w:rPr>
          <w:rFonts w:cs="Arial"/>
          <w:i/>
          <w:szCs w:val="20"/>
          <w:lang w:val="es-ES"/>
        </w:rPr>
        <w:t>ratione</w:t>
      </w:r>
      <w:proofErr w:type="spellEnd"/>
      <w:r w:rsidRPr="00470C7C">
        <w:rPr>
          <w:rFonts w:cs="Arial"/>
          <w:i/>
          <w:szCs w:val="20"/>
          <w:lang w:val="es-ES"/>
        </w:rPr>
        <w:t xml:space="preserve"> </w:t>
      </w:r>
      <w:proofErr w:type="spellStart"/>
      <w:r w:rsidRPr="00470C7C">
        <w:rPr>
          <w:rFonts w:cs="Arial"/>
          <w:i/>
          <w:szCs w:val="20"/>
          <w:lang w:val="es-ES"/>
        </w:rPr>
        <w:t>temporis</w:t>
      </w:r>
      <w:proofErr w:type="spellEnd"/>
      <w:r w:rsidRPr="00470C7C">
        <w:rPr>
          <w:rFonts w:eastAsia="Batang" w:cs="Times"/>
          <w:noProof/>
          <w:szCs w:val="20"/>
          <w:lang w:val="es-MX" w:eastAsia="es-ES"/>
        </w:rPr>
        <w:t xml:space="preserve">. En primer lugar, la Corte constata que las listas de presuntas víctimas aportadas por las partes y la Comisión presentan múltiples diferencias en la identificación de los trabajadores que se encontraban prestando sus servicios en la Hacienda Brasil Verde al momento de las fiscalizaciones de abril de 1997 y marzo de 2000. </w:t>
      </w:r>
    </w:p>
    <w:p w14:paraId="039E593A" w14:textId="77777777" w:rsidR="002246F9" w:rsidRPr="00470C7C" w:rsidRDefault="002246F9" w:rsidP="002246F9">
      <w:pPr>
        <w:autoSpaceDE w:val="0"/>
        <w:autoSpaceDN w:val="0"/>
        <w:adjustRightInd w:val="0"/>
        <w:ind w:right="15"/>
        <w:contextualSpacing/>
        <w:rPr>
          <w:rFonts w:cs="Arial"/>
          <w:szCs w:val="20"/>
          <w:lang w:val="es-ES"/>
        </w:rPr>
      </w:pPr>
    </w:p>
    <w:p w14:paraId="6CD1AED4" w14:textId="77777777" w:rsidR="002246F9" w:rsidRPr="00470C7C" w:rsidRDefault="002246F9" w:rsidP="002246F9">
      <w:pPr>
        <w:pStyle w:val="Prrafodelista"/>
        <w:numPr>
          <w:ilvl w:val="0"/>
          <w:numId w:val="1"/>
        </w:numPr>
        <w:autoSpaceDE w:val="0"/>
        <w:autoSpaceDN w:val="0"/>
        <w:adjustRightInd w:val="0"/>
        <w:rPr>
          <w:rFonts w:cs="Arial"/>
          <w:szCs w:val="20"/>
          <w:lang w:val="es-ES"/>
        </w:rPr>
      </w:pPr>
      <w:r w:rsidRPr="00470C7C">
        <w:rPr>
          <w:rFonts w:cs="Arial"/>
          <w:szCs w:val="20"/>
        </w:rPr>
        <w:t xml:space="preserve">Al respecto, la Corte </w:t>
      </w:r>
      <w:r w:rsidRPr="00470C7C">
        <w:rPr>
          <w:rFonts w:cs="Arial"/>
          <w:szCs w:val="20"/>
          <w:lang w:val="es-ES"/>
        </w:rPr>
        <w:t xml:space="preserve">considera evidente que el presente caso tiene un carácter colectivo; y que, además del amplio número de presuntas víctimas alegado, existe una clara complejidad en la identificación y localización de éstas con posterioridad a las referidas inspecciones. Tomando en consideración lo anterior, el Tribunal concluye que en el caso en concreto resulta aplicable la circunstancia excepcional contemplada en el artículo 35.2 del Reglamento de la Corte. En consecuencia, procederá a determinar las </w:t>
      </w:r>
      <w:r w:rsidR="00F443BC" w:rsidRPr="00470C7C">
        <w:rPr>
          <w:rFonts w:cs="Arial"/>
          <w:szCs w:val="20"/>
          <w:lang w:val="es-ES"/>
        </w:rPr>
        <w:t>personas</w:t>
      </w:r>
      <w:r w:rsidRPr="00470C7C">
        <w:rPr>
          <w:rFonts w:cs="Arial"/>
          <w:szCs w:val="20"/>
          <w:lang w:val="es-ES"/>
        </w:rPr>
        <w:t xml:space="preserve"> que se encontraban </w:t>
      </w:r>
      <w:r w:rsidRPr="00470C7C">
        <w:rPr>
          <w:rFonts w:eastAsia="Batang" w:cs="Times"/>
          <w:noProof/>
          <w:szCs w:val="20"/>
          <w:lang w:val="es-MX" w:eastAsia="es-ES"/>
        </w:rPr>
        <w:t>prestando sus servicios</w:t>
      </w:r>
      <w:r w:rsidRPr="00470C7C">
        <w:rPr>
          <w:rFonts w:cs="Arial"/>
          <w:szCs w:val="20"/>
          <w:lang w:val="es-ES"/>
        </w:rPr>
        <w:t xml:space="preserve"> en la Hacienda Brasil Verde al momento de las fiscalizaciones de 1997 y 2000. </w:t>
      </w:r>
    </w:p>
    <w:p w14:paraId="432CF406" w14:textId="77777777" w:rsidR="002246F9" w:rsidRPr="00470C7C" w:rsidRDefault="002246F9" w:rsidP="002246F9">
      <w:pPr>
        <w:pStyle w:val="Prrafodelista"/>
        <w:autoSpaceDE w:val="0"/>
        <w:autoSpaceDN w:val="0"/>
        <w:adjustRightInd w:val="0"/>
        <w:ind w:left="0"/>
        <w:rPr>
          <w:szCs w:val="20"/>
          <w:lang w:val="es-ES"/>
        </w:rPr>
      </w:pPr>
    </w:p>
    <w:p w14:paraId="2E9A7182" w14:textId="77777777" w:rsidR="002246F9" w:rsidRPr="00470C7C" w:rsidRDefault="002246F9" w:rsidP="008B0BCC">
      <w:pPr>
        <w:pStyle w:val="Ttulo2"/>
        <w:numPr>
          <w:ilvl w:val="0"/>
          <w:numId w:val="18"/>
        </w:numPr>
      </w:pPr>
      <w:bookmarkStart w:id="317" w:name="_Toc464813947"/>
      <w:r w:rsidRPr="00470C7C">
        <w:t>Fiscalización de abril de 1997</w:t>
      </w:r>
      <w:bookmarkEnd w:id="317"/>
    </w:p>
    <w:p w14:paraId="76014E35" w14:textId="77777777" w:rsidR="002246F9" w:rsidRPr="00470C7C" w:rsidRDefault="002246F9" w:rsidP="002246F9">
      <w:pPr>
        <w:tabs>
          <w:tab w:val="clear" w:pos="4419"/>
          <w:tab w:val="clear" w:pos="8838"/>
        </w:tabs>
        <w:autoSpaceDE w:val="0"/>
        <w:autoSpaceDN w:val="0"/>
        <w:adjustRightInd w:val="0"/>
        <w:ind w:firstLine="708"/>
        <w:rPr>
          <w:b/>
          <w:szCs w:val="20"/>
          <w:lang w:val="es-ES"/>
        </w:rPr>
      </w:pPr>
    </w:p>
    <w:p w14:paraId="2B223A1F" w14:textId="77777777" w:rsidR="002246F9" w:rsidRPr="00470C7C" w:rsidRDefault="002246F9" w:rsidP="005F0182">
      <w:pPr>
        <w:pStyle w:val="Ttulo3"/>
      </w:pPr>
      <w:bookmarkStart w:id="318" w:name="_Toc460433023"/>
      <w:bookmarkStart w:id="319" w:name="_Toc460441954"/>
      <w:bookmarkStart w:id="320" w:name="_Toc462750772"/>
      <w:bookmarkStart w:id="321" w:name="_Toc462751096"/>
      <w:bookmarkStart w:id="322" w:name="_Toc464813948"/>
      <w:r w:rsidRPr="00470C7C">
        <w:t>A.1</w:t>
      </w:r>
      <w:r w:rsidR="00DC2886" w:rsidRPr="00470C7C">
        <w:t>.</w:t>
      </w:r>
      <w:r w:rsidRPr="00470C7C">
        <w:t xml:space="preserve"> Argumentos de las partes y de la Comisión</w:t>
      </w:r>
      <w:bookmarkEnd w:id="318"/>
      <w:bookmarkEnd w:id="319"/>
      <w:bookmarkEnd w:id="320"/>
      <w:bookmarkEnd w:id="321"/>
      <w:bookmarkEnd w:id="322"/>
    </w:p>
    <w:p w14:paraId="5B1C7C45" w14:textId="77777777" w:rsidR="002246F9" w:rsidRPr="00470C7C" w:rsidRDefault="002246F9" w:rsidP="002246F9">
      <w:pPr>
        <w:pStyle w:val="Prrafodelista"/>
        <w:autoSpaceDE w:val="0"/>
        <w:autoSpaceDN w:val="0"/>
        <w:adjustRightInd w:val="0"/>
        <w:ind w:left="0"/>
        <w:rPr>
          <w:szCs w:val="20"/>
          <w:lang w:val="es-ES"/>
        </w:rPr>
      </w:pPr>
    </w:p>
    <w:p w14:paraId="6ED84811"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La </w:t>
      </w:r>
      <w:r w:rsidRPr="00470C7C">
        <w:rPr>
          <w:b/>
          <w:i/>
          <w:szCs w:val="20"/>
          <w:lang w:val="es-ES"/>
        </w:rPr>
        <w:t>Comisión</w:t>
      </w:r>
      <w:r w:rsidRPr="00470C7C">
        <w:rPr>
          <w:szCs w:val="20"/>
          <w:lang w:val="es-ES"/>
        </w:rPr>
        <w:t xml:space="preserve"> señaló en su Informe de Fondo que al momento de la fiscalización de abril de 1997 se encontraban en la Hacienda Brasil Verde 81 trabajadores, sin </w:t>
      </w:r>
      <w:proofErr w:type="gramStart"/>
      <w:r w:rsidRPr="00470C7C">
        <w:rPr>
          <w:szCs w:val="20"/>
          <w:lang w:val="es-ES"/>
        </w:rPr>
        <w:t>embargo</w:t>
      </w:r>
      <w:proofErr w:type="gramEnd"/>
      <w:r w:rsidRPr="00470C7C">
        <w:rPr>
          <w:szCs w:val="20"/>
          <w:lang w:val="es-ES"/>
        </w:rPr>
        <w:t xml:space="preserve"> únicamente había podido identificar el nombre de 59 de ellos. Asimismo, indicó que </w:t>
      </w:r>
      <w:r w:rsidRPr="00470C7C">
        <w:rPr>
          <w:szCs w:val="20"/>
        </w:rPr>
        <w:t>12 de las personas habían sido identificadas mediante cuentas informales de deudas adquiridas por los trabajadores con el empleador, y que</w:t>
      </w:r>
      <w:r w:rsidR="003C3D81" w:rsidRPr="00470C7C">
        <w:rPr>
          <w:szCs w:val="20"/>
        </w:rPr>
        <w:t>,</w:t>
      </w:r>
      <w:r w:rsidRPr="00470C7C">
        <w:rPr>
          <w:szCs w:val="20"/>
        </w:rPr>
        <w:t xml:space="preserve"> en múltiples supuestos los trabajadores aparecían registrados sin apellidos, con apodos o sus nombres eran ilegibles; por lo que la Comisión carecía de información suficiente para determinar si se trataba o no de un trabajador previamente identificado</w:t>
      </w:r>
      <w:r w:rsidRPr="00470C7C">
        <w:rPr>
          <w:rFonts w:cs="Times New Roman"/>
          <w:szCs w:val="20"/>
        </w:rPr>
        <w:t>.</w:t>
      </w:r>
    </w:p>
    <w:p w14:paraId="7A51AEAE" w14:textId="77777777" w:rsidR="002246F9" w:rsidRPr="00470C7C" w:rsidRDefault="002246F9" w:rsidP="002246F9">
      <w:pPr>
        <w:pStyle w:val="Prrafodelista"/>
        <w:autoSpaceDE w:val="0"/>
        <w:autoSpaceDN w:val="0"/>
        <w:adjustRightInd w:val="0"/>
        <w:ind w:left="0"/>
        <w:rPr>
          <w:szCs w:val="20"/>
          <w:lang w:val="es-ES"/>
        </w:rPr>
      </w:pPr>
    </w:p>
    <w:p w14:paraId="2AA748D1"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Por su parte, los </w:t>
      </w:r>
      <w:r w:rsidRPr="00470C7C">
        <w:rPr>
          <w:b/>
          <w:i/>
          <w:szCs w:val="20"/>
          <w:lang w:val="es-ES"/>
        </w:rPr>
        <w:t>representantes</w:t>
      </w:r>
      <w:r w:rsidRPr="00470C7C">
        <w:rPr>
          <w:szCs w:val="20"/>
          <w:lang w:val="es-ES"/>
        </w:rPr>
        <w:t xml:space="preserve"> coincidieron con la Comisión en que </w:t>
      </w:r>
      <w:r w:rsidRPr="00470C7C">
        <w:rPr>
          <w:szCs w:val="20"/>
        </w:rPr>
        <w:t xml:space="preserve">al momento de la fiscalización de abril 1997 había 81 trabajadores en la Hacienda Brasil Verde, no obstante, añadieron </w:t>
      </w:r>
      <w:proofErr w:type="gramStart"/>
      <w:r w:rsidRPr="00470C7C">
        <w:rPr>
          <w:szCs w:val="20"/>
        </w:rPr>
        <w:t>que</w:t>
      </w:r>
      <w:proofErr w:type="gramEnd"/>
      <w:r w:rsidRPr="00470C7C">
        <w:rPr>
          <w:szCs w:val="20"/>
        </w:rPr>
        <w:t xml:space="preserve"> de acuerdo con el informe de la fiscalización, 12 trabajadores más se habrían fugado antes que se presentara el Ministerio de Trabajo y la Policía Federal a la Hacienda Brasil Verde, sumando entonces un total de 93 presuntas víctimas. A pesar de lo anterior, en su lista de presuntas víctimas los representantes indicaron los nombres de 96 trabajadores, aclarando que 49 de los nombres habían sido obtenidos de </w:t>
      </w:r>
      <w:r w:rsidRPr="00470C7C">
        <w:rPr>
          <w:rFonts w:cs="Helvetica"/>
          <w:szCs w:val="20"/>
        </w:rPr>
        <w:t>notas informales de consumo o recibos en blanco.</w:t>
      </w:r>
    </w:p>
    <w:p w14:paraId="6EA13A49" w14:textId="77777777" w:rsidR="002246F9" w:rsidRPr="00470C7C" w:rsidRDefault="002246F9" w:rsidP="002246F9">
      <w:pPr>
        <w:pStyle w:val="Prrafodelista"/>
        <w:autoSpaceDE w:val="0"/>
        <w:autoSpaceDN w:val="0"/>
        <w:adjustRightInd w:val="0"/>
        <w:ind w:left="0"/>
        <w:rPr>
          <w:szCs w:val="20"/>
          <w:lang w:val="es-ES"/>
        </w:rPr>
      </w:pPr>
    </w:p>
    <w:p w14:paraId="3A4603D9"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 En contraste, el </w:t>
      </w:r>
      <w:r w:rsidRPr="00470C7C">
        <w:rPr>
          <w:b/>
          <w:i/>
          <w:szCs w:val="20"/>
          <w:lang w:val="es-ES"/>
        </w:rPr>
        <w:t>Estado</w:t>
      </w:r>
      <w:r w:rsidRPr="00470C7C">
        <w:rPr>
          <w:szCs w:val="20"/>
          <w:lang w:val="es-ES"/>
        </w:rPr>
        <w:t xml:space="preserve"> argumentó que era</w:t>
      </w:r>
      <w:r w:rsidRPr="00470C7C">
        <w:rPr>
          <w:szCs w:val="20"/>
        </w:rPr>
        <w:t xml:space="preserve"> preciso distinguir el total de “trabajadores encontrados” del total de “trabajadores rescatados” por el Ministerio de Trabajo y la Policía Federal. De esta forma, si bien el informe de la fiscalización indicaba que había 81 trabajadores en la Hacienda Brasil Verde, únicamente 36 trabajadores fueron rescatados, lo que significaba que solo ellos se encontraban en una situación concreta de peligro para su integridad física, en aras de considerarlos como presuntas víctimas en el presente caso. En consecuencia, el Estado manifestó que sobre las restantes 45 personas señaladas se desconocía cualquier elemento que comprobara que habrían sido víctimas de violaciones a los derechos contemplados en la Convención Americana.</w:t>
      </w:r>
    </w:p>
    <w:p w14:paraId="2B0E6317" w14:textId="77777777" w:rsidR="002246F9" w:rsidRPr="00470C7C" w:rsidRDefault="002246F9" w:rsidP="0089192A">
      <w:pPr>
        <w:pStyle w:val="Textocomentario"/>
        <w:tabs>
          <w:tab w:val="clear" w:pos="4419"/>
          <w:tab w:val="clear" w:pos="8838"/>
        </w:tabs>
        <w:autoSpaceDE w:val="0"/>
        <w:autoSpaceDN w:val="0"/>
        <w:adjustRightInd w:val="0"/>
        <w:rPr>
          <w:lang w:val="es-ES"/>
        </w:rPr>
      </w:pPr>
    </w:p>
    <w:p w14:paraId="61FC393A" w14:textId="77777777" w:rsidR="002246F9" w:rsidRPr="00470C7C" w:rsidRDefault="002246F9" w:rsidP="005F0182">
      <w:pPr>
        <w:pStyle w:val="Ttulo3"/>
      </w:pPr>
      <w:bookmarkStart w:id="323" w:name="_Toc460433024"/>
      <w:bookmarkStart w:id="324" w:name="_Toc460441955"/>
      <w:bookmarkStart w:id="325" w:name="_Toc462750773"/>
      <w:bookmarkStart w:id="326" w:name="_Toc462751097"/>
      <w:bookmarkStart w:id="327" w:name="_Toc464813949"/>
      <w:r w:rsidRPr="00470C7C">
        <w:t>A.2</w:t>
      </w:r>
      <w:r w:rsidR="00DC2886" w:rsidRPr="00470C7C">
        <w:t>.</w:t>
      </w:r>
      <w:r w:rsidRPr="00470C7C">
        <w:t xml:space="preserve"> Consideraciones de la Corte</w:t>
      </w:r>
      <w:bookmarkEnd w:id="323"/>
      <w:bookmarkEnd w:id="324"/>
      <w:bookmarkEnd w:id="325"/>
      <w:bookmarkEnd w:id="326"/>
      <w:bookmarkEnd w:id="327"/>
    </w:p>
    <w:p w14:paraId="242C580A" w14:textId="77777777" w:rsidR="002246F9" w:rsidRPr="00470C7C" w:rsidRDefault="002246F9" w:rsidP="002246F9">
      <w:pPr>
        <w:pStyle w:val="Prrafodelista"/>
        <w:rPr>
          <w:rFonts w:cs="Times New Roman"/>
          <w:szCs w:val="20"/>
          <w:lang w:val="es-ES"/>
        </w:rPr>
      </w:pPr>
    </w:p>
    <w:p w14:paraId="543A35AC"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rFonts w:cs="Times New Roman"/>
          <w:szCs w:val="20"/>
          <w:lang w:val="es-ES"/>
        </w:rPr>
        <w:t xml:space="preserve">La Corte verificó que las notas de consumo y los recibos en blanco </w:t>
      </w:r>
      <w:r w:rsidRPr="00470C7C">
        <w:rPr>
          <w:rFonts w:cs="Times New Roman"/>
          <w:szCs w:val="20"/>
        </w:rPr>
        <w:t>en los cuales se registraban las deudas de los trabajadores en la Hacienda Brasil Verde eran registros informales que estaban escritos a mano, en los cuales no se dejaba constancia del nombre completo del trabajador y algunas veces se escribían</w:t>
      </w:r>
      <w:r w:rsidR="00B54FB3" w:rsidRPr="00470C7C">
        <w:rPr>
          <w:rFonts w:cs="Times New Roman"/>
          <w:szCs w:val="20"/>
        </w:rPr>
        <w:t xml:space="preserve"> solo</w:t>
      </w:r>
      <w:r w:rsidR="00F443BC" w:rsidRPr="00470C7C">
        <w:rPr>
          <w:rFonts w:cs="Times New Roman"/>
          <w:szCs w:val="20"/>
        </w:rPr>
        <w:t xml:space="preserve"> </w:t>
      </w:r>
      <w:r w:rsidRPr="00470C7C">
        <w:rPr>
          <w:rFonts w:cs="Times New Roman"/>
          <w:szCs w:val="20"/>
        </w:rPr>
        <w:t xml:space="preserve">sus </w:t>
      </w:r>
      <w:r w:rsidR="00F443BC" w:rsidRPr="00470C7C">
        <w:rPr>
          <w:rFonts w:cs="Times New Roman"/>
          <w:szCs w:val="20"/>
        </w:rPr>
        <w:t>sobrenombres</w:t>
      </w:r>
      <w:r w:rsidRPr="00470C7C">
        <w:rPr>
          <w:rFonts w:cs="Times New Roman"/>
          <w:szCs w:val="20"/>
        </w:rPr>
        <w:t xml:space="preserve">. A modo de ejemplo, algunos de los nombres que fueron presentados como presuntas víctimas con fundamento en las </w:t>
      </w:r>
      <w:r w:rsidRPr="00470C7C">
        <w:rPr>
          <w:rFonts w:cs="Helvetica"/>
          <w:szCs w:val="20"/>
        </w:rPr>
        <w:t xml:space="preserve">notas de consumo o recibos en blanco fueron los siguientes: </w:t>
      </w:r>
      <w:proofErr w:type="spellStart"/>
      <w:r w:rsidRPr="00470C7C">
        <w:rPr>
          <w:rFonts w:cs="Helvetica"/>
          <w:szCs w:val="20"/>
        </w:rPr>
        <w:t>Antônio</w:t>
      </w:r>
      <w:proofErr w:type="spellEnd"/>
      <w:r w:rsidRPr="00470C7C">
        <w:rPr>
          <w:rFonts w:cs="Helvetica"/>
          <w:szCs w:val="20"/>
        </w:rPr>
        <w:t xml:space="preserve"> “</w:t>
      </w:r>
      <w:proofErr w:type="spellStart"/>
      <w:r w:rsidRPr="00470C7C">
        <w:rPr>
          <w:rFonts w:cs="Helvetica"/>
          <w:szCs w:val="20"/>
        </w:rPr>
        <w:t>Caititu</w:t>
      </w:r>
      <w:proofErr w:type="spellEnd"/>
      <w:r w:rsidRPr="00470C7C">
        <w:rPr>
          <w:rFonts w:cs="Helvetica"/>
          <w:szCs w:val="20"/>
        </w:rPr>
        <w:t xml:space="preserve">”, </w:t>
      </w:r>
      <w:proofErr w:type="spellStart"/>
      <w:r w:rsidR="00D60654" w:rsidRPr="00470C7C">
        <w:rPr>
          <w:rFonts w:cs="Helvetica"/>
          <w:szCs w:val="20"/>
        </w:rPr>
        <w:t>Antônio</w:t>
      </w:r>
      <w:proofErr w:type="spellEnd"/>
      <w:r w:rsidR="00D60654" w:rsidRPr="00470C7C">
        <w:rPr>
          <w:rFonts w:cs="Helvetica"/>
          <w:szCs w:val="20"/>
        </w:rPr>
        <w:t xml:space="preserve"> </w:t>
      </w:r>
      <w:r w:rsidRPr="00470C7C">
        <w:rPr>
          <w:rFonts w:cs="Helvetica"/>
          <w:szCs w:val="20"/>
        </w:rPr>
        <w:t>“</w:t>
      </w:r>
      <w:proofErr w:type="spellStart"/>
      <w:r w:rsidRPr="00470C7C">
        <w:rPr>
          <w:rFonts w:cs="Helvetica"/>
          <w:szCs w:val="20"/>
        </w:rPr>
        <w:t>Capixaba</w:t>
      </w:r>
      <w:proofErr w:type="spellEnd"/>
      <w:r w:rsidRPr="00470C7C">
        <w:rPr>
          <w:rFonts w:cs="Helvetica"/>
          <w:szCs w:val="20"/>
        </w:rPr>
        <w:t xml:space="preserve">”, </w:t>
      </w:r>
      <w:proofErr w:type="spellStart"/>
      <w:r w:rsidRPr="00470C7C">
        <w:rPr>
          <w:rFonts w:cs="Helvetica"/>
          <w:szCs w:val="20"/>
        </w:rPr>
        <w:t>Irineu</w:t>
      </w:r>
      <w:proofErr w:type="spellEnd"/>
      <w:r w:rsidRPr="00470C7C">
        <w:rPr>
          <w:rFonts w:cs="Helvetica"/>
          <w:szCs w:val="20"/>
        </w:rPr>
        <w:t>, José Carlos, José Francisco, Francisco, “</w:t>
      </w:r>
      <w:proofErr w:type="spellStart"/>
      <w:r w:rsidRPr="00470C7C">
        <w:rPr>
          <w:rFonts w:cs="Helvetica"/>
          <w:szCs w:val="20"/>
        </w:rPr>
        <w:t>Índio</w:t>
      </w:r>
      <w:proofErr w:type="spellEnd"/>
      <w:r w:rsidRPr="00470C7C">
        <w:rPr>
          <w:rFonts w:cs="Helvetica"/>
          <w:szCs w:val="20"/>
        </w:rPr>
        <w:t>”, “Mato Grosso”, “Pará” y “</w:t>
      </w:r>
      <w:proofErr w:type="spellStart"/>
      <w:r w:rsidRPr="00470C7C">
        <w:rPr>
          <w:rFonts w:cs="Helvetica"/>
          <w:szCs w:val="20"/>
        </w:rPr>
        <w:t>Parazinho</w:t>
      </w:r>
      <w:proofErr w:type="spellEnd"/>
      <w:r w:rsidRPr="00470C7C">
        <w:rPr>
          <w:rFonts w:cs="Helvetica"/>
          <w:szCs w:val="20"/>
        </w:rPr>
        <w:t>”.</w:t>
      </w:r>
      <w:r w:rsidRPr="00470C7C">
        <w:rPr>
          <w:szCs w:val="20"/>
          <w:lang w:val="es-ES"/>
        </w:rPr>
        <w:t xml:space="preserve"> </w:t>
      </w:r>
    </w:p>
    <w:p w14:paraId="5829F09C" w14:textId="77777777" w:rsidR="002246F9" w:rsidRPr="00470C7C" w:rsidRDefault="002246F9" w:rsidP="002246F9">
      <w:pPr>
        <w:pStyle w:val="Prrafodelista"/>
        <w:autoSpaceDE w:val="0"/>
        <w:autoSpaceDN w:val="0"/>
        <w:adjustRightInd w:val="0"/>
        <w:ind w:left="0"/>
        <w:rPr>
          <w:szCs w:val="20"/>
          <w:lang w:val="es-ES"/>
        </w:rPr>
      </w:pPr>
    </w:p>
    <w:p w14:paraId="5C006471"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Visto lo anterior, la Corte estima que </w:t>
      </w:r>
      <w:r w:rsidRPr="00470C7C">
        <w:rPr>
          <w:rFonts w:cs="Times New Roman"/>
          <w:szCs w:val="20"/>
        </w:rPr>
        <w:t>existe una duda razonable respecto a que el nombre señalado en una nota de consumo o recibo en blanco se pudiera referir a un trabajador que ya había sido previamente identificado mediante otro documento de prueba, o incluso a un trabajador que no se encontraba en la Hacienda Brasil Verde al momento de la fiscalización de abril de 1997.</w:t>
      </w:r>
      <w:r w:rsidRPr="00470C7C">
        <w:rPr>
          <w:szCs w:val="20"/>
          <w:lang w:val="es-ES"/>
        </w:rPr>
        <w:t xml:space="preserve"> </w:t>
      </w:r>
      <w:r w:rsidRPr="00470C7C">
        <w:rPr>
          <w:rFonts w:cs="Times New Roman"/>
          <w:szCs w:val="20"/>
        </w:rPr>
        <w:t xml:space="preserve">De esta forma, </w:t>
      </w:r>
      <w:r w:rsidRPr="00470C7C">
        <w:rPr>
          <w:rFonts w:cs="Times New Roman"/>
          <w:szCs w:val="20"/>
          <w:lang w:val="es-ES"/>
        </w:rPr>
        <w:t xml:space="preserve">la Corte considera que, para efectos del presente caso, las notas de consumo o los recibos en blanco </w:t>
      </w:r>
      <w:r w:rsidRPr="00470C7C">
        <w:rPr>
          <w:rFonts w:cs="Times New Roman"/>
          <w:szCs w:val="20"/>
        </w:rPr>
        <w:t>no permiten demostrar con certeza la presencia de un determinado trabajador en la Hacienda Brasil Verde al momento de la fiscalización de abril de 1997, ni su consecuente calidad de presunta víctima.</w:t>
      </w:r>
    </w:p>
    <w:p w14:paraId="161A1FBD" w14:textId="77777777" w:rsidR="002246F9" w:rsidRPr="00470C7C" w:rsidRDefault="002246F9" w:rsidP="002246F9">
      <w:pPr>
        <w:pStyle w:val="Prrafodelista"/>
        <w:autoSpaceDE w:val="0"/>
        <w:autoSpaceDN w:val="0"/>
        <w:adjustRightInd w:val="0"/>
        <w:ind w:left="0"/>
        <w:rPr>
          <w:szCs w:val="20"/>
          <w:lang w:val="es-ES"/>
        </w:rPr>
      </w:pPr>
      <w:r w:rsidRPr="00470C7C">
        <w:rPr>
          <w:rFonts w:cs="Times New Roman"/>
          <w:szCs w:val="20"/>
        </w:rPr>
        <w:t xml:space="preserve"> </w:t>
      </w:r>
    </w:p>
    <w:p w14:paraId="03406397"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Sin perjuicio de lo anterior, la Corte estima pertinente manifestar que l</w:t>
      </w:r>
      <w:r w:rsidRPr="00470C7C">
        <w:rPr>
          <w:szCs w:val="20"/>
        </w:rPr>
        <w:t>a determinación de un trabajador como presunta víctima de alegadas violaciones a la Convención no se deriva exclusivamente de un eventual rescate por parte del Ministerio de</w:t>
      </w:r>
      <w:r w:rsidR="00F443BC" w:rsidRPr="00470C7C">
        <w:rPr>
          <w:szCs w:val="20"/>
        </w:rPr>
        <w:t>l</w:t>
      </w:r>
      <w:r w:rsidRPr="00470C7C">
        <w:rPr>
          <w:szCs w:val="20"/>
        </w:rPr>
        <w:t xml:space="preserve"> Trabajo o de la Policía Federal, sino de las condiciones en las cuales se encontraba durante el tiempo que prestó sus servicios en la Hacienda, así como de las consecuentes investigaciones llevadas a cabo al respecto; con independencia de si fue o no rescatado durante la inspección. En virtud de lo anterior, la Corte desestima el argumento del Estado relativo a que solo serían presuntas víctimas aquellos trabajadores que fueron efectivamente rescatados por agentes estatales en la Hacienda Brasil Verde.</w:t>
      </w:r>
    </w:p>
    <w:p w14:paraId="583947BC" w14:textId="77777777" w:rsidR="002246F9" w:rsidRPr="00470C7C" w:rsidRDefault="002246F9" w:rsidP="002246F9">
      <w:pPr>
        <w:pStyle w:val="Prrafodelista"/>
        <w:rPr>
          <w:szCs w:val="20"/>
          <w:lang w:val="es-ES"/>
        </w:rPr>
      </w:pPr>
    </w:p>
    <w:p w14:paraId="2881D3C3"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Ahora bien, tomando en consideración que para analizar el presente caso </w:t>
      </w:r>
      <w:r w:rsidRPr="00470C7C">
        <w:rPr>
          <w:szCs w:val="20"/>
        </w:rPr>
        <w:t>es necesario que la Corte cuente con un mínimo de certeza sobre la existencia de tales personas</w:t>
      </w:r>
      <w:r w:rsidRPr="00470C7C">
        <w:rPr>
          <w:rStyle w:val="Refdenotaalpie"/>
        </w:rPr>
        <w:footnoteReference w:id="214"/>
      </w:r>
      <w:r w:rsidRPr="00470C7C">
        <w:rPr>
          <w:szCs w:val="20"/>
        </w:rPr>
        <w:t xml:space="preserve">, </w:t>
      </w:r>
      <w:r w:rsidRPr="00470C7C">
        <w:rPr>
          <w:szCs w:val="20"/>
          <w:lang w:val="es-ES"/>
        </w:rPr>
        <w:t>p</w:t>
      </w:r>
      <w:r w:rsidRPr="00470C7C">
        <w:rPr>
          <w:szCs w:val="20"/>
        </w:rPr>
        <w:t>ara demostrar la calidad de presunta</w:t>
      </w:r>
      <w:r w:rsidR="00F443BC" w:rsidRPr="00470C7C">
        <w:rPr>
          <w:szCs w:val="20"/>
        </w:rPr>
        <w:t>s</w:t>
      </w:r>
      <w:r w:rsidRPr="00470C7C">
        <w:rPr>
          <w:szCs w:val="20"/>
        </w:rPr>
        <w:t xml:space="preserve"> víctima</w:t>
      </w:r>
      <w:r w:rsidR="00F443BC" w:rsidRPr="00470C7C">
        <w:rPr>
          <w:szCs w:val="20"/>
        </w:rPr>
        <w:t>s</w:t>
      </w:r>
      <w:r w:rsidRPr="00470C7C">
        <w:rPr>
          <w:szCs w:val="20"/>
        </w:rPr>
        <w:t xml:space="preserve"> la Corte utilizó los siguientes instrumentos probatorios aportados por las partes: i) Registro de Infracción (RI); </w:t>
      </w:r>
      <w:proofErr w:type="spellStart"/>
      <w:r w:rsidRPr="00470C7C">
        <w:rPr>
          <w:szCs w:val="20"/>
        </w:rPr>
        <w:t>ii</w:t>
      </w:r>
      <w:proofErr w:type="spellEnd"/>
      <w:r w:rsidRPr="00470C7C">
        <w:rPr>
          <w:szCs w:val="20"/>
        </w:rPr>
        <w:t xml:space="preserve">) Registro de Empleado por la Hacienda (RE); </w:t>
      </w:r>
      <w:proofErr w:type="spellStart"/>
      <w:r w:rsidRPr="00470C7C">
        <w:rPr>
          <w:szCs w:val="20"/>
        </w:rPr>
        <w:t>iii</w:t>
      </w:r>
      <w:proofErr w:type="spellEnd"/>
      <w:r w:rsidRPr="00470C7C">
        <w:rPr>
          <w:szCs w:val="20"/>
        </w:rPr>
        <w:t xml:space="preserve">) Terminación de contrato (TC); </w:t>
      </w:r>
      <w:proofErr w:type="spellStart"/>
      <w:r w:rsidRPr="00470C7C">
        <w:rPr>
          <w:szCs w:val="20"/>
        </w:rPr>
        <w:t>iv</w:t>
      </w:r>
      <w:proofErr w:type="spellEnd"/>
      <w:r w:rsidRPr="00470C7C">
        <w:rPr>
          <w:szCs w:val="20"/>
        </w:rPr>
        <w:t>) Formulario de Verificación Física (VF), y v) Lista de trabajadores señalados por la defensa del gerente y el</w:t>
      </w:r>
      <w:r w:rsidR="00DB1C1D" w:rsidRPr="00470C7C">
        <w:rPr>
          <w:i/>
          <w:szCs w:val="20"/>
        </w:rPr>
        <w:t xml:space="preserve"> gato </w:t>
      </w:r>
      <w:r w:rsidRPr="00470C7C">
        <w:rPr>
          <w:szCs w:val="20"/>
        </w:rPr>
        <w:t>en el proceso penal interno (PP). Del análisis de dichos documentos se demostró que: a) 26 personas</w:t>
      </w:r>
      <w:r w:rsidRPr="00470C7C">
        <w:rPr>
          <w:rStyle w:val="Refdenotaalpie"/>
        </w:rPr>
        <w:footnoteReference w:id="215"/>
      </w:r>
      <w:r w:rsidRPr="00470C7C">
        <w:rPr>
          <w:szCs w:val="20"/>
        </w:rPr>
        <w:t xml:space="preserve"> fueron presentadas como presuntas víctimas con fundamento exclusivo en las notas de consumo o recibos en blanco; b) 1</w:t>
      </w:r>
      <w:r w:rsidR="00F443BC" w:rsidRPr="00470C7C">
        <w:rPr>
          <w:szCs w:val="20"/>
        </w:rPr>
        <w:t>0</w:t>
      </w:r>
      <w:r w:rsidRPr="00470C7C">
        <w:rPr>
          <w:szCs w:val="20"/>
        </w:rPr>
        <w:t xml:space="preserve"> personas</w:t>
      </w:r>
      <w:r w:rsidRPr="00470C7C">
        <w:rPr>
          <w:rStyle w:val="Refdenotaalpie"/>
        </w:rPr>
        <w:footnoteReference w:id="216"/>
      </w:r>
      <w:r w:rsidRPr="00470C7C">
        <w:rPr>
          <w:szCs w:val="20"/>
        </w:rPr>
        <w:t xml:space="preserve"> no contaban con ningún tipo de prueba para demostrar su calidad de presunta víctima, y c) 14 personas</w:t>
      </w:r>
      <w:r w:rsidRPr="00470C7C">
        <w:rPr>
          <w:rStyle w:val="Refdenotaalpie"/>
        </w:rPr>
        <w:footnoteReference w:id="217"/>
      </w:r>
      <w:r w:rsidRPr="00470C7C">
        <w:rPr>
          <w:szCs w:val="20"/>
        </w:rPr>
        <w:t xml:space="preserve"> se referían a trabajadores previamente identificados.</w:t>
      </w:r>
    </w:p>
    <w:p w14:paraId="17A5AFDE" w14:textId="77777777" w:rsidR="002246F9" w:rsidRPr="00470C7C" w:rsidRDefault="002246F9" w:rsidP="002246F9">
      <w:pPr>
        <w:rPr>
          <w:szCs w:val="20"/>
          <w:lang w:val="es-ES"/>
        </w:rPr>
      </w:pPr>
    </w:p>
    <w:p w14:paraId="4A588AD3" w14:textId="77777777" w:rsidR="002246F9" w:rsidRPr="00470C7C" w:rsidRDefault="002246F9" w:rsidP="002246F9">
      <w:pPr>
        <w:pStyle w:val="Prrafodelista"/>
        <w:numPr>
          <w:ilvl w:val="0"/>
          <w:numId w:val="1"/>
        </w:numPr>
        <w:autoSpaceDE w:val="0"/>
        <w:autoSpaceDN w:val="0"/>
        <w:adjustRightInd w:val="0"/>
        <w:rPr>
          <w:szCs w:val="20"/>
          <w:lang w:val="pt-BR"/>
        </w:rPr>
      </w:pPr>
      <w:bookmarkStart w:id="328" w:name="_Ref460939590"/>
      <w:r w:rsidRPr="00470C7C">
        <w:rPr>
          <w:szCs w:val="20"/>
          <w:lang w:val="es-ES"/>
        </w:rPr>
        <w:t xml:space="preserve">Por lo tanto, del grupo de trabajadores presentes en la Hacienda Brasil Verde durante la fiscalización de abril de 1997, al momento de la emisión de la presente Sentencia, el Tribunal cuenta con elementos probatorios suficientes y confiables para demostrar la calidad de presuntas víctimas </w:t>
      </w:r>
      <w:r w:rsidR="00BD1B84" w:rsidRPr="00470C7C">
        <w:rPr>
          <w:szCs w:val="20"/>
          <w:lang w:val="es-ES"/>
        </w:rPr>
        <w:t xml:space="preserve">de alegadas violaciones a los derechos a las garantías y la protección judiciales </w:t>
      </w:r>
      <w:r w:rsidRPr="00470C7C">
        <w:rPr>
          <w:szCs w:val="20"/>
          <w:lang w:val="es-ES"/>
        </w:rPr>
        <w:t xml:space="preserve">de los siguientes 43 trabajadores: 1. </w:t>
      </w:r>
      <w:r w:rsidR="00D60654" w:rsidRPr="00470C7C">
        <w:rPr>
          <w:rFonts w:cs="Helvetica"/>
          <w:szCs w:val="20"/>
          <w:lang w:val="pt-BR"/>
        </w:rPr>
        <w:t xml:space="preserve">Antônio </w:t>
      </w:r>
      <w:r w:rsidRPr="00470C7C">
        <w:rPr>
          <w:rFonts w:cs="Helvetica"/>
          <w:szCs w:val="20"/>
          <w:lang w:val="pt-BR"/>
        </w:rPr>
        <w:t>Alves de Souza</w:t>
      </w:r>
      <w:r w:rsidRPr="00470C7C">
        <w:rPr>
          <w:rStyle w:val="Refdenotaalpie"/>
          <w:rFonts w:cs="Helvetica"/>
        </w:rPr>
        <w:footnoteReference w:id="218"/>
      </w:r>
      <w:r w:rsidRPr="00470C7C">
        <w:rPr>
          <w:rFonts w:cs="Helvetica"/>
          <w:szCs w:val="20"/>
          <w:lang w:val="pt-BR"/>
        </w:rPr>
        <w:t>;</w:t>
      </w:r>
      <w:r w:rsidRPr="00470C7C">
        <w:rPr>
          <w:szCs w:val="20"/>
          <w:lang w:val="pt-BR"/>
        </w:rPr>
        <w:t xml:space="preserve"> </w:t>
      </w:r>
      <w:r w:rsidRPr="00470C7C">
        <w:rPr>
          <w:rFonts w:cs="Helvetica"/>
          <w:szCs w:val="20"/>
          <w:lang w:val="pt-BR"/>
        </w:rPr>
        <w:t xml:space="preserve">2. </w:t>
      </w:r>
      <w:r w:rsidR="00D60654" w:rsidRPr="00470C7C">
        <w:rPr>
          <w:rFonts w:cs="Helvetica"/>
          <w:szCs w:val="20"/>
          <w:lang w:val="pt-BR"/>
        </w:rPr>
        <w:t xml:space="preserve">Antônio </w:t>
      </w:r>
      <w:r w:rsidRPr="00470C7C">
        <w:rPr>
          <w:rFonts w:cs="Helvetica"/>
          <w:szCs w:val="20"/>
          <w:lang w:val="pt-BR"/>
        </w:rPr>
        <w:t>Bispo dos Santos</w:t>
      </w:r>
      <w:r w:rsidRPr="00470C7C">
        <w:rPr>
          <w:rStyle w:val="Refdenotaalpie"/>
          <w:rFonts w:cs="Helvetica"/>
          <w:lang w:val="pt-BR"/>
        </w:rPr>
        <w:footnoteReference w:id="219"/>
      </w:r>
      <w:r w:rsidRPr="00470C7C">
        <w:rPr>
          <w:rFonts w:cs="Helvetica"/>
          <w:szCs w:val="20"/>
          <w:lang w:val="pt-BR"/>
        </w:rPr>
        <w:t>;</w:t>
      </w:r>
      <w:r w:rsidRPr="00470C7C">
        <w:rPr>
          <w:szCs w:val="20"/>
          <w:lang w:val="pt-BR"/>
        </w:rPr>
        <w:t xml:space="preserve"> </w:t>
      </w:r>
      <w:r w:rsidRPr="00470C7C">
        <w:rPr>
          <w:rFonts w:cs="Helvetica"/>
          <w:szCs w:val="20"/>
          <w:lang w:val="pt-BR"/>
        </w:rPr>
        <w:t xml:space="preserve">3. </w:t>
      </w:r>
      <w:r w:rsidR="00D60654" w:rsidRPr="00470C7C">
        <w:rPr>
          <w:rFonts w:cs="Helvetica"/>
          <w:szCs w:val="20"/>
          <w:lang w:val="pt-BR"/>
        </w:rPr>
        <w:t xml:space="preserve">Antônio </w:t>
      </w:r>
      <w:r w:rsidRPr="00470C7C">
        <w:rPr>
          <w:rFonts w:cs="Helvetica"/>
          <w:szCs w:val="20"/>
          <w:lang w:val="pt-BR"/>
        </w:rPr>
        <w:t>da Silva Nascimento</w:t>
      </w:r>
      <w:r w:rsidRPr="00470C7C">
        <w:rPr>
          <w:rStyle w:val="Refdenotaalpie"/>
          <w:rFonts w:cs="Helvetica"/>
          <w:lang w:val="pt-BR"/>
        </w:rPr>
        <w:footnoteReference w:id="220"/>
      </w:r>
      <w:r w:rsidRPr="00470C7C">
        <w:rPr>
          <w:rFonts w:cs="Helvetica"/>
          <w:szCs w:val="20"/>
          <w:lang w:val="pt-BR"/>
        </w:rPr>
        <w:t>;</w:t>
      </w:r>
      <w:r w:rsidRPr="00470C7C">
        <w:rPr>
          <w:szCs w:val="20"/>
          <w:lang w:val="pt-BR"/>
        </w:rPr>
        <w:t xml:space="preserve"> </w:t>
      </w:r>
      <w:r w:rsidRPr="00470C7C">
        <w:rPr>
          <w:rFonts w:cs="Helvetica"/>
          <w:szCs w:val="20"/>
          <w:lang w:val="pt-BR"/>
        </w:rPr>
        <w:t xml:space="preserve">4. </w:t>
      </w:r>
      <w:r w:rsidR="00D60654" w:rsidRPr="00470C7C">
        <w:rPr>
          <w:rFonts w:cs="Helvetica"/>
          <w:szCs w:val="20"/>
          <w:lang w:val="pt-BR"/>
        </w:rPr>
        <w:t xml:space="preserve">Antônio </w:t>
      </w:r>
      <w:r w:rsidRPr="00470C7C">
        <w:rPr>
          <w:rFonts w:cs="Helvetica"/>
          <w:szCs w:val="20"/>
          <w:lang w:val="pt-BR"/>
        </w:rPr>
        <w:t>Pereira da Silva</w:t>
      </w:r>
      <w:r w:rsidRPr="00470C7C">
        <w:rPr>
          <w:rStyle w:val="Refdenotaalpie"/>
          <w:rFonts w:cs="Helvetica"/>
          <w:lang w:val="pt-BR"/>
        </w:rPr>
        <w:footnoteReference w:id="221"/>
      </w:r>
      <w:r w:rsidRPr="00470C7C">
        <w:rPr>
          <w:rFonts w:cs="Helvetica"/>
          <w:szCs w:val="20"/>
          <w:lang w:val="pt-BR"/>
        </w:rPr>
        <w:t>;</w:t>
      </w:r>
      <w:r w:rsidRPr="00470C7C">
        <w:rPr>
          <w:szCs w:val="20"/>
          <w:lang w:val="pt-BR"/>
        </w:rPr>
        <w:t xml:space="preserve"> </w:t>
      </w:r>
      <w:r w:rsidRPr="00470C7C">
        <w:rPr>
          <w:rFonts w:cs="Helvetica"/>
          <w:szCs w:val="20"/>
          <w:lang w:val="pt-BR"/>
        </w:rPr>
        <w:t xml:space="preserve">5. </w:t>
      </w:r>
      <w:r w:rsidR="00D60654" w:rsidRPr="00470C7C">
        <w:rPr>
          <w:rFonts w:cs="Helvetica"/>
          <w:szCs w:val="20"/>
          <w:lang w:val="pt-BR"/>
        </w:rPr>
        <w:t xml:space="preserve">Antônio </w:t>
      </w:r>
      <w:r w:rsidRPr="00470C7C">
        <w:rPr>
          <w:rFonts w:cs="Helvetica"/>
          <w:szCs w:val="20"/>
          <w:lang w:val="pt-BR"/>
        </w:rPr>
        <w:t>Renato Barros</w:t>
      </w:r>
      <w:r w:rsidRPr="00470C7C">
        <w:rPr>
          <w:rStyle w:val="Refdenotaalpie"/>
          <w:rFonts w:cs="Helvetica"/>
          <w:lang w:val="pt-BR"/>
        </w:rPr>
        <w:footnoteReference w:id="222"/>
      </w:r>
      <w:r w:rsidRPr="00470C7C">
        <w:rPr>
          <w:rFonts w:cs="Helvetica"/>
          <w:szCs w:val="20"/>
          <w:lang w:val="pt-BR"/>
        </w:rPr>
        <w:t>;</w:t>
      </w:r>
      <w:r w:rsidRPr="00470C7C">
        <w:rPr>
          <w:szCs w:val="20"/>
          <w:lang w:val="pt-BR"/>
        </w:rPr>
        <w:t xml:space="preserve"> </w:t>
      </w:r>
      <w:r w:rsidRPr="00470C7C">
        <w:rPr>
          <w:rFonts w:cs="Helvetica"/>
          <w:szCs w:val="20"/>
          <w:lang w:val="pt-BR"/>
        </w:rPr>
        <w:t>6. Benigno Rodrigues da Silva</w:t>
      </w:r>
      <w:r w:rsidRPr="00470C7C">
        <w:rPr>
          <w:rStyle w:val="Refdenotaalpie"/>
          <w:rFonts w:cs="Helvetica"/>
          <w:lang w:val="pt-BR"/>
        </w:rPr>
        <w:footnoteReference w:id="223"/>
      </w:r>
      <w:r w:rsidRPr="00470C7C">
        <w:rPr>
          <w:rFonts w:cs="Helvetica"/>
          <w:szCs w:val="20"/>
          <w:lang w:val="pt-BR"/>
        </w:rPr>
        <w:t>;</w:t>
      </w:r>
      <w:r w:rsidRPr="00470C7C">
        <w:rPr>
          <w:szCs w:val="20"/>
          <w:lang w:val="pt-BR"/>
        </w:rPr>
        <w:t xml:space="preserve"> </w:t>
      </w:r>
      <w:r w:rsidRPr="00470C7C">
        <w:rPr>
          <w:rFonts w:cs="Helvetica"/>
          <w:szCs w:val="20"/>
          <w:lang w:val="pt-BR"/>
        </w:rPr>
        <w:t>7. Carlos Alberto Albino da Conceição</w:t>
      </w:r>
      <w:r w:rsidRPr="00470C7C">
        <w:rPr>
          <w:rStyle w:val="Refdenotaalpie"/>
          <w:rFonts w:cs="Helvetica"/>
          <w:lang w:val="pt-BR"/>
        </w:rPr>
        <w:footnoteReference w:id="224"/>
      </w:r>
      <w:r w:rsidRPr="00470C7C">
        <w:rPr>
          <w:rFonts w:cs="Helvetica"/>
          <w:szCs w:val="20"/>
          <w:lang w:val="pt-BR"/>
        </w:rPr>
        <w:t>;</w:t>
      </w:r>
      <w:r w:rsidRPr="00470C7C">
        <w:rPr>
          <w:szCs w:val="20"/>
          <w:lang w:val="pt-BR"/>
        </w:rPr>
        <w:t xml:space="preserve"> </w:t>
      </w:r>
      <w:r w:rsidRPr="00470C7C">
        <w:rPr>
          <w:rFonts w:cs="Helvetica"/>
          <w:szCs w:val="20"/>
          <w:lang w:val="pt-BR"/>
        </w:rPr>
        <w:t>8. Cassimiro Neto Souza Maia</w:t>
      </w:r>
      <w:r w:rsidRPr="00470C7C">
        <w:rPr>
          <w:rStyle w:val="Refdenotaalpie"/>
          <w:rFonts w:cs="Helvetica"/>
          <w:lang w:val="pt-BR"/>
        </w:rPr>
        <w:footnoteReference w:id="225"/>
      </w:r>
      <w:r w:rsidRPr="00470C7C">
        <w:rPr>
          <w:rFonts w:cs="Helvetica"/>
          <w:szCs w:val="20"/>
          <w:lang w:val="pt-BR"/>
        </w:rPr>
        <w:t>;</w:t>
      </w:r>
      <w:r w:rsidRPr="00470C7C">
        <w:rPr>
          <w:szCs w:val="20"/>
          <w:lang w:val="pt-BR"/>
        </w:rPr>
        <w:t xml:space="preserve"> </w:t>
      </w:r>
      <w:r w:rsidRPr="00470C7C">
        <w:rPr>
          <w:rFonts w:cs="Helvetica"/>
          <w:szCs w:val="20"/>
          <w:lang w:val="pt-BR"/>
        </w:rPr>
        <w:t xml:space="preserve">9. </w:t>
      </w:r>
      <w:proofErr w:type="spellStart"/>
      <w:r w:rsidRPr="00470C7C">
        <w:rPr>
          <w:rFonts w:cs="Helvetica"/>
          <w:szCs w:val="20"/>
          <w:lang w:val="pt-BR"/>
        </w:rPr>
        <w:t>Dijalma</w:t>
      </w:r>
      <w:proofErr w:type="spellEnd"/>
      <w:r w:rsidRPr="00470C7C">
        <w:rPr>
          <w:rFonts w:cs="Helvetica"/>
          <w:szCs w:val="20"/>
          <w:lang w:val="pt-BR"/>
        </w:rPr>
        <w:t xml:space="preserve"> Santos Batista</w:t>
      </w:r>
      <w:r w:rsidRPr="00470C7C">
        <w:rPr>
          <w:rStyle w:val="Refdenotaalpie"/>
          <w:rFonts w:cs="Helvetica"/>
          <w:lang w:val="pt-BR"/>
        </w:rPr>
        <w:footnoteReference w:id="226"/>
      </w:r>
      <w:r w:rsidRPr="00470C7C">
        <w:rPr>
          <w:rFonts w:cs="Helvetica"/>
          <w:szCs w:val="20"/>
          <w:lang w:val="pt-BR"/>
        </w:rPr>
        <w:t>;</w:t>
      </w:r>
      <w:r w:rsidRPr="00470C7C">
        <w:rPr>
          <w:szCs w:val="20"/>
          <w:lang w:val="pt-BR"/>
        </w:rPr>
        <w:t xml:space="preserve"> </w:t>
      </w:r>
      <w:r w:rsidRPr="00470C7C">
        <w:rPr>
          <w:rFonts w:cs="Helvetica"/>
          <w:szCs w:val="20"/>
          <w:lang w:val="pt-BR"/>
        </w:rPr>
        <w:t xml:space="preserve">10. </w:t>
      </w:r>
      <w:proofErr w:type="spellStart"/>
      <w:r w:rsidRPr="00470C7C">
        <w:rPr>
          <w:rFonts w:cs="Helvetica"/>
          <w:szCs w:val="20"/>
          <w:lang w:val="pt-BR"/>
        </w:rPr>
        <w:t>Edi</w:t>
      </w:r>
      <w:proofErr w:type="spellEnd"/>
      <w:r w:rsidRPr="00470C7C">
        <w:rPr>
          <w:rFonts w:cs="Helvetica"/>
          <w:szCs w:val="20"/>
          <w:lang w:val="pt-BR"/>
        </w:rPr>
        <w:t xml:space="preserve"> Souza de Silva</w:t>
      </w:r>
      <w:r w:rsidRPr="00470C7C">
        <w:rPr>
          <w:rStyle w:val="Refdenotaalpie"/>
          <w:rFonts w:cs="Helvetica"/>
          <w:lang w:val="pt-BR"/>
        </w:rPr>
        <w:footnoteReference w:id="227"/>
      </w:r>
      <w:r w:rsidRPr="00470C7C">
        <w:rPr>
          <w:rFonts w:cs="Helvetica"/>
          <w:szCs w:val="20"/>
          <w:lang w:val="pt-BR"/>
        </w:rPr>
        <w:t>;</w:t>
      </w:r>
      <w:r w:rsidRPr="00470C7C">
        <w:rPr>
          <w:szCs w:val="20"/>
          <w:lang w:val="pt-BR"/>
        </w:rPr>
        <w:t xml:space="preserve"> </w:t>
      </w:r>
      <w:r w:rsidRPr="00470C7C">
        <w:rPr>
          <w:rFonts w:cs="Helvetica"/>
          <w:szCs w:val="20"/>
          <w:lang w:val="pt-BR"/>
        </w:rPr>
        <w:t>11. Edmilson Fernandes dos Santos</w:t>
      </w:r>
      <w:r w:rsidRPr="00470C7C">
        <w:rPr>
          <w:rStyle w:val="Refdenotaalpie"/>
          <w:rFonts w:cs="Helvetica"/>
          <w:lang w:val="pt-BR"/>
        </w:rPr>
        <w:footnoteReference w:id="228"/>
      </w:r>
      <w:r w:rsidRPr="00470C7C">
        <w:rPr>
          <w:rFonts w:cs="Helvetica"/>
          <w:szCs w:val="20"/>
          <w:lang w:val="pt-BR"/>
        </w:rPr>
        <w:t>;</w:t>
      </w:r>
      <w:r w:rsidRPr="00470C7C">
        <w:rPr>
          <w:szCs w:val="20"/>
          <w:lang w:val="pt-BR"/>
        </w:rPr>
        <w:t xml:space="preserve"> </w:t>
      </w:r>
      <w:r w:rsidRPr="00470C7C">
        <w:rPr>
          <w:rFonts w:cs="Helvetica"/>
          <w:szCs w:val="20"/>
          <w:lang w:val="pt-BR"/>
        </w:rPr>
        <w:t xml:space="preserve">12. Edson </w:t>
      </w:r>
      <w:proofErr w:type="spellStart"/>
      <w:r w:rsidRPr="00470C7C">
        <w:rPr>
          <w:rFonts w:cs="Helvetica"/>
          <w:szCs w:val="20"/>
          <w:lang w:val="pt-BR"/>
        </w:rPr>
        <w:t>Pocidônio</w:t>
      </w:r>
      <w:proofErr w:type="spellEnd"/>
      <w:r w:rsidRPr="00470C7C">
        <w:rPr>
          <w:rFonts w:cs="Helvetica"/>
          <w:szCs w:val="20"/>
          <w:lang w:val="pt-BR"/>
        </w:rPr>
        <w:t xml:space="preserve"> da Silva</w:t>
      </w:r>
      <w:r w:rsidRPr="00470C7C">
        <w:rPr>
          <w:rStyle w:val="Refdenotaalpie"/>
          <w:rFonts w:cs="Helvetica"/>
          <w:lang w:val="pt-BR"/>
        </w:rPr>
        <w:footnoteReference w:id="229"/>
      </w:r>
      <w:r w:rsidRPr="00470C7C">
        <w:rPr>
          <w:rFonts w:cs="Helvetica"/>
          <w:szCs w:val="20"/>
          <w:lang w:val="pt-BR"/>
        </w:rPr>
        <w:t>;</w:t>
      </w:r>
      <w:r w:rsidRPr="00470C7C">
        <w:rPr>
          <w:szCs w:val="20"/>
          <w:lang w:val="pt-BR"/>
        </w:rPr>
        <w:t xml:space="preserve"> </w:t>
      </w:r>
      <w:r w:rsidRPr="00470C7C">
        <w:rPr>
          <w:rFonts w:cs="Helvetica"/>
          <w:szCs w:val="20"/>
          <w:lang w:val="pt-BR"/>
        </w:rPr>
        <w:t xml:space="preserve">13. Irineu </w:t>
      </w:r>
      <w:r w:rsidR="00B73594" w:rsidRPr="00470C7C">
        <w:rPr>
          <w:rFonts w:cs="Helvetica"/>
          <w:szCs w:val="20"/>
          <w:lang w:val="pt-BR"/>
        </w:rPr>
        <w:t xml:space="preserve">Inácio </w:t>
      </w:r>
      <w:r w:rsidRPr="00470C7C">
        <w:rPr>
          <w:rFonts w:cs="Helvetica"/>
          <w:szCs w:val="20"/>
          <w:lang w:val="pt-BR"/>
        </w:rPr>
        <w:t>da Silva</w:t>
      </w:r>
      <w:r w:rsidRPr="00470C7C">
        <w:rPr>
          <w:rStyle w:val="Refdenotaalpie"/>
          <w:rFonts w:cs="Helvetica"/>
          <w:lang w:val="pt-BR"/>
        </w:rPr>
        <w:footnoteReference w:id="230"/>
      </w:r>
      <w:r w:rsidRPr="00470C7C">
        <w:rPr>
          <w:rFonts w:cs="Helvetica"/>
          <w:szCs w:val="20"/>
          <w:lang w:val="pt-BR"/>
        </w:rPr>
        <w:t>;</w:t>
      </w:r>
      <w:r w:rsidRPr="00470C7C">
        <w:rPr>
          <w:szCs w:val="20"/>
          <w:lang w:val="pt-BR"/>
        </w:rPr>
        <w:t xml:space="preserve"> </w:t>
      </w:r>
      <w:r w:rsidRPr="00470C7C">
        <w:rPr>
          <w:rFonts w:cs="Helvetica"/>
          <w:szCs w:val="20"/>
          <w:lang w:val="pt-BR"/>
        </w:rPr>
        <w:t>14. Geraldo Hilário de Almeida</w:t>
      </w:r>
      <w:r w:rsidRPr="00470C7C">
        <w:rPr>
          <w:rStyle w:val="Refdenotaalpie"/>
          <w:rFonts w:cs="Helvetica"/>
          <w:lang w:val="pt-BR"/>
        </w:rPr>
        <w:footnoteReference w:id="231"/>
      </w:r>
      <w:r w:rsidRPr="00470C7C">
        <w:rPr>
          <w:rFonts w:cs="Helvetica"/>
          <w:szCs w:val="20"/>
          <w:lang w:val="pt-BR"/>
        </w:rPr>
        <w:t>;</w:t>
      </w:r>
      <w:r w:rsidRPr="00470C7C">
        <w:rPr>
          <w:szCs w:val="20"/>
          <w:lang w:val="pt-BR"/>
        </w:rPr>
        <w:t xml:space="preserve"> </w:t>
      </w:r>
      <w:r w:rsidRPr="00470C7C">
        <w:rPr>
          <w:rFonts w:cs="Helvetica"/>
          <w:szCs w:val="20"/>
          <w:lang w:val="pt-BR"/>
        </w:rPr>
        <w:t xml:space="preserve">15. João de Deus dos Reis </w:t>
      </w:r>
      <w:proofErr w:type="spellStart"/>
      <w:r w:rsidRPr="00470C7C">
        <w:rPr>
          <w:rFonts w:cs="Helvetica"/>
          <w:szCs w:val="20"/>
          <w:lang w:val="pt-BR"/>
        </w:rPr>
        <w:t>Salvino</w:t>
      </w:r>
      <w:proofErr w:type="spellEnd"/>
      <w:r w:rsidRPr="00470C7C">
        <w:rPr>
          <w:rStyle w:val="Refdenotaalpie"/>
          <w:rFonts w:cs="Helvetica"/>
          <w:lang w:val="pt-BR"/>
        </w:rPr>
        <w:footnoteReference w:id="232"/>
      </w:r>
      <w:r w:rsidRPr="00470C7C">
        <w:rPr>
          <w:rFonts w:cs="Helvetica"/>
          <w:szCs w:val="20"/>
          <w:lang w:val="pt-BR"/>
        </w:rPr>
        <w:t>;</w:t>
      </w:r>
      <w:r w:rsidRPr="00470C7C">
        <w:rPr>
          <w:szCs w:val="20"/>
          <w:lang w:val="pt-BR"/>
        </w:rPr>
        <w:t xml:space="preserve"> </w:t>
      </w:r>
      <w:r w:rsidRPr="00470C7C">
        <w:rPr>
          <w:rFonts w:cs="Helvetica"/>
          <w:szCs w:val="20"/>
          <w:lang w:val="pt-BR"/>
        </w:rPr>
        <w:t>16. João Germano da Silva</w:t>
      </w:r>
      <w:r w:rsidRPr="00470C7C">
        <w:rPr>
          <w:rStyle w:val="Refdenotaalpie"/>
          <w:rFonts w:cs="Helvetica"/>
          <w:lang w:val="pt-BR"/>
        </w:rPr>
        <w:footnoteReference w:id="233"/>
      </w:r>
      <w:r w:rsidRPr="00470C7C">
        <w:rPr>
          <w:rFonts w:cs="Helvetica"/>
          <w:szCs w:val="20"/>
          <w:lang w:val="pt-BR"/>
        </w:rPr>
        <w:t>;</w:t>
      </w:r>
      <w:r w:rsidRPr="00470C7C">
        <w:rPr>
          <w:szCs w:val="20"/>
          <w:lang w:val="pt-BR"/>
        </w:rPr>
        <w:t xml:space="preserve"> </w:t>
      </w:r>
      <w:r w:rsidRPr="00470C7C">
        <w:rPr>
          <w:rFonts w:cs="Helvetica"/>
          <w:szCs w:val="20"/>
          <w:lang w:val="pt-BR"/>
        </w:rPr>
        <w:t>17. João Pereira Marinho</w:t>
      </w:r>
      <w:r w:rsidRPr="00470C7C">
        <w:rPr>
          <w:rStyle w:val="Refdenotaalpie"/>
          <w:rFonts w:cs="Helvetica"/>
          <w:lang w:val="pt-BR"/>
        </w:rPr>
        <w:footnoteReference w:id="234"/>
      </w:r>
      <w:r w:rsidRPr="00470C7C">
        <w:rPr>
          <w:rFonts w:cs="Helvetica"/>
          <w:szCs w:val="20"/>
          <w:lang w:val="pt-BR"/>
        </w:rPr>
        <w:t>; 18. Joaquim Francisco Xavier</w:t>
      </w:r>
      <w:r w:rsidRPr="00470C7C">
        <w:rPr>
          <w:rStyle w:val="Refdenotaalpie"/>
          <w:rFonts w:cs="Helvetica"/>
          <w:lang w:val="pt-BR"/>
        </w:rPr>
        <w:footnoteReference w:id="235"/>
      </w:r>
      <w:r w:rsidRPr="00470C7C">
        <w:rPr>
          <w:rFonts w:cs="Helvetica"/>
          <w:szCs w:val="20"/>
          <w:lang w:val="pt-BR"/>
        </w:rPr>
        <w:t>; 19. José Astrogildo Damascena</w:t>
      </w:r>
      <w:r w:rsidRPr="00470C7C">
        <w:rPr>
          <w:rStyle w:val="Refdenotaalpie"/>
          <w:rFonts w:cs="Helvetica"/>
          <w:lang w:val="pt-BR"/>
        </w:rPr>
        <w:footnoteReference w:id="236"/>
      </w:r>
      <w:r w:rsidRPr="00470C7C">
        <w:rPr>
          <w:rFonts w:cs="Helvetica"/>
          <w:szCs w:val="20"/>
          <w:lang w:val="pt-BR"/>
        </w:rPr>
        <w:t>; 20. José Carlos Alves dos Santos</w:t>
      </w:r>
      <w:r w:rsidRPr="00470C7C">
        <w:rPr>
          <w:rStyle w:val="Refdenotaalpie"/>
          <w:rFonts w:cs="Helvetica"/>
          <w:lang w:val="pt-BR"/>
        </w:rPr>
        <w:footnoteReference w:id="237"/>
      </w:r>
      <w:r w:rsidRPr="00470C7C">
        <w:rPr>
          <w:rFonts w:cs="Helvetica"/>
          <w:szCs w:val="20"/>
          <w:lang w:val="pt-BR"/>
        </w:rPr>
        <w:t xml:space="preserve">; </w:t>
      </w:r>
      <w:r w:rsidRPr="00470C7C">
        <w:rPr>
          <w:rFonts w:cs="Times New Roman"/>
          <w:szCs w:val="20"/>
          <w:lang w:val="pt-BR"/>
        </w:rPr>
        <w:t>21. José Fernando da Silva Filho</w:t>
      </w:r>
      <w:r w:rsidRPr="00470C7C">
        <w:rPr>
          <w:rStyle w:val="Refdenotaalpie"/>
          <w:lang w:val="pt-BR"/>
        </w:rPr>
        <w:footnoteReference w:id="238"/>
      </w:r>
      <w:r w:rsidRPr="00470C7C">
        <w:rPr>
          <w:rFonts w:cs="Times New Roman"/>
          <w:szCs w:val="20"/>
          <w:lang w:val="pt-BR"/>
        </w:rPr>
        <w:t xml:space="preserve">; </w:t>
      </w:r>
      <w:r w:rsidRPr="00470C7C">
        <w:rPr>
          <w:rFonts w:cs="Helvetica"/>
          <w:szCs w:val="20"/>
          <w:lang w:val="pt-BR"/>
        </w:rPr>
        <w:t>22. José Francisco de Lima</w:t>
      </w:r>
      <w:r w:rsidRPr="00470C7C">
        <w:rPr>
          <w:rStyle w:val="Refdenotaalpie"/>
          <w:rFonts w:cs="Helvetica"/>
          <w:lang w:val="pt-BR"/>
        </w:rPr>
        <w:footnoteReference w:id="239"/>
      </w:r>
      <w:r w:rsidRPr="00470C7C">
        <w:rPr>
          <w:rFonts w:cs="Helvetica"/>
          <w:szCs w:val="20"/>
          <w:lang w:val="pt-BR"/>
        </w:rPr>
        <w:t>; 23. José Pereira da Silva</w:t>
      </w:r>
      <w:r w:rsidRPr="00470C7C">
        <w:rPr>
          <w:rStyle w:val="Refdenotaalpie"/>
          <w:rFonts w:cs="Helvetica"/>
          <w:lang w:val="pt-BR"/>
        </w:rPr>
        <w:footnoteReference w:id="240"/>
      </w:r>
      <w:r w:rsidRPr="00470C7C">
        <w:rPr>
          <w:rFonts w:cs="Helvetica"/>
          <w:szCs w:val="20"/>
          <w:lang w:val="pt-BR"/>
        </w:rPr>
        <w:t>; 24. José Pereira Marinho</w:t>
      </w:r>
      <w:r w:rsidRPr="00470C7C">
        <w:rPr>
          <w:rStyle w:val="Refdenotaalpie"/>
          <w:rFonts w:cs="Helvetica"/>
          <w:lang w:val="pt-BR"/>
        </w:rPr>
        <w:footnoteReference w:id="241"/>
      </w:r>
      <w:r w:rsidRPr="00470C7C">
        <w:rPr>
          <w:rFonts w:cs="Helvetica"/>
          <w:szCs w:val="20"/>
          <w:lang w:val="pt-BR"/>
        </w:rPr>
        <w:t>; 25. José Raimundo dos Santos</w:t>
      </w:r>
      <w:r w:rsidRPr="00470C7C">
        <w:rPr>
          <w:rStyle w:val="Refdenotaalpie"/>
          <w:rFonts w:cs="Helvetica"/>
          <w:lang w:val="pt-BR"/>
        </w:rPr>
        <w:footnoteReference w:id="242"/>
      </w:r>
      <w:r w:rsidRPr="00470C7C">
        <w:rPr>
          <w:rFonts w:cs="Helvetica"/>
          <w:szCs w:val="20"/>
          <w:lang w:val="pt-BR"/>
        </w:rPr>
        <w:t>; 26. José Vital Nascimento</w:t>
      </w:r>
      <w:r w:rsidRPr="00470C7C">
        <w:rPr>
          <w:rStyle w:val="Refdenotaalpie"/>
          <w:rFonts w:cs="Helvetica"/>
          <w:lang w:val="pt-BR"/>
        </w:rPr>
        <w:footnoteReference w:id="243"/>
      </w:r>
      <w:r w:rsidRPr="00470C7C">
        <w:rPr>
          <w:rFonts w:cs="Helvetica"/>
          <w:szCs w:val="20"/>
          <w:lang w:val="pt-BR"/>
        </w:rPr>
        <w:t>; 27. Luiz Leal dos Santos</w:t>
      </w:r>
      <w:r w:rsidRPr="00470C7C">
        <w:rPr>
          <w:rStyle w:val="Refdenotaalpie"/>
          <w:rFonts w:cs="Helvetica"/>
          <w:lang w:val="pt-BR"/>
        </w:rPr>
        <w:footnoteReference w:id="244"/>
      </w:r>
      <w:r w:rsidRPr="00470C7C">
        <w:rPr>
          <w:rFonts w:cs="Helvetica"/>
          <w:szCs w:val="20"/>
          <w:lang w:val="pt-BR"/>
        </w:rPr>
        <w:t>; 28. Manoel Alves de Oliveira</w:t>
      </w:r>
      <w:r w:rsidRPr="00470C7C">
        <w:rPr>
          <w:rStyle w:val="Refdenotaalpie"/>
          <w:rFonts w:cs="Helvetica"/>
          <w:lang w:val="pt-BR"/>
        </w:rPr>
        <w:footnoteReference w:id="245"/>
      </w:r>
      <w:r w:rsidRPr="00470C7C">
        <w:rPr>
          <w:rFonts w:cs="Helvetica"/>
          <w:szCs w:val="20"/>
          <w:lang w:val="pt-BR"/>
        </w:rPr>
        <w:t>; 29. Manoel Fernandes dos Santos</w:t>
      </w:r>
      <w:r w:rsidRPr="00470C7C">
        <w:rPr>
          <w:rStyle w:val="Refdenotaalpie"/>
          <w:rFonts w:cs="Helvetica"/>
          <w:lang w:val="pt-BR"/>
        </w:rPr>
        <w:footnoteReference w:id="246"/>
      </w:r>
      <w:r w:rsidRPr="00470C7C">
        <w:rPr>
          <w:rFonts w:cs="Helvetica"/>
          <w:szCs w:val="20"/>
          <w:lang w:val="pt-BR"/>
        </w:rPr>
        <w:t xml:space="preserve">; 30. </w:t>
      </w:r>
      <w:proofErr w:type="spellStart"/>
      <w:r w:rsidRPr="00470C7C">
        <w:rPr>
          <w:rFonts w:cs="Helvetica"/>
          <w:szCs w:val="20"/>
          <w:lang w:val="pt-BR"/>
        </w:rPr>
        <w:t>Marcionilo</w:t>
      </w:r>
      <w:proofErr w:type="spellEnd"/>
      <w:r w:rsidRPr="00470C7C">
        <w:rPr>
          <w:rFonts w:cs="Helvetica"/>
          <w:szCs w:val="20"/>
          <w:lang w:val="pt-BR"/>
        </w:rPr>
        <w:t xml:space="preserve"> Pinto de Morais</w:t>
      </w:r>
      <w:r w:rsidRPr="00470C7C">
        <w:rPr>
          <w:rStyle w:val="Refdenotaalpie"/>
          <w:rFonts w:cs="Helvetica"/>
          <w:lang w:val="pt-BR"/>
        </w:rPr>
        <w:footnoteReference w:id="247"/>
      </w:r>
      <w:r w:rsidRPr="00470C7C">
        <w:rPr>
          <w:rFonts w:cs="Helvetica"/>
          <w:szCs w:val="20"/>
          <w:lang w:val="pt-BR"/>
        </w:rPr>
        <w:t>; 31. Pedro Pereira de Andrade</w:t>
      </w:r>
      <w:r w:rsidRPr="00470C7C">
        <w:rPr>
          <w:rStyle w:val="Refdenotaalpie"/>
          <w:rFonts w:cs="Helvetica"/>
          <w:lang w:val="pt-BR"/>
        </w:rPr>
        <w:footnoteReference w:id="248"/>
      </w:r>
      <w:r w:rsidRPr="00470C7C">
        <w:rPr>
          <w:rFonts w:cs="Helvetica"/>
          <w:szCs w:val="20"/>
          <w:lang w:val="pt-BR"/>
        </w:rPr>
        <w:t>; 32. Raimundo Costa Neves</w:t>
      </w:r>
      <w:r w:rsidRPr="00470C7C">
        <w:rPr>
          <w:rStyle w:val="Refdenotaalpie"/>
          <w:rFonts w:cs="Helvetica"/>
          <w:lang w:val="pt-BR"/>
        </w:rPr>
        <w:footnoteReference w:id="249"/>
      </w:r>
      <w:r w:rsidRPr="00470C7C">
        <w:rPr>
          <w:rFonts w:cs="Helvetica"/>
          <w:szCs w:val="20"/>
          <w:lang w:val="pt-BR"/>
        </w:rPr>
        <w:t>; 33. Raimundo Nonato Amaro Ferreira</w:t>
      </w:r>
      <w:r w:rsidRPr="00470C7C">
        <w:rPr>
          <w:rStyle w:val="Refdenotaalpie"/>
          <w:rFonts w:cs="Helvetica"/>
          <w:lang w:val="pt-BR"/>
        </w:rPr>
        <w:footnoteReference w:id="250"/>
      </w:r>
      <w:r w:rsidRPr="00470C7C">
        <w:rPr>
          <w:rFonts w:cs="Helvetica"/>
          <w:szCs w:val="20"/>
          <w:lang w:val="pt-BR"/>
        </w:rPr>
        <w:t>; 34. Raimundo Gonçalves Lima</w:t>
      </w:r>
      <w:r w:rsidRPr="00470C7C">
        <w:rPr>
          <w:rStyle w:val="Refdenotaalpie"/>
          <w:rFonts w:cs="Helvetica"/>
          <w:lang w:val="pt-BR"/>
        </w:rPr>
        <w:footnoteReference w:id="251"/>
      </w:r>
      <w:r w:rsidRPr="00470C7C">
        <w:rPr>
          <w:rFonts w:cs="Helvetica"/>
          <w:szCs w:val="20"/>
          <w:lang w:val="pt-BR"/>
        </w:rPr>
        <w:t>; 35. Raimundo Nonato da Silva</w:t>
      </w:r>
      <w:r w:rsidRPr="00470C7C">
        <w:rPr>
          <w:rStyle w:val="Refdenotaalpie"/>
          <w:rFonts w:cs="Helvetica"/>
          <w:lang w:val="pt-BR"/>
        </w:rPr>
        <w:footnoteReference w:id="252"/>
      </w:r>
      <w:r w:rsidRPr="00470C7C">
        <w:rPr>
          <w:rFonts w:cs="Helvetica"/>
          <w:szCs w:val="20"/>
          <w:lang w:val="pt-BR"/>
        </w:rPr>
        <w:t>; 36. Roberto Aires</w:t>
      </w:r>
      <w:r w:rsidRPr="00470C7C">
        <w:rPr>
          <w:rStyle w:val="Refdenotaalpie"/>
          <w:rFonts w:cs="Helvetica"/>
          <w:lang w:val="pt-BR"/>
        </w:rPr>
        <w:footnoteReference w:id="253"/>
      </w:r>
      <w:r w:rsidRPr="00470C7C">
        <w:rPr>
          <w:rFonts w:cs="Helvetica"/>
          <w:szCs w:val="20"/>
          <w:lang w:val="pt-BR"/>
        </w:rPr>
        <w:t>; 37. Ronaldo Alves Ribeiro</w:t>
      </w:r>
      <w:r w:rsidRPr="00470C7C">
        <w:rPr>
          <w:rStyle w:val="Refdenotaalpie"/>
          <w:rFonts w:cs="Helvetica"/>
          <w:lang w:val="pt-BR"/>
        </w:rPr>
        <w:footnoteReference w:id="254"/>
      </w:r>
      <w:r w:rsidRPr="00470C7C">
        <w:rPr>
          <w:rFonts w:cs="Helvetica"/>
          <w:szCs w:val="20"/>
          <w:lang w:val="pt-BR"/>
        </w:rPr>
        <w:t>; 38. Sebastião Carro Pereira dos Santos</w:t>
      </w:r>
      <w:r w:rsidRPr="00470C7C">
        <w:rPr>
          <w:rStyle w:val="Refdenotaalpie"/>
          <w:rFonts w:cs="Helvetica"/>
          <w:lang w:val="pt-BR"/>
        </w:rPr>
        <w:footnoteReference w:id="255"/>
      </w:r>
      <w:r w:rsidRPr="00470C7C">
        <w:rPr>
          <w:rFonts w:cs="Helvetica"/>
          <w:szCs w:val="20"/>
          <w:lang w:val="pt-BR"/>
        </w:rPr>
        <w:t>; 39. Sebastião Rodrigues da Silva</w:t>
      </w:r>
      <w:r w:rsidRPr="00470C7C">
        <w:rPr>
          <w:rStyle w:val="Refdenotaalpie"/>
          <w:rFonts w:cs="Helvetica"/>
          <w:lang w:val="pt-BR"/>
        </w:rPr>
        <w:footnoteReference w:id="256"/>
      </w:r>
      <w:r w:rsidRPr="00470C7C">
        <w:rPr>
          <w:rFonts w:cs="Helvetica"/>
          <w:szCs w:val="20"/>
          <w:lang w:val="pt-BR"/>
        </w:rPr>
        <w:t xml:space="preserve">; 40. </w:t>
      </w:r>
      <w:proofErr w:type="spellStart"/>
      <w:r w:rsidRPr="00470C7C">
        <w:rPr>
          <w:rFonts w:cs="Helvetica"/>
          <w:szCs w:val="20"/>
          <w:lang w:val="pt-BR"/>
        </w:rPr>
        <w:t>Sinoca</w:t>
      </w:r>
      <w:proofErr w:type="spellEnd"/>
      <w:r w:rsidRPr="00470C7C">
        <w:rPr>
          <w:rFonts w:cs="Helvetica"/>
          <w:szCs w:val="20"/>
          <w:lang w:val="pt-BR"/>
        </w:rPr>
        <w:t xml:space="preserve"> da Silva</w:t>
      </w:r>
      <w:r w:rsidRPr="00470C7C">
        <w:rPr>
          <w:rStyle w:val="Refdenotaalpie"/>
          <w:rFonts w:cs="Helvetica"/>
          <w:lang w:val="pt-BR"/>
        </w:rPr>
        <w:footnoteReference w:id="257"/>
      </w:r>
      <w:r w:rsidRPr="00470C7C">
        <w:rPr>
          <w:rFonts w:cs="Helvetica"/>
          <w:szCs w:val="20"/>
          <w:lang w:val="pt-BR"/>
        </w:rPr>
        <w:t>; 41. Valdemar de Souza</w:t>
      </w:r>
      <w:r w:rsidRPr="00470C7C">
        <w:rPr>
          <w:rStyle w:val="Refdenotaalpie"/>
          <w:rFonts w:cs="Helvetica"/>
          <w:lang w:val="pt-BR"/>
        </w:rPr>
        <w:footnoteReference w:id="258"/>
      </w:r>
      <w:r w:rsidRPr="00470C7C">
        <w:rPr>
          <w:rFonts w:cs="Helvetica"/>
          <w:szCs w:val="20"/>
          <w:lang w:val="pt-BR"/>
        </w:rPr>
        <w:t xml:space="preserve">; 42. </w:t>
      </w:r>
      <w:proofErr w:type="spellStart"/>
      <w:r w:rsidRPr="00470C7C">
        <w:rPr>
          <w:rFonts w:cs="Helvetica"/>
          <w:szCs w:val="20"/>
          <w:lang w:val="pt-BR"/>
        </w:rPr>
        <w:t>Valdinar</w:t>
      </w:r>
      <w:proofErr w:type="spellEnd"/>
      <w:r w:rsidRPr="00470C7C">
        <w:rPr>
          <w:rFonts w:cs="Helvetica"/>
          <w:szCs w:val="20"/>
          <w:lang w:val="pt-BR"/>
        </w:rPr>
        <w:t xml:space="preserve"> Veloso Silva</w:t>
      </w:r>
      <w:r w:rsidRPr="00470C7C">
        <w:rPr>
          <w:rStyle w:val="Refdenotaalpie"/>
          <w:rFonts w:cs="Helvetica"/>
          <w:lang w:val="pt-BR"/>
        </w:rPr>
        <w:footnoteReference w:id="259"/>
      </w:r>
      <w:r w:rsidRPr="00470C7C">
        <w:rPr>
          <w:rFonts w:cs="Helvetica"/>
          <w:szCs w:val="20"/>
          <w:lang w:val="pt-BR"/>
        </w:rPr>
        <w:t>, y 43. Zeno Gomes Feitosa</w:t>
      </w:r>
      <w:r w:rsidRPr="00470C7C">
        <w:rPr>
          <w:rStyle w:val="Refdenotaalpie"/>
          <w:rFonts w:cs="Helvetica"/>
          <w:lang w:val="pt-BR"/>
        </w:rPr>
        <w:footnoteReference w:id="260"/>
      </w:r>
      <w:r w:rsidRPr="00470C7C">
        <w:rPr>
          <w:rFonts w:cs="Helvetica"/>
          <w:szCs w:val="20"/>
          <w:lang w:val="pt-BR"/>
        </w:rPr>
        <w:t>.</w:t>
      </w:r>
      <w:bookmarkEnd w:id="328"/>
    </w:p>
    <w:p w14:paraId="41D29CD0" w14:textId="77777777" w:rsidR="002246F9" w:rsidRPr="00470C7C" w:rsidRDefault="002246F9" w:rsidP="002246F9">
      <w:pPr>
        <w:tabs>
          <w:tab w:val="clear" w:pos="4419"/>
          <w:tab w:val="clear" w:pos="8838"/>
        </w:tabs>
        <w:autoSpaceDE w:val="0"/>
        <w:autoSpaceDN w:val="0"/>
        <w:adjustRightInd w:val="0"/>
        <w:rPr>
          <w:szCs w:val="20"/>
          <w:lang w:val="pt-BR"/>
        </w:rPr>
      </w:pPr>
    </w:p>
    <w:p w14:paraId="47D6C170" w14:textId="77777777" w:rsidR="002246F9" w:rsidRPr="00470C7C" w:rsidRDefault="002246F9" w:rsidP="008B0BCC">
      <w:pPr>
        <w:pStyle w:val="Ttulo2"/>
        <w:numPr>
          <w:ilvl w:val="0"/>
          <w:numId w:val="18"/>
        </w:numPr>
      </w:pPr>
      <w:bookmarkStart w:id="329" w:name="_Toc464813950"/>
      <w:r w:rsidRPr="00470C7C">
        <w:t>Fiscalización de marzo de 2000</w:t>
      </w:r>
      <w:bookmarkEnd w:id="329"/>
    </w:p>
    <w:p w14:paraId="14C7B26B" w14:textId="77777777" w:rsidR="002246F9" w:rsidRPr="00470C7C" w:rsidRDefault="002246F9" w:rsidP="002246F9">
      <w:pPr>
        <w:tabs>
          <w:tab w:val="clear" w:pos="4419"/>
          <w:tab w:val="clear" w:pos="8838"/>
        </w:tabs>
        <w:autoSpaceDE w:val="0"/>
        <w:autoSpaceDN w:val="0"/>
        <w:adjustRightInd w:val="0"/>
        <w:ind w:firstLine="708"/>
        <w:rPr>
          <w:b/>
          <w:szCs w:val="20"/>
          <w:lang w:val="es-ES"/>
        </w:rPr>
      </w:pPr>
    </w:p>
    <w:p w14:paraId="4C146659" w14:textId="77777777" w:rsidR="002246F9" w:rsidRPr="00470C7C" w:rsidRDefault="002246F9" w:rsidP="005F0182">
      <w:pPr>
        <w:pStyle w:val="Ttulo3"/>
      </w:pPr>
      <w:bookmarkStart w:id="330" w:name="_Toc460433026"/>
      <w:bookmarkStart w:id="331" w:name="_Toc460441957"/>
      <w:bookmarkStart w:id="332" w:name="_Toc462750775"/>
      <w:bookmarkStart w:id="333" w:name="_Toc462751099"/>
      <w:bookmarkStart w:id="334" w:name="_Toc464813951"/>
      <w:r w:rsidRPr="00470C7C">
        <w:t>B.1</w:t>
      </w:r>
      <w:r w:rsidR="00DC2886" w:rsidRPr="00470C7C">
        <w:t>.</w:t>
      </w:r>
      <w:r w:rsidRPr="00470C7C">
        <w:t xml:space="preserve"> Argumentos de las partes y de la Comisión</w:t>
      </w:r>
      <w:bookmarkEnd w:id="330"/>
      <w:bookmarkEnd w:id="331"/>
      <w:bookmarkEnd w:id="332"/>
      <w:bookmarkEnd w:id="333"/>
      <w:bookmarkEnd w:id="334"/>
    </w:p>
    <w:p w14:paraId="45A73601" w14:textId="77777777" w:rsidR="002246F9" w:rsidRPr="00470C7C" w:rsidRDefault="002246F9" w:rsidP="002246F9">
      <w:pPr>
        <w:tabs>
          <w:tab w:val="clear" w:pos="4419"/>
          <w:tab w:val="clear" w:pos="8838"/>
        </w:tabs>
        <w:autoSpaceDE w:val="0"/>
        <w:autoSpaceDN w:val="0"/>
        <w:adjustRightInd w:val="0"/>
        <w:rPr>
          <w:szCs w:val="20"/>
          <w:lang w:val="es-ES"/>
        </w:rPr>
      </w:pPr>
    </w:p>
    <w:p w14:paraId="3ACF9DC1"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La </w:t>
      </w:r>
      <w:r w:rsidRPr="00470C7C">
        <w:rPr>
          <w:b/>
          <w:i/>
          <w:szCs w:val="20"/>
          <w:lang w:val="es-ES"/>
        </w:rPr>
        <w:t>Comisión</w:t>
      </w:r>
      <w:r w:rsidRPr="00470C7C">
        <w:rPr>
          <w:szCs w:val="20"/>
          <w:lang w:val="es-ES"/>
        </w:rPr>
        <w:t xml:space="preserve"> señaló en su Informe de Fondo que al momento de la fiscalización de marzo de 2000 se encontraban en la Hacienda Brasil Verde 82 trabajadores. </w:t>
      </w:r>
      <w:r w:rsidRPr="00470C7C">
        <w:rPr>
          <w:szCs w:val="20"/>
        </w:rPr>
        <w:t>De acuerdo con la Comisión, dichos nombres surgen del informe de la fiscalización realizada por el Ministerio de Trabajo, de la lista aportada por la defensa del propietario en el proceso interno y de la lista aportada por los peticionarios el 10 de julio de 2007 en el trámite ante la Comisión.</w:t>
      </w:r>
    </w:p>
    <w:p w14:paraId="49E3C357" w14:textId="77777777" w:rsidR="002246F9" w:rsidRPr="00470C7C" w:rsidRDefault="002246F9" w:rsidP="002246F9">
      <w:pPr>
        <w:pStyle w:val="Prrafodelista"/>
        <w:autoSpaceDE w:val="0"/>
        <w:autoSpaceDN w:val="0"/>
        <w:adjustRightInd w:val="0"/>
        <w:ind w:left="0"/>
        <w:rPr>
          <w:szCs w:val="20"/>
          <w:lang w:val="es-ES"/>
        </w:rPr>
      </w:pPr>
    </w:p>
    <w:p w14:paraId="41C9AC5C"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Por su parte, los </w:t>
      </w:r>
      <w:r w:rsidRPr="00470C7C">
        <w:rPr>
          <w:b/>
          <w:i/>
          <w:szCs w:val="20"/>
          <w:lang w:val="es-ES"/>
        </w:rPr>
        <w:t xml:space="preserve">representantes </w:t>
      </w:r>
      <w:r w:rsidRPr="00470C7C">
        <w:rPr>
          <w:szCs w:val="20"/>
        </w:rPr>
        <w:t xml:space="preserve">alegaron que en la fiscalización fueron encontrados 85 trabajadores, con fundamento en el informe de la fiscalización realizada por el Ministerio de Trabajo y en la Acción Civil Pública de 30 de mayo de 2000, presentada por el Ministerio Público del Trabajo </w:t>
      </w:r>
      <w:r w:rsidRPr="00470C7C">
        <w:rPr>
          <w:rFonts w:cs="Arial"/>
          <w:szCs w:val="20"/>
          <w:lang w:val="es-ES"/>
        </w:rPr>
        <w:t xml:space="preserve">ante el Juzgado de Trabajo de </w:t>
      </w:r>
      <w:proofErr w:type="spellStart"/>
      <w:r w:rsidR="000E4BB3" w:rsidRPr="00470C7C">
        <w:rPr>
          <w:rFonts w:cs="Arial"/>
          <w:szCs w:val="20"/>
          <w:lang w:val="es-ES"/>
        </w:rPr>
        <w:t>Conceição</w:t>
      </w:r>
      <w:proofErr w:type="spellEnd"/>
      <w:r w:rsidR="000E4BB3" w:rsidRPr="00470C7C">
        <w:rPr>
          <w:rFonts w:cs="Arial"/>
          <w:szCs w:val="20"/>
          <w:lang w:val="es-ES"/>
        </w:rPr>
        <w:t xml:space="preserve"> do </w:t>
      </w:r>
      <w:proofErr w:type="spellStart"/>
      <w:r w:rsidRPr="00470C7C">
        <w:rPr>
          <w:rFonts w:cs="Arial"/>
          <w:szCs w:val="20"/>
          <w:lang w:val="es-ES"/>
        </w:rPr>
        <w:t>Araguaia</w:t>
      </w:r>
      <w:proofErr w:type="spellEnd"/>
      <w:r w:rsidRPr="00470C7C">
        <w:rPr>
          <w:szCs w:val="20"/>
        </w:rPr>
        <w:t>.</w:t>
      </w:r>
      <w:r w:rsidRPr="00470C7C">
        <w:rPr>
          <w:szCs w:val="20"/>
          <w:lang w:val="es-ES"/>
        </w:rPr>
        <w:t xml:space="preserve"> Asimismo, aclararon que l</w:t>
      </w:r>
      <w:r w:rsidRPr="00470C7C">
        <w:rPr>
          <w:szCs w:val="20"/>
        </w:rPr>
        <w:t xml:space="preserve">os nombres señalados por la Comisión respecto de Francisco das Chagas S. Lira y Francisco das Chagas da Silva Lima, se refieren en realidad a una misma persona, de nombre Francisco das Chagas da Silva Lira, y que el nombre </w:t>
      </w:r>
      <w:r w:rsidRPr="00470C7C">
        <w:rPr>
          <w:rFonts w:cs="Times New Roman"/>
          <w:szCs w:val="20"/>
        </w:rPr>
        <w:t>Francisco das Chagas Da Silva Lima, debía ser sustituido por Francisco Mariano da Silva.</w:t>
      </w:r>
    </w:p>
    <w:p w14:paraId="70E61166" w14:textId="77777777" w:rsidR="002246F9" w:rsidRPr="00470C7C" w:rsidRDefault="002246F9" w:rsidP="002246F9">
      <w:pPr>
        <w:pStyle w:val="Prrafodelista"/>
        <w:autoSpaceDE w:val="0"/>
        <w:autoSpaceDN w:val="0"/>
        <w:adjustRightInd w:val="0"/>
        <w:ind w:left="0"/>
        <w:rPr>
          <w:szCs w:val="20"/>
          <w:lang w:val="es-ES"/>
        </w:rPr>
      </w:pPr>
    </w:p>
    <w:p w14:paraId="453656F0"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 En contraste, el </w:t>
      </w:r>
      <w:r w:rsidRPr="00470C7C">
        <w:rPr>
          <w:b/>
          <w:i/>
          <w:szCs w:val="20"/>
          <w:lang w:val="es-ES"/>
        </w:rPr>
        <w:t>Estado</w:t>
      </w:r>
      <w:r w:rsidRPr="00470C7C">
        <w:rPr>
          <w:szCs w:val="20"/>
          <w:lang w:val="es-ES"/>
        </w:rPr>
        <w:t xml:space="preserve"> argumentó </w:t>
      </w:r>
      <w:proofErr w:type="gramStart"/>
      <w:r w:rsidRPr="00470C7C">
        <w:rPr>
          <w:szCs w:val="20"/>
          <w:lang w:val="es-ES"/>
        </w:rPr>
        <w:t>que</w:t>
      </w:r>
      <w:proofErr w:type="gramEnd"/>
      <w:r w:rsidRPr="00470C7C">
        <w:rPr>
          <w:szCs w:val="20"/>
          <w:lang w:val="es-ES"/>
        </w:rPr>
        <w:t xml:space="preserve"> </w:t>
      </w:r>
      <w:r w:rsidRPr="00470C7C">
        <w:rPr>
          <w:szCs w:val="20"/>
        </w:rPr>
        <w:t>de los 81 trabajadores señalados en el informe de la fiscalización de marzo de 2000, 49 se encontraban contratados por la Hacienda Brasil Verde y 32 por la Hacienda San Carlos. De esta forma, el Estado consideró que las únicas presuntas víctimas que podían ser contempladas respecto de la fiscalización de marzo de 2000 serían las 49 personas que trabajaban para la Hacienda Brasil Verde.</w:t>
      </w:r>
    </w:p>
    <w:p w14:paraId="50B209C8" w14:textId="77777777" w:rsidR="002246F9" w:rsidRPr="00470C7C" w:rsidRDefault="002246F9" w:rsidP="002246F9">
      <w:pPr>
        <w:pStyle w:val="Prrafodelista"/>
        <w:autoSpaceDE w:val="0"/>
        <w:autoSpaceDN w:val="0"/>
        <w:adjustRightInd w:val="0"/>
        <w:ind w:left="0"/>
        <w:rPr>
          <w:szCs w:val="20"/>
          <w:lang w:val="es-ES"/>
        </w:rPr>
      </w:pPr>
    </w:p>
    <w:p w14:paraId="592E1A44" w14:textId="77777777" w:rsidR="002246F9" w:rsidRPr="00470C7C" w:rsidRDefault="002246F9" w:rsidP="005F0182">
      <w:pPr>
        <w:pStyle w:val="Ttulo3"/>
      </w:pPr>
      <w:bookmarkStart w:id="335" w:name="_Toc460433027"/>
      <w:bookmarkStart w:id="336" w:name="_Toc460441958"/>
      <w:bookmarkStart w:id="337" w:name="_Toc462750776"/>
      <w:bookmarkStart w:id="338" w:name="_Toc462751100"/>
      <w:bookmarkStart w:id="339" w:name="_Toc464813952"/>
      <w:r w:rsidRPr="00470C7C">
        <w:t>B.2</w:t>
      </w:r>
      <w:r w:rsidR="00DC2886" w:rsidRPr="00470C7C">
        <w:t>.</w:t>
      </w:r>
      <w:r w:rsidRPr="00470C7C">
        <w:t xml:space="preserve"> Consideraciones de la Corte</w:t>
      </w:r>
      <w:bookmarkEnd w:id="335"/>
      <w:bookmarkEnd w:id="336"/>
      <w:bookmarkEnd w:id="337"/>
      <w:bookmarkEnd w:id="338"/>
      <w:bookmarkEnd w:id="339"/>
    </w:p>
    <w:p w14:paraId="58B29006" w14:textId="77777777" w:rsidR="002246F9" w:rsidRPr="00470C7C" w:rsidRDefault="002246F9" w:rsidP="002246F9">
      <w:pPr>
        <w:pStyle w:val="Prrafodelista"/>
        <w:rPr>
          <w:rFonts w:cs="Times New Roman"/>
          <w:szCs w:val="20"/>
          <w:lang w:val="es-ES"/>
        </w:rPr>
      </w:pPr>
    </w:p>
    <w:p w14:paraId="554C108B"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rFonts w:cs="Times New Roman"/>
          <w:szCs w:val="20"/>
          <w:lang w:val="es-ES"/>
        </w:rPr>
        <w:t>La Corte verificó que l</w:t>
      </w:r>
      <w:r w:rsidRPr="00470C7C">
        <w:rPr>
          <w:szCs w:val="20"/>
        </w:rPr>
        <w:t xml:space="preserve">a Hacienda Brasil Verde y la Hacienda San Carlos </w:t>
      </w:r>
      <w:r w:rsidR="00BD1B84" w:rsidRPr="00470C7C">
        <w:rPr>
          <w:szCs w:val="20"/>
        </w:rPr>
        <w:t xml:space="preserve">eran contiguas y </w:t>
      </w:r>
      <w:r w:rsidRPr="00470C7C">
        <w:rPr>
          <w:szCs w:val="20"/>
        </w:rPr>
        <w:t xml:space="preserve">formaban parte del Grupo </w:t>
      </w:r>
      <w:proofErr w:type="spellStart"/>
      <w:r w:rsidRPr="00470C7C">
        <w:rPr>
          <w:szCs w:val="20"/>
        </w:rPr>
        <w:t>Quagliato</w:t>
      </w:r>
      <w:proofErr w:type="spellEnd"/>
      <w:r w:rsidRPr="00470C7C">
        <w:rPr>
          <w:szCs w:val="20"/>
        </w:rPr>
        <w:t xml:space="preserve">, el cual era propiedad del señor João </w:t>
      </w:r>
      <w:proofErr w:type="spellStart"/>
      <w:r w:rsidRPr="00470C7C">
        <w:rPr>
          <w:szCs w:val="20"/>
        </w:rPr>
        <w:t>Luiz</w:t>
      </w:r>
      <w:proofErr w:type="spellEnd"/>
      <w:r w:rsidRPr="00470C7C">
        <w:rPr>
          <w:szCs w:val="20"/>
        </w:rPr>
        <w:t xml:space="preserve"> </w:t>
      </w:r>
      <w:proofErr w:type="spellStart"/>
      <w:r w:rsidRPr="00470C7C">
        <w:rPr>
          <w:szCs w:val="20"/>
        </w:rPr>
        <w:t>Quagliato</w:t>
      </w:r>
      <w:proofErr w:type="spellEnd"/>
      <w:r w:rsidRPr="00470C7C">
        <w:rPr>
          <w:szCs w:val="20"/>
        </w:rPr>
        <w:t xml:space="preserve"> Neto. De esta forma, si bien el presente caso se refiere en términos generales a los trabajadores de la Hacienda Brasil Verde, la Corte constató que las cédulas de trabajo de algunas de las presuntas víctimas indicaban que estaban contratados por la Hacienda San Carlos, a pesar de que ellas habrían sido reclutadas a trabajar en la Hacienda Brasil Verde</w:t>
      </w:r>
      <w:r w:rsidR="00BD1B84" w:rsidRPr="00470C7C">
        <w:rPr>
          <w:szCs w:val="20"/>
        </w:rPr>
        <w:t xml:space="preserve">. Asimismo, </w:t>
      </w:r>
      <w:r w:rsidR="00D30CDA" w:rsidRPr="00470C7C">
        <w:rPr>
          <w:szCs w:val="20"/>
        </w:rPr>
        <w:t xml:space="preserve">en algunos casos </w:t>
      </w:r>
      <w:r w:rsidR="00BD1B84" w:rsidRPr="00470C7C">
        <w:rPr>
          <w:szCs w:val="20"/>
        </w:rPr>
        <w:t xml:space="preserve">la documentación contractual laboral </w:t>
      </w:r>
      <w:r w:rsidR="00D30CDA" w:rsidRPr="00470C7C">
        <w:rPr>
          <w:szCs w:val="20"/>
        </w:rPr>
        <w:t xml:space="preserve">de los trabajadores rescatados en la fiscalización de marzo de 2000 hace mención a ambas haciendas, </w:t>
      </w:r>
      <w:r w:rsidR="00E6727A" w:rsidRPr="00470C7C">
        <w:rPr>
          <w:szCs w:val="20"/>
        </w:rPr>
        <w:t xml:space="preserve">lo que refuerza la idea de </w:t>
      </w:r>
      <w:r w:rsidR="00D30CDA" w:rsidRPr="00470C7C">
        <w:rPr>
          <w:szCs w:val="20"/>
        </w:rPr>
        <w:t xml:space="preserve">que constituían, en la práctica una única propiedad rural donde trabajaban las presuntas víctimas del caso. </w:t>
      </w:r>
      <w:r w:rsidRPr="00470C7C">
        <w:rPr>
          <w:szCs w:val="20"/>
        </w:rPr>
        <w:t>En virtud de ello, la Corte desestima el argumento expuesto por el Estado, y considera pertinente realizar la presente aclaración respecto de la vinculación entre ambas haciendas, sin perjuicio de que en adelante se refiera principalmente y en términos generales a los trabajadores de la Hacienda Brasil Verde</w:t>
      </w:r>
      <w:r w:rsidRPr="00470C7C">
        <w:rPr>
          <w:rStyle w:val="Refdenotaalpie"/>
        </w:rPr>
        <w:footnoteReference w:id="261"/>
      </w:r>
      <w:r w:rsidRPr="00470C7C">
        <w:rPr>
          <w:szCs w:val="20"/>
        </w:rPr>
        <w:t>.</w:t>
      </w:r>
    </w:p>
    <w:p w14:paraId="62238095" w14:textId="77777777" w:rsidR="002246F9" w:rsidRPr="00470C7C" w:rsidRDefault="002246F9" w:rsidP="002246F9">
      <w:pPr>
        <w:pStyle w:val="Prrafodelista"/>
        <w:autoSpaceDE w:val="0"/>
        <w:autoSpaceDN w:val="0"/>
        <w:adjustRightInd w:val="0"/>
        <w:ind w:left="0"/>
        <w:rPr>
          <w:szCs w:val="20"/>
          <w:lang w:val="es-ES"/>
        </w:rPr>
      </w:pPr>
    </w:p>
    <w:p w14:paraId="0708B70A" w14:textId="77777777" w:rsidR="002246F9" w:rsidRPr="00470C7C" w:rsidRDefault="002246F9" w:rsidP="002246F9">
      <w:pPr>
        <w:pStyle w:val="Prrafodelista"/>
        <w:numPr>
          <w:ilvl w:val="0"/>
          <w:numId w:val="1"/>
        </w:numPr>
        <w:autoSpaceDE w:val="0"/>
        <w:autoSpaceDN w:val="0"/>
        <w:adjustRightInd w:val="0"/>
        <w:rPr>
          <w:szCs w:val="20"/>
          <w:lang w:val="pt-BR"/>
        </w:rPr>
      </w:pPr>
      <w:r w:rsidRPr="00470C7C">
        <w:rPr>
          <w:szCs w:val="20"/>
          <w:lang w:val="es-ES"/>
        </w:rPr>
        <w:t xml:space="preserve">Asimismo, la Corte constató que </w:t>
      </w:r>
      <w:r w:rsidR="00BD1B84" w:rsidRPr="00470C7C">
        <w:rPr>
          <w:szCs w:val="20"/>
          <w:lang w:val="es-ES"/>
        </w:rPr>
        <w:t xml:space="preserve">las tres personas </w:t>
      </w:r>
      <w:r w:rsidRPr="00470C7C">
        <w:rPr>
          <w:szCs w:val="20"/>
        </w:rPr>
        <w:t xml:space="preserve">adicionales </w:t>
      </w:r>
      <w:r w:rsidR="00BD1B84" w:rsidRPr="00470C7C">
        <w:rPr>
          <w:szCs w:val="20"/>
        </w:rPr>
        <w:t xml:space="preserve">a la lista de la Comisión </w:t>
      </w:r>
      <w:r w:rsidRPr="00470C7C">
        <w:rPr>
          <w:szCs w:val="20"/>
        </w:rPr>
        <w:t>señalad</w:t>
      </w:r>
      <w:r w:rsidR="00BD1B84" w:rsidRPr="00470C7C">
        <w:rPr>
          <w:szCs w:val="20"/>
        </w:rPr>
        <w:t>a</w:t>
      </w:r>
      <w:r w:rsidRPr="00470C7C">
        <w:rPr>
          <w:szCs w:val="20"/>
        </w:rPr>
        <w:t xml:space="preserve">s por los representantes fueron: 1. </w:t>
      </w:r>
      <w:r w:rsidR="00D60654" w:rsidRPr="00470C7C">
        <w:rPr>
          <w:rFonts w:cs="Times New Roman"/>
          <w:szCs w:val="20"/>
          <w:lang w:val="pt-BR"/>
        </w:rPr>
        <w:t xml:space="preserve">Antônio </w:t>
      </w:r>
      <w:r w:rsidRPr="00470C7C">
        <w:rPr>
          <w:rFonts w:cs="Times New Roman"/>
          <w:szCs w:val="20"/>
          <w:lang w:val="pt-BR"/>
        </w:rPr>
        <w:t xml:space="preserve">Pereira dos Santos; 2. </w:t>
      </w:r>
      <w:r w:rsidRPr="00470C7C">
        <w:rPr>
          <w:szCs w:val="20"/>
          <w:lang w:val="pt-BR"/>
        </w:rPr>
        <w:t xml:space="preserve">Francisco das Chagas Bastos Souza, y 3. </w:t>
      </w:r>
      <w:r w:rsidRPr="00470C7C">
        <w:rPr>
          <w:szCs w:val="20"/>
          <w:lang w:val="es-ES"/>
        </w:rPr>
        <w:t xml:space="preserve">Francisco Pereira da Silva. Además, el Tribunal observó que el Estado </w:t>
      </w:r>
      <w:r w:rsidR="003C73E3" w:rsidRPr="00470C7C">
        <w:rPr>
          <w:szCs w:val="20"/>
        </w:rPr>
        <w:t xml:space="preserve">no se refirió </w:t>
      </w:r>
      <w:r w:rsidRPr="00470C7C">
        <w:rPr>
          <w:szCs w:val="20"/>
        </w:rPr>
        <w:t xml:space="preserve">a los siguientes trabajadores señalados por la Comisión y los representantes: 1. </w:t>
      </w:r>
      <w:r w:rsidR="00D60654" w:rsidRPr="00470C7C">
        <w:rPr>
          <w:rFonts w:cs="Times New Roman"/>
          <w:szCs w:val="20"/>
          <w:lang w:val="pt-BR"/>
        </w:rPr>
        <w:t xml:space="preserve">Antônio </w:t>
      </w:r>
      <w:r w:rsidRPr="00470C7C">
        <w:rPr>
          <w:rFonts w:cs="Times New Roman"/>
          <w:szCs w:val="20"/>
          <w:lang w:val="pt-BR"/>
        </w:rPr>
        <w:t xml:space="preserve">Francisco da Silva Fernandes; 2. Francisco das Chagas Rodrigues de Sousa; 3. </w:t>
      </w:r>
      <w:r w:rsidR="00AB6218" w:rsidRPr="00470C7C">
        <w:rPr>
          <w:rFonts w:cs="Times New Roman"/>
          <w:szCs w:val="20"/>
          <w:lang w:val="pt-BR"/>
        </w:rPr>
        <w:t xml:space="preserve">José Francisco Furtado de Sousa, </w:t>
      </w:r>
      <w:proofErr w:type="spellStart"/>
      <w:r w:rsidR="00AB6218" w:rsidRPr="00470C7C">
        <w:rPr>
          <w:rFonts w:cs="Times New Roman"/>
          <w:szCs w:val="20"/>
          <w:lang w:val="pt-BR"/>
        </w:rPr>
        <w:t>quien</w:t>
      </w:r>
      <w:proofErr w:type="spellEnd"/>
      <w:r w:rsidR="00AB6218" w:rsidRPr="00470C7C">
        <w:rPr>
          <w:rFonts w:cs="Times New Roman"/>
          <w:szCs w:val="20"/>
          <w:lang w:val="pt-BR"/>
        </w:rPr>
        <w:t xml:space="preserve"> </w:t>
      </w:r>
      <w:proofErr w:type="spellStart"/>
      <w:r w:rsidR="00AB6218" w:rsidRPr="00470C7C">
        <w:rPr>
          <w:rFonts w:cs="Times New Roman"/>
          <w:szCs w:val="20"/>
          <w:lang w:val="pt-BR"/>
        </w:rPr>
        <w:t>en</w:t>
      </w:r>
      <w:proofErr w:type="spellEnd"/>
      <w:r w:rsidR="00AB6218" w:rsidRPr="00470C7C">
        <w:rPr>
          <w:rFonts w:cs="Times New Roman"/>
          <w:szCs w:val="20"/>
          <w:lang w:val="pt-BR"/>
        </w:rPr>
        <w:t xml:space="preserve"> </w:t>
      </w:r>
      <w:proofErr w:type="spellStart"/>
      <w:r w:rsidR="00AB6218" w:rsidRPr="00470C7C">
        <w:rPr>
          <w:rFonts w:cs="Times New Roman"/>
          <w:szCs w:val="20"/>
          <w:lang w:val="pt-BR"/>
        </w:rPr>
        <w:t>el</w:t>
      </w:r>
      <w:proofErr w:type="spellEnd"/>
      <w:r w:rsidR="00AB6218" w:rsidRPr="00470C7C">
        <w:rPr>
          <w:rFonts w:cs="Times New Roman"/>
          <w:szCs w:val="20"/>
          <w:lang w:val="pt-BR"/>
        </w:rPr>
        <w:t xml:space="preserve"> listado de </w:t>
      </w:r>
      <w:proofErr w:type="spellStart"/>
      <w:r w:rsidR="00AB6218" w:rsidRPr="00470C7C">
        <w:rPr>
          <w:rFonts w:cs="Times New Roman"/>
          <w:szCs w:val="20"/>
          <w:lang w:val="pt-BR"/>
        </w:rPr>
        <w:t>la</w:t>
      </w:r>
      <w:proofErr w:type="spellEnd"/>
      <w:r w:rsidR="00AB6218" w:rsidRPr="00470C7C">
        <w:rPr>
          <w:rFonts w:cs="Times New Roman"/>
          <w:szCs w:val="20"/>
          <w:lang w:val="pt-BR"/>
        </w:rPr>
        <w:t xml:space="preserve"> </w:t>
      </w:r>
      <w:proofErr w:type="spellStart"/>
      <w:r w:rsidR="00AB6218" w:rsidRPr="00470C7C">
        <w:rPr>
          <w:rFonts w:cs="Times New Roman"/>
          <w:szCs w:val="20"/>
          <w:lang w:val="pt-BR"/>
        </w:rPr>
        <w:t>Comisión</w:t>
      </w:r>
      <w:proofErr w:type="spellEnd"/>
      <w:r w:rsidR="00AB6218" w:rsidRPr="00470C7C">
        <w:rPr>
          <w:rFonts w:cs="Times New Roman"/>
          <w:szCs w:val="20"/>
          <w:lang w:val="pt-BR"/>
        </w:rPr>
        <w:t xml:space="preserve"> </w:t>
      </w:r>
      <w:proofErr w:type="spellStart"/>
      <w:r w:rsidR="00AB6218" w:rsidRPr="00470C7C">
        <w:rPr>
          <w:rFonts w:cs="Times New Roman"/>
          <w:szCs w:val="20"/>
          <w:lang w:val="pt-BR"/>
        </w:rPr>
        <w:t>fuera</w:t>
      </w:r>
      <w:proofErr w:type="spellEnd"/>
      <w:r w:rsidR="00AB6218" w:rsidRPr="00470C7C">
        <w:rPr>
          <w:rFonts w:cs="Times New Roman"/>
          <w:szCs w:val="20"/>
          <w:lang w:val="pt-BR"/>
        </w:rPr>
        <w:t xml:space="preserve"> identificado como “</w:t>
      </w:r>
      <w:r w:rsidRPr="00470C7C">
        <w:rPr>
          <w:rFonts w:cs="Times New Roman"/>
          <w:szCs w:val="20"/>
          <w:lang w:val="pt-BR"/>
        </w:rPr>
        <w:t>Gonçalo Luiz Furtado</w:t>
      </w:r>
      <w:r w:rsidR="00AB6218" w:rsidRPr="00470C7C">
        <w:rPr>
          <w:rFonts w:cs="Times New Roman"/>
          <w:szCs w:val="20"/>
          <w:lang w:val="pt-BR"/>
        </w:rPr>
        <w:t>”</w:t>
      </w:r>
      <w:r w:rsidR="003C73E3" w:rsidRPr="00470C7C">
        <w:rPr>
          <w:rFonts w:cs="Times New Roman"/>
          <w:szCs w:val="20"/>
          <w:lang w:val="pt-BR"/>
        </w:rPr>
        <w:t>, y</w:t>
      </w:r>
      <w:r w:rsidRPr="00470C7C">
        <w:rPr>
          <w:rFonts w:cs="Times New Roman"/>
          <w:szCs w:val="20"/>
          <w:lang w:val="pt-BR"/>
        </w:rPr>
        <w:t xml:space="preserve"> 4. Paulo Pereira dos Santos.</w:t>
      </w:r>
    </w:p>
    <w:p w14:paraId="7462A51D" w14:textId="77777777" w:rsidR="002246F9" w:rsidRPr="00470C7C" w:rsidRDefault="002246F9" w:rsidP="002246F9">
      <w:pPr>
        <w:pStyle w:val="Prrafodelista"/>
        <w:rPr>
          <w:szCs w:val="20"/>
          <w:lang w:val="pt-BR"/>
        </w:rPr>
      </w:pPr>
    </w:p>
    <w:p w14:paraId="0765495E" w14:textId="77777777"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De la misma forma que se indicó en el apartado anterior, tomando en consideración que para resolver el presente caso, </w:t>
      </w:r>
      <w:r w:rsidRPr="00470C7C">
        <w:rPr>
          <w:szCs w:val="20"/>
        </w:rPr>
        <w:t>es necesario que la Corte cuente con un mínimo de certeza sobre la existencia de tales personas</w:t>
      </w:r>
      <w:r w:rsidRPr="00470C7C">
        <w:rPr>
          <w:rStyle w:val="Refdenotaalpie"/>
        </w:rPr>
        <w:footnoteReference w:id="262"/>
      </w:r>
      <w:r w:rsidRPr="00470C7C">
        <w:rPr>
          <w:szCs w:val="20"/>
        </w:rPr>
        <w:t xml:space="preserve">, </w:t>
      </w:r>
      <w:r w:rsidRPr="00470C7C">
        <w:rPr>
          <w:szCs w:val="20"/>
          <w:lang w:val="es-ES"/>
        </w:rPr>
        <w:t>p</w:t>
      </w:r>
      <w:r w:rsidRPr="00470C7C">
        <w:rPr>
          <w:szCs w:val="20"/>
        </w:rPr>
        <w:t xml:space="preserve">ara demostrar la calidad de presunta víctima, la Corte utilizó los siguientes instrumentos probatorios aportados por las partes: i) Registro de Infracción (RI); </w:t>
      </w:r>
      <w:proofErr w:type="spellStart"/>
      <w:r w:rsidRPr="00470C7C">
        <w:rPr>
          <w:szCs w:val="20"/>
        </w:rPr>
        <w:t>ii</w:t>
      </w:r>
      <w:proofErr w:type="spellEnd"/>
      <w:r w:rsidRPr="00470C7C">
        <w:rPr>
          <w:szCs w:val="20"/>
        </w:rPr>
        <w:t xml:space="preserve">) Registro de Empleado por la Hacienda (RE); </w:t>
      </w:r>
      <w:proofErr w:type="spellStart"/>
      <w:r w:rsidRPr="00470C7C">
        <w:rPr>
          <w:szCs w:val="20"/>
        </w:rPr>
        <w:t>iii</w:t>
      </w:r>
      <w:proofErr w:type="spellEnd"/>
      <w:r w:rsidRPr="00470C7C">
        <w:rPr>
          <w:szCs w:val="20"/>
        </w:rPr>
        <w:t xml:space="preserve">) Terminación de contrato (TC); </w:t>
      </w:r>
      <w:proofErr w:type="spellStart"/>
      <w:r w:rsidRPr="00470C7C">
        <w:rPr>
          <w:szCs w:val="20"/>
        </w:rPr>
        <w:t>iv</w:t>
      </w:r>
      <w:proofErr w:type="spellEnd"/>
      <w:r w:rsidRPr="00470C7C">
        <w:rPr>
          <w:szCs w:val="20"/>
        </w:rPr>
        <w:t>) Formulario de Verificación Física (VF), y v) Lista de trabajadores señalados por la defensa del gerente y el</w:t>
      </w:r>
      <w:r w:rsidR="00DB1C1D" w:rsidRPr="00470C7C">
        <w:rPr>
          <w:i/>
          <w:szCs w:val="20"/>
        </w:rPr>
        <w:t xml:space="preserve"> gato </w:t>
      </w:r>
      <w:r w:rsidRPr="00470C7C">
        <w:rPr>
          <w:szCs w:val="20"/>
        </w:rPr>
        <w:t xml:space="preserve">en el proceso penal interno (PP). </w:t>
      </w:r>
    </w:p>
    <w:p w14:paraId="53BC4A21" w14:textId="77777777" w:rsidR="002246F9" w:rsidRPr="00470C7C" w:rsidRDefault="002246F9" w:rsidP="002246F9">
      <w:pPr>
        <w:pStyle w:val="Prrafodelista"/>
        <w:rPr>
          <w:szCs w:val="20"/>
          <w:lang w:val="es-ES"/>
        </w:rPr>
      </w:pPr>
    </w:p>
    <w:p w14:paraId="7974A98E" w14:textId="77777777" w:rsidR="002246F9" w:rsidRPr="00470C7C" w:rsidRDefault="002246F9" w:rsidP="002246F9">
      <w:pPr>
        <w:pStyle w:val="Prrafodelista"/>
        <w:numPr>
          <w:ilvl w:val="0"/>
          <w:numId w:val="1"/>
        </w:numPr>
        <w:autoSpaceDE w:val="0"/>
        <w:autoSpaceDN w:val="0"/>
        <w:adjustRightInd w:val="0"/>
        <w:rPr>
          <w:szCs w:val="20"/>
          <w:lang w:val="es-ES"/>
        </w:rPr>
      </w:pPr>
      <w:bookmarkStart w:id="340" w:name="_Ref460939605"/>
      <w:r w:rsidRPr="00470C7C">
        <w:rPr>
          <w:szCs w:val="20"/>
          <w:lang w:val="es-ES"/>
        </w:rPr>
        <w:t xml:space="preserve">Por lo tanto, del universo de trabajadores presentes en la Hacienda Brasil Verde durante la fiscalización de marzo de 2000, al momento de la emisión de la presente Sentencia, el Tribunal cuenta con elementos probatorios suficientes y confiables para demostrar la calidad de presunta víctima </w:t>
      </w:r>
      <w:r w:rsidR="002C2A2A" w:rsidRPr="00470C7C">
        <w:rPr>
          <w:szCs w:val="20"/>
          <w:lang w:val="es-ES"/>
        </w:rPr>
        <w:t xml:space="preserve">de alegadas violaciones de la prohibición de ser sometido a esclavitud, trabajo forzoso, servidumbre o trata de esclavos y de los derechos a las garantías y la protección judiciales </w:t>
      </w:r>
      <w:r w:rsidRPr="00470C7C">
        <w:rPr>
          <w:szCs w:val="20"/>
          <w:lang w:val="es-ES"/>
        </w:rPr>
        <w:t xml:space="preserve">de los siguientes 85 trabajadores: </w:t>
      </w:r>
      <w:r w:rsidRPr="00470C7C">
        <w:rPr>
          <w:szCs w:val="20"/>
        </w:rPr>
        <w:t xml:space="preserve">1. </w:t>
      </w:r>
      <w:r w:rsidRPr="00470C7C">
        <w:rPr>
          <w:szCs w:val="20"/>
          <w:lang w:val="pt-BR"/>
        </w:rPr>
        <w:t>Alcione</w:t>
      </w:r>
      <w:r w:rsidR="003C73E3" w:rsidRPr="00470C7C">
        <w:rPr>
          <w:szCs w:val="20"/>
          <w:lang w:val="pt-BR"/>
        </w:rPr>
        <w:t xml:space="preserve"> Freitas </w:t>
      </w:r>
      <w:r w:rsidRPr="00470C7C">
        <w:rPr>
          <w:szCs w:val="20"/>
          <w:lang w:val="pt-BR"/>
        </w:rPr>
        <w:t>Sousa</w:t>
      </w:r>
      <w:r w:rsidRPr="00470C7C">
        <w:rPr>
          <w:rStyle w:val="Refdenotaalpie"/>
          <w:lang w:val="pt-BR"/>
        </w:rPr>
        <w:footnoteReference w:id="263"/>
      </w:r>
      <w:r w:rsidRPr="00470C7C">
        <w:rPr>
          <w:szCs w:val="20"/>
          <w:lang w:val="pt-BR"/>
        </w:rPr>
        <w:t>; 2. Alfredo Rodrigues</w:t>
      </w:r>
      <w:r w:rsidRPr="00470C7C">
        <w:rPr>
          <w:rStyle w:val="Refdenotaalpie"/>
          <w:lang w:val="pt-BR"/>
        </w:rPr>
        <w:footnoteReference w:id="264"/>
      </w:r>
      <w:r w:rsidRPr="00470C7C">
        <w:rPr>
          <w:szCs w:val="20"/>
          <w:lang w:val="pt-BR"/>
        </w:rPr>
        <w:t xml:space="preserve">; 3. </w:t>
      </w:r>
      <w:r w:rsidR="00D60654" w:rsidRPr="00470C7C">
        <w:rPr>
          <w:szCs w:val="20"/>
          <w:lang w:val="pt-BR"/>
        </w:rPr>
        <w:t xml:space="preserve">Antônio </w:t>
      </w:r>
      <w:r w:rsidRPr="00470C7C">
        <w:rPr>
          <w:szCs w:val="20"/>
          <w:lang w:val="pt-BR"/>
        </w:rPr>
        <w:t>Almir Lima da Silva</w:t>
      </w:r>
      <w:r w:rsidRPr="00470C7C">
        <w:rPr>
          <w:rStyle w:val="Refdenotaalpie"/>
          <w:lang w:val="pt-BR"/>
        </w:rPr>
        <w:footnoteReference w:id="265"/>
      </w:r>
      <w:r w:rsidRPr="00470C7C">
        <w:rPr>
          <w:szCs w:val="20"/>
          <w:lang w:val="pt-BR"/>
        </w:rPr>
        <w:t xml:space="preserve">; 4. </w:t>
      </w:r>
      <w:r w:rsidR="00D60654" w:rsidRPr="00470C7C">
        <w:rPr>
          <w:szCs w:val="20"/>
          <w:lang w:val="pt-BR"/>
        </w:rPr>
        <w:t xml:space="preserve">Antônio </w:t>
      </w:r>
      <w:r w:rsidRPr="00470C7C">
        <w:rPr>
          <w:szCs w:val="20"/>
          <w:lang w:val="pt-BR"/>
        </w:rPr>
        <w:t>Aroldo Rodrigues Santos</w:t>
      </w:r>
      <w:r w:rsidRPr="00470C7C">
        <w:rPr>
          <w:rStyle w:val="Refdenotaalpie"/>
          <w:lang w:val="pt-BR"/>
        </w:rPr>
        <w:footnoteReference w:id="266"/>
      </w:r>
      <w:r w:rsidRPr="00470C7C">
        <w:rPr>
          <w:szCs w:val="20"/>
          <w:lang w:val="pt-BR"/>
        </w:rPr>
        <w:t xml:space="preserve">; 5. </w:t>
      </w:r>
      <w:r w:rsidR="00D60654" w:rsidRPr="00470C7C">
        <w:rPr>
          <w:szCs w:val="20"/>
          <w:lang w:val="pt-BR"/>
        </w:rPr>
        <w:t xml:space="preserve">Antônio </w:t>
      </w:r>
      <w:r w:rsidRPr="00470C7C">
        <w:rPr>
          <w:szCs w:val="20"/>
          <w:lang w:val="pt-BR"/>
        </w:rPr>
        <w:t>Bento da Silva</w:t>
      </w:r>
      <w:r w:rsidRPr="00470C7C">
        <w:rPr>
          <w:rStyle w:val="Refdenotaalpie"/>
          <w:lang w:val="pt-BR"/>
        </w:rPr>
        <w:footnoteReference w:id="267"/>
      </w:r>
      <w:r w:rsidRPr="00470C7C">
        <w:rPr>
          <w:szCs w:val="20"/>
          <w:lang w:val="pt-BR"/>
        </w:rPr>
        <w:t xml:space="preserve">; 6. </w:t>
      </w:r>
      <w:r w:rsidR="00D60654" w:rsidRPr="00470C7C">
        <w:rPr>
          <w:szCs w:val="20"/>
          <w:lang w:val="pt-BR"/>
        </w:rPr>
        <w:t xml:space="preserve">Antônio </w:t>
      </w:r>
      <w:r w:rsidRPr="00470C7C">
        <w:rPr>
          <w:szCs w:val="20"/>
          <w:lang w:val="pt-BR"/>
        </w:rPr>
        <w:t>da Silva Martins</w:t>
      </w:r>
      <w:r w:rsidRPr="00470C7C">
        <w:rPr>
          <w:rStyle w:val="Refdenotaalpie"/>
          <w:lang w:val="pt-BR"/>
        </w:rPr>
        <w:footnoteReference w:id="268"/>
      </w:r>
      <w:r w:rsidRPr="00470C7C">
        <w:rPr>
          <w:szCs w:val="20"/>
          <w:lang w:val="pt-BR"/>
        </w:rPr>
        <w:t xml:space="preserve">; 7. </w:t>
      </w:r>
      <w:r w:rsidR="00D60654" w:rsidRPr="00470C7C">
        <w:rPr>
          <w:szCs w:val="20"/>
          <w:lang w:val="pt-BR"/>
        </w:rPr>
        <w:t xml:space="preserve">Antônio </w:t>
      </w:r>
      <w:r w:rsidRPr="00470C7C">
        <w:rPr>
          <w:szCs w:val="20"/>
          <w:lang w:val="pt-BR"/>
        </w:rPr>
        <w:t>Damas Filho</w:t>
      </w:r>
      <w:r w:rsidRPr="00470C7C">
        <w:rPr>
          <w:rStyle w:val="Refdenotaalpie"/>
          <w:lang w:val="pt-BR"/>
        </w:rPr>
        <w:footnoteReference w:id="269"/>
      </w:r>
      <w:r w:rsidRPr="00470C7C">
        <w:rPr>
          <w:szCs w:val="20"/>
          <w:lang w:val="pt-BR"/>
        </w:rPr>
        <w:t xml:space="preserve">; </w:t>
      </w:r>
      <w:r w:rsidRPr="00470C7C">
        <w:rPr>
          <w:rFonts w:cs="Times New Roman"/>
          <w:szCs w:val="20"/>
          <w:lang w:val="pt-BR"/>
        </w:rPr>
        <w:t xml:space="preserve">8. </w:t>
      </w:r>
      <w:r w:rsidR="00D60654" w:rsidRPr="00470C7C">
        <w:rPr>
          <w:rFonts w:cs="Times New Roman"/>
          <w:szCs w:val="20"/>
          <w:lang w:val="pt-BR"/>
        </w:rPr>
        <w:t xml:space="preserve">Antônio </w:t>
      </w:r>
      <w:r w:rsidRPr="00470C7C">
        <w:rPr>
          <w:rFonts w:cs="Times New Roman"/>
          <w:szCs w:val="20"/>
          <w:lang w:val="pt-BR"/>
        </w:rPr>
        <w:t>de Paula Rodrigues de Sousa</w:t>
      </w:r>
      <w:r w:rsidRPr="00470C7C">
        <w:rPr>
          <w:rStyle w:val="Refdenotaalpie"/>
          <w:lang w:val="pt-BR"/>
        </w:rPr>
        <w:footnoteReference w:id="270"/>
      </w:r>
      <w:r w:rsidRPr="00470C7C">
        <w:rPr>
          <w:szCs w:val="20"/>
          <w:lang w:val="pt-BR"/>
        </w:rPr>
        <w:t xml:space="preserve">; </w:t>
      </w:r>
      <w:r w:rsidRPr="00470C7C">
        <w:rPr>
          <w:rFonts w:cs="Times New Roman"/>
          <w:szCs w:val="20"/>
          <w:lang w:val="pt-BR"/>
        </w:rPr>
        <w:t xml:space="preserve">9. </w:t>
      </w:r>
      <w:r w:rsidR="00D60654" w:rsidRPr="00470C7C">
        <w:rPr>
          <w:rFonts w:cs="Times New Roman"/>
          <w:szCs w:val="20"/>
          <w:lang w:val="pt-BR"/>
        </w:rPr>
        <w:t xml:space="preserve">Antônio </w:t>
      </w:r>
      <w:r w:rsidRPr="00470C7C">
        <w:rPr>
          <w:rFonts w:cs="Times New Roman"/>
          <w:szCs w:val="20"/>
          <w:lang w:val="pt-BR"/>
        </w:rPr>
        <w:t>Edvaldo da Silva</w:t>
      </w:r>
      <w:r w:rsidRPr="00470C7C">
        <w:rPr>
          <w:rStyle w:val="Refdenotaalpie"/>
          <w:lang w:val="pt-BR"/>
        </w:rPr>
        <w:footnoteReference w:id="271"/>
      </w:r>
      <w:r w:rsidRPr="00470C7C">
        <w:rPr>
          <w:szCs w:val="20"/>
          <w:lang w:val="pt-BR"/>
        </w:rPr>
        <w:t xml:space="preserve">; </w:t>
      </w:r>
      <w:r w:rsidRPr="00470C7C">
        <w:rPr>
          <w:rFonts w:cs="Times New Roman"/>
          <w:szCs w:val="20"/>
          <w:lang w:val="pt-BR"/>
        </w:rPr>
        <w:t xml:space="preserve">10. </w:t>
      </w:r>
      <w:r w:rsidR="00D60654" w:rsidRPr="00470C7C">
        <w:rPr>
          <w:rFonts w:cs="Times New Roman"/>
          <w:szCs w:val="20"/>
          <w:lang w:val="pt-BR"/>
        </w:rPr>
        <w:t xml:space="preserve">Antônio </w:t>
      </w:r>
      <w:r w:rsidRPr="00470C7C">
        <w:rPr>
          <w:rFonts w:cs="Times New Roman"/>
          <w:szCs w:val="20"/>
          <w:lang w:val="pt-BR"/>
        </w:rPr>
        <w:t>Fernandes Costa</w:t>
      </w:r>
      <w:r w:rsidRPr="00470C7C">
        <w:rPr>
          <w:rStyle w:val="Refdenotaalpie"/>
          <w:lang w:val="pt-BR"/>
        </w:rPr>
        <w:footnoteReference w:id="272"/>
      </w:r>
      <w:r w:rsidRPr="00470C7C">
        <w:rPr>
          <w:szCs w:val="20"/>
          <w:lang w:val="pt-BR"/>
        </w:rPr>
        <w:t xml:space="preserve">; </w:t>
      </w:r>
      <w:r w:rsidRPr="00470C7C">
        <w:rPr>
          <w:rFonts w:cs="Times New Roman"/>
          <w:szCs w:val="20"/>
          <w:lang w:val="pt-BR"/>
        </w:rPr>
        <w:t xml:space="preserve">11. </w:t>
      </w:r>
      <w:r w:rsidR="00D60654" w:rsidRPr="00470C7C">
        <w:rPr>
          <w:rFonts w:cs="Times New Roman"/>
          <w:szCs w:val="20"/>
          <w:lang w:val="pt-BR"/>
        </w:rPr>
        <w:t xml:space="preserve">Antônio </w:t>
      </w:r>
      <w:r w:rsidRPr="00470C7C">
        <w:rPr>
          <w:rFonts w:cs="Times New Roman"/>
          <w:szCs w:val="20"/>
          <w:lang w:val="pt-BR"/>
        </w:rPr>
        <w:t>Francisco da Silva</w:t>
      </w:r>
      <w:r w:rsidRPr="00470C7C">
        <w:rPr>
          <w:rStyle w:val="Refdenotaalpie"/>
          <w:lang w:val="pt-BR"/>
        </w:rPr>
        <w:footnoteReference w:id="273"/>
      </w:r>
      <w:r w:rsidRPr="00470C7C">
        <w:rPr>
          <w:szCs w:val="20"/>
          <w:lang w:val="pt-BR"/>
        </w:rPr>
        <w:t xml:space="preserve">; </w:t>
      </w:r>
      <w:r w:rsidRPr="00470C7C">
        <w:rPr>
          <w:rFonts w:cs="Times New Roman"/>
          <w:szCs w:val="20"/>
          <w:lang w:val="pt-BR"/>
        </w:rPr>
        <w:t xml:space="preserve">12. </w:t>
      </w:r>
      <w:r w:rsidR="00D60654" w:rsidRPr="00470C7C">
        <w:rPr>
          <w:rFonts w:cs="Times New Roman"/>
          <w:szCs w:val="20"/>
          <w:lang w:val="pt-BR"/>
        </w:rPr>
        <w:t xml:space="preserve">Antônio </w:t>
      </w:r>
      <w:r w:rsidRPr="00470C7C">
        <w:rPr>
          <w:rFonts w:cs="Times New Roman"/>
          <w:szCs w:val="20"/>
          <w:lang w:val="pt-BR"/>
        </w:rPr>
        <w:t>Francisco da Silva Fernandes</w:t>
      </w:r>
      <w:r w:rsidRPr="00470C7C">
        <w:rPr>
          <w:rStyle w:val="Refdenotaalpie"/>
          <w:lang w:val="pt-BR"/>
        </w:rPr>
        <w:footnoteReference w:id="274"/>
      </w:r>
      <w:r w:rsidRPr="00470C7C">
        <w:rPr>
          <w:szCs w:val="20"/>
          <w:lang w:val="pt-BR"/>
        </w:rPr>
        <w:t xml:space="preserve">; </w:t>
      </w:r>
      <w:r w:rsidRPr="00470C7C">
        <w:rPr>
          <w:rFonts w:cs="Times New Roman"/>
          <w:szCs w:val="20"/>
          <w:lang w:val="pt-BR"/>
        </w:rPr>
        <w:t xml:space="preserve">13. </w:t>
      </w:r>
      <w:r w:rsidR="00D60654" w:rsidRPr="00470C7C">
        <w:rPr>
          <w:rFonts w:cs="Times New Roman"/>
          <w:szCs w:val="20"/>
          <w:lang w:val="pt-BR"/>
        </w:rPr>
        <w:t xml:space="preserve">Antônio </w:t>
      </w:r>
      <w:r w:rsidRPr="00470C7C">
        <w:rPr>
          <w:rFonts w:cs="Times New Roman"/>
          <w:szCs w:val="20"/>
          <w:lang w:val="pt-BR"/>
        </w:rPr>
        <w:t>Ivaldo Rodrigues da Silva</w:t>
      </w:r>
      <w:r w:rsidRPr="00470C7C">
        <w:rPr>
          <w:rStyle w:val="Refdenotaalpie"/>
          <w:lang w:val="pt-BR"/>
        </w:rPr>
        <w:footnoteReference w:id="275"/>
      </w:r>
      <w:r w:rsidRPr="00470C7C">
        <w:rPr>
          <w:szCs w:val="20"/>
          <w:lang w:val="pt-BR"/>
        </w:rPr>
        <w:t xml:space="preserve">; </w:t>
      </w:r>
      <w:r w:rsidRPr="00470C7C">
        <w:rPr>
          <w:rFonts w:cs="Times New Roman"/>
          <w:szCs w:val="20"/>
          <w:lang w:val="pt-BR"/>
        </w:rPr>
        <w:t xml:space="preserve">14. </w:t>
      </w:r>
      <w:r w:rsidR="00D60654" w:rsidRPr="00470C7C">
        <w:rPr>
          <w:rFonts w:cs="Times New Roman"/>
          <w:szCs w:val="20"/>
          <w:lang w:val="pt-BR"/>
        </w:rPr>
        <w:t xml:space="preserve">Antônio </w:t>
      </w:r>
      <w:r w:rsidRPr="00470C7C">
        <w:rPr>
          <w:rFonts w:cs="Times New Roman"/>
          <w:szCs w:val="20"/>
          <w:lang w:val="pt-BR"/>
        </w:rPr>
        <w:t>Paulo da Silva</w:t>
      </w:r>
      <w:r w:rsidRPr="00470C7C">
        <w:rPr>
          <w:rStyle w:val="Refdenotaalpie"/>
          <w:lang w:val="pt-BR"/>
        </w:rPr>
        <w:footnoteReference w:id="276"/>
      </w:r>
      <w:r w:rsidRPr="00470C7C">
        <w:rPr>
          <w:szCs w:val="20"/>
          <w:lang w:val="pt-BR"/>
        </w:rPr>
        <w:t xml:space="preserve">; </w:t>
      </w:r>
      <w:r w:rsidRPr="00470C7C">
        <w:rPr>
          <w:rFonts w:cs="Times New Roman"/>
          <w:szCs w:val="20"/>
          <w:lang w:val="pt-BR"/>
        </w:rPr>
        <w:t xml:space="preserve">15. </w:t>
      </w:r>
      <w:r w:rsidR="00D60654" w:rsidRPr="00470C7C">
        <w:rPr>
          <w:rFonts w:cs="Times New Roman"/>
          <w:szCs w:val="20"/>
          <w:lang w:val="pt-BR"/>
        </w:rPr>
        <w:t xml:space="preserve">Antônio </w:t>
      </w:r>
      <w:r w:rsidRPr="00470C7C">
        <w:rPr>
          <w:rFonts w:cs="Times New Roman"/>
          <w:szCs w:val="20"/>
          <w:lang w:val="pt-BR"/>
        </w:rPr>
        <w:t>Pereira da Silva</w:t>
      </w:r>
      <w:r w:rsidRPr="00470C7C">
        <w:rPr>
          <w:rStyle w:val="Refdenotaalpie"/>
          <w:lang w:val="pt-BR"/>
        </w:rPr>
        <w:footnoteReference w:id="277"/>
      </w:r>
      <w:r w:rsidRPr="00470C7C">
        <w:rPr>
          <w:szCs w:val="20"/>
          <w:lang w:val="pt-BR"/>
        </w:rPr>
        <w:t xml:space="preserve">; 16. </w:t>
      </w:r>
      <w:r w:rsidR="00D60654" w:rsidRPr="00470C7C">
        <w:rPr>
          <w:rFonts w:cs="Times New Roman"/>
          <w:szCs w:val="20"/>
          <w:lang w:val="pt-BR"/>
        </w:rPr>
        <w:t xml:space="preserve">Antônio </w:t>
      </w:r>
      <w:r w:rsidRPr="00470C7C">
        <w:rPr>
          <w:rFonts w:cs="Times New Roman"/>
          <w:szCs w:val="20"/>
          <w:lang w:val="pt-BR"/>
        </w:rPr>
        <w:t>Pereira dos Santos</w:t>
      </w:r>
      <w:r w:rsidRPr="00470C7C">
        <w:rPr>
          <w:rStyle w:val="Refdenotaalpie"/>
        </w:rPr>
        <w:footnoteReference w:id="278"/>
      </w:r>
      <w:r w:rsidRPr="00470C7C">
        <w:rPr>
          <w:rFonts w:cs="Times New Roman"/>
          <w:szCs w:val="20"/>
          <w:lang w:val="pt-BR"/>
        </w:rPr>
        <w:t>; 17. Carlito Bastos Gonçalves</w:t>
      </w:r>
      <w:r w:rsidRPr="00470C7C">
        <w:rPr>
          <w:rStyle w:val="Refdenotaalpie"/>
          <w:lang w:val="pt-BR"/>
        </w:rPr>
        <w:footnoteReference w:id="279"/>
      </w:r>
      <w:r w:rsidRPr="00470C7C">
        <w:rPr>
          <w:szCs w:val="20"/>
          <w:lang w:val="pt-BR"/>
        </w:rPr>
        <w:t xml:space="preserve">; </w:t>
      </w:r>
      <w:r w:rsidRPr="00470C7C">
        <w:rPr>
          <w:rFonts w:cs="Times New Roman"/>
          <w:szCs w:val="20"/>
          <w:lang w:val="pt-BR"/>
        </w:rPr>
        <w:t>18. Carlos Alberto Silva Alves</w:t>
      </w:r>
      <w:r w:rsidRPr="00470C7C">
        <w:rPr>
          <w:rStyle w:val="Refdenotaalpie"/>
          <w:lang w:val="pt-BR"/>
        </w:rPr>
        <w:footnoteReference w:id="280"/>
      </w:r>
      <w:r w:rsidRPr="00470C7C">
        <w:rPr>
          <w:rFonts w:cs="Times New Roman"/>
          <w:szCs w:val="20"/>
          <w:lang w:val="pt-BR"/>
        </w:rPr>
        <w:t xml:space="preserve">; 19. Carlos André da </w:t>
      </w:r>
      <w:r w:rsidR="00D92C1E" w:rsidRPr="00470C7C">
        <w:rPr>
          <w:rFonts w:cs="Times New Roman"/>
          <w:szCs w:val="20"/>
          <w:lang w:val="pt-BR"/>
        </w:rPr>
        <w:t>Conceição</w:t>
      </w:r>
      <w:r w:rsidRPr="00470C7C">
        <w:rPr>
          <w:rFonts w:cs="Times New Roman"/>
          <w:szCs w:val="20"/>
          <w:lang w:val="pt-BR"/>
        </w:rPr>
        <w:t xml:space="preserve"> Pereira</w:t>
      </w:r>
      <w:r w:rsidRPr="00470C7C">
        <w:rPr>
          <w:rStyle w:val="Refdenotaalpie"/>
          <w:lang w:val="pt-BR"/>
        </w:rPr>
        <w:footnoteReference w:id="281"/>
      </w:r>
      <w:r w:rsidRPr="00470C7C">
        <w:rPr>
          <w:rFonts w:cs="Times New Roman"/>
          <w:szCs w:val="20"/>
          <w:lang w:val="pt-BR"/>
        </w:rPr>
        <w:t>; 20. Carlos Augusto Cunha</w:t>
      </w:r>
      <w:r w:rsidRPr="00470C7C">
        <w:rPr>
          <w:rStyle w:val="Refdenotaalpie"/>
          <w:lang w:val="pt-BR"/>
        </w:rPr>
        <w:footnoteReference w:id="282"/>
      </w:r>
      <w:r w:rsidRPr="00470C7C">
        <w:rPr>
          <w:rFonts w:cs="Times New Roman"/>
          <w:szCs w:val="20"/>
          <w:lang w:val="pt-BR"/>
        </w:rPr>
        <w:t>; 21. Carlos Ferreira Lopes</w:t>
      </w:r>
      <w:r w:rsidRPr="00470C7C">
        <w:rPr>
          <w:rStyle w:val="Refdenotaalpie"/>
          <w:lang w:val="pt-BR"/>
        </w:rPr>
        <w:footnoteReference w:id="283"/>
      </w:r>
      <w:r w:rsidRPr="00470C7C">
        <w:rPr>
          <w:rFonts w:cs="Times New Roman"/>
          <w:szCs w:val="20"/>
          <w:lang w:val="pt-BR"/>
        </w:rPr>
        <w:t xml:space="preserve">; 22. </w:t>
      </w:r>
      <w:proofErr w:type="spellStart"/>
      <w:r w:rsidRPr="00470C7C">
        <w:rPr>
          <w:rFonts w:cs="Times New Roman"/>
          <w:szCs w:val="20"/>
          <w:lang w:val="pt-BR"/>
        </w:rPr>
        <w:t>Edirceu</w:t>
      </w:r>
      <w:proofErr w:type="spellEnd"/>
      <w:r w:rsidRPr="00470C7C">
        <w:rPr>
          <w:rFonts w:cs="Times New Roman"/>
          <w:szCs w:val="20"/>
          <w:lang w:val="pt-BR"/>
        </w:rPr>
        <w:t xml:space="preserve"> Lima de Brito</w:t>
      </w:r>
      <w:r w:rsidRPr="00470C7C">
        <w:rPr>
          <w:rStyle w:val="Refdenotaalpie"/>
          <w:lang w:val="pt-BR"/>
        </w:rPr>
        <w:footnoteReference w:id="284"/>
      </w:r>
      <w:r w:rsidRPr="00470C7C">
        <w:rPr>
          <w:rFonts w:cs="Times New Roman"/>
          <w:szCs w:val="20"/>
          <w:lang w:val="pt-BR"/>
        </w:rPr>
        <w:t xml:space="preserve">; 23. </w:t>
      </w:r>
      <w:proofErr w:type="spellStart"/>
      <w:r w:rsidRPr="00470C7C">
        <w:rPr>
          <w:rFonts w:cs="Times New Roman"/>
          <w:szCs w:val="20"/>
          <w:lang w:val="pt-BR"/>
        </w:rPr>
        <w:t>Erimar</w:t>
      </w:r>
      <w:proofErr w:type="spellEnd"/>
      <w:r w:rsidRPr="00470C7C">
        <w:rPr>
          <w:rFonts w:cs="Times New Roman"/>
          <w:szCs w:val="20"/>
          <w:lang w:val="pt-BR"/>
        </w:rPr>
        <w:t xml:space="preserve"> Lima da Silva</w:t>
      </w:r>
      <w:r w:rsidRPr="00470C7C">
        <w:rPr>
          <w:rStyle w:val="Refdenotaalpie"/>
          <w:lang w:val="pt-BR"/>
        </w:rPr>
        <w:footnoteReference w:id="285"/>
      </w:r>
      <w:r w:rsidRPr="00470C7C">
        <w:rPr>
          <w:rFonts w:cs="Times New Roman"/>
          <w:szCs w:val="20"/>
          <w:lang w:val="pt-BR"/>
        </w:rPr>
        <w:t>; 24. Firmino da Silva</w:t>
      </w:r>
      <w:r w:rsidRPr="00470C7C">
        <w:rPr>
          <w:rStyle w:val="Refdenotaalpie"/>
          <w:lang w:val="pt-BR"/>
        </w:rPr>
        <w:footnoteReference w:id="286"/>
      </w:r>
      <w:r w:rsidRPr="00470C7C">
        <w:rPr>
          <w:rFonts w:cs="Times New Roman"/>
          <w:szCs w:val="20"/>
          <w:lang w:val="pt-BR"/>
        </w:rPr>
        <w:t xml:space="preserve">; 25. Francisco </w:t>
      </w:r>
      <w:r w:rsidR="00D60654" w:rsidRPr="00470C7C">
        <w:rPr>
          <w:rFonts w:cs="Times New Roman"/>
          <w:szCs w:val="20"/>
          <w:lang w:val="pt-BR"/>
        </w:rPr>
        <w:t xml:space="preserve">Antônio </w:t>
      </w:r>
      <w:r w:rsidRPr="00470C7C">
        <w:rPr>
          <w:rFonts w:cs="Times New Roman"/>
          <w:szCs w:val="20"/>
          <w:lang w:val="pt-BR"/>
        </w:rPr>
        <w:t>Oliveira Barbosa</w:t>
      </w:r>
      <w:r w:rsidRPr="00470C7C">
        <w:rPr>
          <w:rStyle w:val="Refdenotaalpie"/>
          <w:lang w:val="pt-BR"/>
        </w:rPr>
        <w:footnoteReference w:id="287"/>
      </w:r>
      <w:r w:rsidRPr="00470C7C">
        <w:rPr>
          <w:rFonts w:cs="Times New Roman"/>
          <w:szCs w:val="20"/>
          <w:lang w:val="pt-BR"/>
        </w:rPr>
        <w:t>; 26. Francisco da Silva</w:t>
      </w:r>
      <w:r w:rsidRPr="00470C7C">
        <w:rPr>
          <w:rStyle w:val="Refdenotaalpie"/>
          <w:lang w:val="pt-BR"/>
        </w:rPr>
        <w:footnoteReference w:id="288"/>
      </w:r>
      <w:r w:rsidRPr="00470C7C">
        <w:rPr>
          <w:rFonts w:cs="Times New Roman"/>
          <w:szCs w:val="20"/>
          <w:lang w:val="pt-BR"/>
        </w:rPr>
        <w:t xml:space="preserve">; 27. Francisco das Chagas </w:t>
      </w:r>
      <w:proofErr w:type="spellStart"/>
      <w:r w:rsidRPr="00470C7C">
        <w:rPr>
          <w:rFonts w:cs="Times New Roman"/>
          <w:szCs w:val="20"/>
          <w:lang w:val="pt-BR"/>
        </w:rPr>
        <w:t>Araujo</w:t>
      </w:r>
      <w:proofErr w:type="spellEnd"/>
      <w:r w:rsidRPr="00470C7C">
        <w:rPr>
          <w:rFonts w:cs="Times New Roman"/>
          <w:szCs w:val="20"/>
          <w:lang w:val="pt-BR"/>
        </w:rPr>
        <w:t xml:space="preserve"> Carvalho</w:t>
      </w:r>
      <w:r w:rsidRPr="00470C7C">
        <w:rPr>
          <w:rStyle w:val="Refdenotaalpie"/>
          <w:lang w:val="pt-BR"/>
        </w:rPr>
        <w:footnoteReference w:id="289"/>
      </w:r>
      <w:r w:rsidRPr="00470C7C">
        <w:rPr>
          <w:rFonts w:cs="Times New Roman"/>
          <w:szCs w:val="20"/>
          <w:lang w:val="pt-BR"/>
        </w:rPr>
        <w:t xml:space="preserve">; </w:t>
      </w:r>
      <w:r w:rsidRPr="00470C7C">
        <w:rPr>
          <w:szCs w:val="20"/>
          <w:lang w:val="pt-BR"/>
        </w:rPr>
        <w:t>28. Francisco das Chagas Bastos Souza</w:t>
      </w:r>
      <w:r w:rsidRPr="00470C7C">
        <w:rPr>
          <w:rStyle w:val="Refdenotaalpie"/>
          <w:lang w:val="pt-BR"/>
        </w:rPr>
        <w:footnoteReference w:id="290"/>
      </w:r>
      <w:r w:rsidRPr="00470C7C">
        <w:rPr>
          <w:szCs w:val="20"/>
          <w:lang w:val="pt-BR"/>
        </w:rPr>
        <w:t xml:space="preserve">; </w:t>
      </w:r>
      <w:r w:rsidRPr="00470C7C">
        <w:rPr>
          <w:rFonts w:cs="Times New Roman"/>
          <w:szCs w:val="20"/>
          <w:lang w:val="pt-BR"/>
        </w:rPr>
        <w:t>29. Francisco das Chagas Cardoso Carvalho</w:t>
      </w:r>
      <w:r w:rsidRPr="00470C7C">
        <w:rPr>
          <w:rStyle w:val="Refdenotaalpie"/>
          <w:lang w:val="pt-BR"/>
        </w:rPr>
        <w:footnoteReference w:id="291"/>
      </w:r>
      <w:r w:rsidRPr="00470C7C">
        <w:rPr>
          <w:rFonts w:cs="Times New Roman"/>
          <w:szCs w:val="20"/>
          <w:lang w:val="pt-BR"/>
        </w:rPr>
        <w:t>; 30. Francisco das Chagas Costa Rabelo</w:t>
      </w:r>
      <w:r w:rsidRPr="00470C7C">
        <w:rPr>
          <w:rStyle w:val="Refdenotaalpie"/>
          <w:lang w:val="pt-BR"/>
        </w:rPr>
        <w:footnoteReference w:id="292"/>
      </w:r>
      <w:r w:rsidRPr="00470C7C">
        <w:rPr>
          <w:rFonts w:cs="Times New Roman"/>
          <w:szCs w:val="20"/>
          <w:lang w:val="pt-BR"/>
        </w:rPr>
        <w:t>; 31. Francisco das Chagas da Silva Lira</w:t>
      </w:r>
      <w:r w:rsidRPr="00470C7C">
        <w:rPr>
          <w:rStyle w:val="Refdenotaalpie"/>
          <w:lang w:val="pt-BR"/>
        </w:rPr>
        <w:footnoteReference w:id="293"/>
      </w:r>
      <w:r w:rsidRPr="00470C7C">
        <w:rPr>
          <w:rFonts w:cs="Times New Roman"/>
          <w:szCs w:val="20"/>
          <w:lang w:val="pt-BR"/>
        </w:rPr>
        <w:t>; 32. Francisco Mariano da Silva</w:t>
      </w:r>
      <w:r w:rsidRPr="00470C7C">
        <w:rPr>
          <w:rStyle w:val="Refdenotaalpie"/>
          <w:lang w:val="pt-BR"/>
        </w:rPr>
        <w:footnoteReference w:id="294"/>
      </w:r>
      <w:r w:rsidRPr="00470C7C">
        <w:rPr>
          <w:rFonts w:cs="Times New Roman"/>
          <w:szCs w:val="20"/>
          <w:lang w:val="pt-BR"/>
        </w:rPr>
        <w:t>; 33. Francisco das Chagas Diogo</w:t>
      </w:r>
      <w:r w:rsidRPr="00470C7C">
        <w:rPr>
          <w:rStyle w:val="Refdenotaalpie"/>
          <w:lang w:val="pt-BR"/>
        </w:rPr>
        <w:footnoteReference w:id="295"/>
      </w:r>
      <w:r w:rsidRPr="00470C7C">
        <w:rPr>
          <w:rFonts w:cs="Times New Roman"/>
          <w:szCs w:val="20"/>
          <w:lang w:val="pt-BR"/>
        </w:rPr>
        <w:t>; 34. Francisco das Chagas Moreira Alves</w:t>
      </w:r>
      <w:r w:rsidRPr="00470C7C">
        <w:rPr>
          <w:rStyle w:val="Refdenotaalpie"/>
          <w:lang w:val="pt-BR"/>
        </w:rPr>
        <w:footnoteReference w:id="296"/>
      </w:r>
      <w:r w:rsidRPr="00470C7C">
        <w:rPr>
          <w:rFonts w:cs="Times New Roman"/>
          <w:szCs w:val="20"/>
          <w:lang w:val="pt-BR"/>
        </w:rPr>
        <w:t>; 35. Francisco das Chagas Rodrigues de Sousa</w:t>
      </w:r>
      <w:r w:rsidRPr="00470C7C">
        <w:rPr>
          <w:rStyle w:val="Refdenotaalpie"/>
          <w:lang w:val="pt-BR"/>
        </w:rPr>
        <w:footnoteReference w:id="297"/>
      </w:r>
      <w:r w:rsidRPr="00470C7C">
        <w:rPr>
          <w:rFonts w:cs="Times New Roman"/>
          <w:szCs w:val="20"/>
          <w:lang w:val="pt-BR"/>
        </w:rPr>
        <w:t>; 36. Francisco das Chagas Sousa Cardoso</w:t>
      </w:r>
      <w:r w:rsidRPr="00470C7C">
        <w:rPr>
          <w:rStyle w:val="Refdenotaalpie"/>
          <w:lang w:val="pt-BR"/>
        </w:rPr>
        <w:footnoteReference w:id="298"/>
      </w:r>
      <w:r w:rsidRPr="00470C7C">
        <w:rPr>
          <w:rFonts w:cs="Times New Roman"/>
          <w:szCs w:val="20"/>
          <w:lang w:val="pt-BR"/>
        </w:rPr>
        <w:t>; 37. Francisco de Assis Felix</w:t>
      </w:r>
      <w:r w:rsidRPr="00470C7C">
        <w:rPr>
          <w:rStyle w:val="Refdenotaalpie"/>
          <w:lang w:val="pt-BR"/>
        </w:rPr>
        <w:footnoteReference w:id="299"/>
      </w:r>
      <w:r w:rsidRPr="00470C7C">
        <w:rPr>
          <w:rFonts w:cs="Times New Roman"/>
          <w:szCs w:val="20"/>
          <w:lang w:val="pt-BR"/>
        </w:rPr>
        <w:t>; 38. Francisco de Assis Pereira da Silva</w:t>
      </w:r>
      <w:r w:rsidRPr="00470C7C">
        <w:rPr>
          <w:rStyle w:val="Refdenotaalpie"/>
          <w:lang w:val="pt-BR"/>
        </w:rPr>
        <w:footnoteReference w:id="300"/>
      </w:r>
      <w:r w:rsidRPr="00470C7C">
        <w:rPr>
          <w:rFonts w:cs="Times New Roman"/>
          <w:szCs w:val="20"/>
          <w:lang w:val="pt-BR"/>
        </w:rPr>
        <w:t xml:space="preserve">; 39. Francisco de Souza </w:t>
      </w:r>
      <w:proofErr w:type="spellStart"/>
      <w:r w:rsidRPr="00470C7C">
        <w:rPr>
          <w:rFonts w:cs="Times New Roman"/>
          <w:szCs w:val="20"/>
          <w:lang w:val="pt-BR"/>
        </w:rPr>
        <w:t>Brígido</w:t>
      </w:r>
      <w:proofErr w:type="spellEnd"/>
      <w:r w:rsidRPr="00470C7C">
        <w:rPr>
          <w:rStyle w:val="Refdenotaalpie"/>
          <w:lang w:val="pt-BR"/>
        </w:rPr>
        <w:footnoteReference w:id="301"/>
      </w:r>
      <w:r w:rsidRPr="00470C7C">
        <w:rPr>
          <w:rFonts w:cs="Times New Roman"/>
          <w:szCs w:val="20"/>
          <w:lang w:val="pt-BR"/>
        </w:rPr>
        <w:t>; 40. Francisco Ernesto de Melo</w:t>
      </w:r>
      <w:r w:rsidRPr="00470C7C">
        <w:rPr>
          <w:rStyle w:val="Refdenotaalpie"/>
          <w:lang w:val="pt-BR"/>
        </w:rPr>
        <w:footnoteReference w:id="302"/>
      </w:r>
      <w:r w:rsidRPr="00470C7C">
        <w:rPr>
          <w:rFonts w:cs="Times New Roman"/>
          <w:szCs w:val="20"/>
          <w:lang w:val="pt-BR"/>
        </w:rPr>
        <w:t>; 41. Francisco Fabiano Leandro</w:t>
      </w:r>
      <w:r w:rsidRPr="00470C7C">
        <w:rPr>
          <w:rStyle w:val="Refdenotaalpie"/>
          <w:lang w:val="pt-BR"/>
        </w:rPr>
        <w:footnoteReference w:id="303"/>
      </w:r>
      <w:r w:rsidRPr="00470C7C">
        <w:rPr>
          <w:rFonts w:cs="Times New Roman"/>
          <w:szCs w:val="20"/>
          <w:lang w:val="pt-BR"/>
        </w:rPr>
        <w:t>; 42. Francisco Ferreira da Silva</w:t>
      </w:r>
      <w:r w:rsidRPr="00470C7C">
        <w:rPr>
          <w:rStyle w:val="Refdenotaalpie"/>
          <w:lang w:val="pt-BR"/>
        </w:rPr>
        <w:footnoteReference w:id="304"/>
      </w:r>
      <w:r w:rsidRPr="00470C7C">
        <w:rPr>
          <w:szCs w:val="20"/>
          <w:lang w:val="pt-BR"/>
        </w:rPr>
        <w:t xml:space="preserve">; </w:t>
      </w:r>
      <w:r w:rsidRPr="00470C7C">
        <w:rPr>
          <w:rFonts w:cs="Times New Roman"/>
          <w:szCs w:val="20"/>
          <w:lang w:val="pt-BR"/>
        </w:rPr>
        <w:t>43. Francisco Ferreira da Silva Filho</w:t>
      </w:r>
      <w:r w:rsidRPr="00470C7C">
        <w:rPr>
          <w:rStyle w:val="Refdenotaalpie"/>
          <w:lang w:val="pt-BR"/>
        </w:rPr>
        <w:footnoteReference w:id="305"/>
      </w:r>
      <w:r w:rsidRPr="00470C7C">
        <w:rPr>
          <w:rFonts w:cs="Times New Roman"/>
          <w:szCs w:val="20"/>
          <w:lang w:val="pt-BR"/>
        </w:rPr>
        <w:t>; 44. Francisco José Furtado</w:t>
      </w:r>
      <w:r w:rsidRPr="00470C7C">
        <w:rPr>
          <w:rStyle w:val="Refdenotaalpie"/>
          <w:lang w:val="pt-BR"/>
        </w:rPr>
        <w:footnoteReference w:id="306"/>
      </w:r>
      <w:r w:rsidRPr="00470C7C">
        <w:rPr>
          <w:rFonts w:cs="Times New Roman"/>
          <w:szCs w:val="20"/>
          <w:lang w:val="pt-BR"/>
        </w:rPr>
        <w:t>; 45. Francisco Junior da Silva</w:t>
      </w:r>
      <w:r w:rsidRPr="00470C7C">
        <w:rPr>
          <w:rStyle w:val="Refdenotaalpie"/>
          <w:lang w:val="pt-BR"/>
        </w:rPr>
        <w:footnoteReference w:id="307"/>
      </w:r>
      <w:r w:rsidRPr="00470C7C">
        <w:rPr>
          <w:rFonts w:cs="Times New Roman"/>
          <w:szCs w:val="20"/>
          <w:lang w:val="pt-BR"/>
        </w:rPr>
        <w:t xml:space="preserve">; 46. Francisco </w:t>
      </w:r>
      <w:proofErr w:type="spellStart"/>
      <w:r w:rsidRPr="00470C7C">
        <w:rPr>
          <w:rFonts w:cs="Times New Roman"/>
          <w:szCs w:val="20"/>
          <w:lang w:val="pt-BR"/>
        </w:rPr>
        <w:t>Mirele</w:t>
      </w:r>
      <w:proofErr w:type="spellEnd"/>
      <w:r w:rsidRPr="00470C7C">
        <w:rPr>
          <w:rFonts w:cs="Times New Roman"/>
          <w:szCs w:val="20"/>
          <w:lang w:val="pt-BR"/>
        </w:rPr>
        <w:t xml:space="preserve"> Ribeiro da Silva</w:t>
      </w:r>
      <w:r w:rsidRPr="00470C7C">
        <w:rPr>
          <w:rStyle w:val="Refdenotaalpie"/>
          <w:lang w:val="pt-BR"/>
        </w:rPr>
        <w:footnoteReference w:id="308"/>
      </w:r>
      <w:r w:rsidRPr="00470C7C">
        <w:rPr>
          <w:rFonts w:cs="Times New Roman"/>
          <w:szCs w:val="20"/>
          <w:lang w:val="pt-BR"/>
        </w:rPr>
        <w:t xml:space="preserve">; </w:t>
      </w:r>
      <w:r w:rsidRPr="00470C7C">
        <w:rPr>
          <w:szCs w:val="20"/>
          <w:lang w:val="pt-BR"/>
        </w:rPr>
        <w:t>47. Francisco Pereira da Silva</w:t>
      </w:r>
      <w:r w:rsidRPr="00470C7C">
        <w:rPr>
          <w:rStyle w:val="Refdenotaalpie"/>
        </w:rPr>
        <w:footnoteReference w:id="309"/>
      </w:r>
      <w:r w:rsidRPr="00470C7C">
        <w:rPr>
          <w:szCs w:val="20"/>
          <w:lang w:val="pt-BR"/>
        </w:rPr>
        <w:t xml:space="preserve">; </w:t>
      </w:r>
      <w:r w:rsidRPr="00470C7C">
        <w:rPr>
          <w:rFonts w:cs="Times New Roman"/>
          <w:szCs w:val="20"/>
          <w:lang w:val="pt-BR"/>
        </w:rPr>
        <w:t>48. Francisco Soares da Silva</w:t>
      </w:r>
      <w:r w:rsidRPr="00470C7C">
        <w:rPr>
          <w:rStyle w:val="Refdenotaalpie"/>
          <w:lang w:val="pt-BR"/>
        </w:rPr>
        <w:footnoteReference w:id="310"/>
      </w:r>
      <w:r w:rsidRPr="00470C7C">
        <w:rPr>
          <w:rFonts w:cs="Times New Roman"/>
          <w:szCs w:val="20"/>
          <w:lang w:val="pt-BR"/>
        </w:rPr>
        <w:t>; 49. Francisco Teodoro Diogo</w:t>
      </w:r>
      <w:r w:rsidRPr="00470C7C">
        <w:rPr>
          <w:rStyle w:val="Refdenotaalpie"/>
          <w:lang w:val="pt-BR"/>
        </w:rPr>
        <w:footnoteReference w:id="311"/>
      </w:r>
      <w:r w:rsidRPr="00470C7C">
        <w:rPr>
          <w:rFonts w:cs="Times New Roman"/>
          <w:szCs w:val="20"/>
          <w:lang w:val="pt-BR"/>
        </w:rPr>
        <w:t>; 50. Geraldo Ferreira da Silva</w:t>
      </w:r>
      <w:r w:rsidRPr="00470C7C">
        <w:rPr>
          <w:rStyle w:val="Refdenotaalpie"/>
          <w:lang w:val="pt-BR"/>
        </w:rPr>
        <w:footnoteReference w:id="312"/>
      </w:r>
      <w:r w:rsidRPr="00470C7C">
        <w:rPr>
          <w:rFonts w:cs="Times New Roman"/>
          <w:szCs w:val="20"/>
          <w:lang w:val="pt-BR"/>
        </w:rPr>
        <w:t>; 51. Gonçalo Constâncio da Silva</w:t>
      </w:r>
      <w:r w:rsidRPr="00470C7C">
        <w:rPr>
          <w:rStyle w:val="Refdenotaalpie"/>
          <w:lang w:val="pt-BR"/>
        </w:rPr>
        <w:footnoteReference w:id="313"/>
      </w:r>
      <w:r w:rsidRPr="00470C7C">
        <w:rPr>
          <w:rFonts w:cs="Times New Roman"/>
          <w:szCs w:val="20"/>
          <w:lang w:val="pt-BR"/>
        </w:rPr>
        <w:t>; 52. Gonçalo Firmino de Sousa</w:t>
      </w:r>
      <w:r w:rsidRPr="00470C7C">
        <w:rPr>
          <w:rStyle w:val="Refdenotaalpie"/>
          <w:lang w:val="pt-BR"/>
        </w:rPr>
        <w:footnoteReference w:id="314"/>
      </w:r>
      <w:r w:rsidRPr="00470C7C">
        <w:rPr>
          <w:rFonts w:cs="Times New Roman"/>
          <w:szCs w:val="20"/>
          <w:lang w:val="pt-BR"/>
        </w:rPr>
        <w:t>; 53. Gonçalo José Gomes</w:t>
      </w:r>
      <w:r w:rsidRPr="00470C7C">
        <w:rPr>
          <w:rStyle w:val="Refdenotaalpie"/>
          <w:lang w:val="pt-BR"/>
        </w:rPr>
        <w:footnoteReference w:id="315"/>
      </w:r>
      <w:r w:rsidRPr="00470C7C">
        <w:rPr>
          <w:rFonts w:cs="Times New Roman"/>
          <w:szCs w:val="20"/>
          <w:lang w:val="pt-BR"/>
        </w:rPr>
        <w:t xml:space="preserve">; 54. </w:t>
      </w:r>
      <w:r w:rsidR="00AB6218" w:rsidRPr="00470C7C">
        <w:rPr>
          <w:rFonts w:cs="Times New Roman"/>
          <w:szCs w:val="20"/>
          <w:lang w:val="pt-BR"/>
        </w:rPr>
        <w:t>José Francisco Furtado de Sousa</w:t>
      </w:r>
      <w:r w:rsidR="00AB6218" w:rsidRPr="00470C7C">
        <w:rPr>
          <w:rStyle w:val="Refdenotaalpie"/>
          <w:lang w:val="pt-BR"/>
        </w:rPr>
        <w:t xml:space="preserve"> </w:t>
      </w:r>
      <w:r w:rsidRPr="00470C7C">
        <w:rPr>
          <w:rStyle w:val="Refdenotaalpie"/>
          <w:lang w:val="pt-BR"/>
        </w:rPr>
        <w:footnoteReference w:id="316"/>
      </w:r>
      <w:r w:rsidR="00653E8C" w:rsidRPr="00470C7C">
        <w:rPr>
          <w:rFonts w:cs="Times New Roman"/>
          <w:szCs w:val="20"/>
          <w:lang w:val="pt-BR"/>
        </w:rPr>
        <w:t xml:space="preserve">; 55. </w:t>
      </w:r>
      <w:proofErr w:type="spellStart"/>
      <w:r w:rsidR="00653E8C" w:rsidRPr="00470C7C">
        <w:rPr>
          <w:rFonts w:cs="Times New Roman"/>
          <w:szCs w:val="20"/>
          <w:lang w:val="pt-BR"/>
        </w:rPr>
        <w:t>J</w:t>
      </w:r>
      <w:r w:rsidRPr="00470C7C">
        <w:rPr>
          <w:rFonts w:cs="Times New Roman"/>
          <w:szCs w:val="20"/>
          <w:lang w:val="pt-BR"/>
        </w:rPr>
        <w:t>enival</w:t>
      </w:r>
      <w:proofErr w:type="spellEnd"/>
      <w:r w:rsidRPr="00470C7C">
        <w:rPr>
          <w:rFonts w:cs="Times New Roman"/>
          <w:szCs w:val="20"/>
          <w:lang w:val="pt-BR"/>
        </w:rPr>
        <w:t xml:space="preserve"> Lopes</w:t>
      </w:r>
      <w:r w:rsidRPr="00470C7C">
        <w:rPr>
          <w:rStyle w:val="Refdenotaalpie"/>
          <w:lang w:val="pt-BR"/>
        </w:rPr>
        <w:footnoteReference w:id="317"/>
      </w:r>
      <w:r w:rsidRPr="00470C7C">
        <w:rPr>
          <w:rFonts w:cs="Times New Roman"/>
          <w:szCs w:val="20"/>
          <w:lang w:val="pt-BR"/>
        </w:rPr>
        <w:t>; 56. João Diogo Pereira Filho</w:t>
      </w:r>
      <w:r w:rsidRPr="00470C7C">
        <w:rPr>
          <w:rStyle w:val="Refdenotaalpie"/>
          <w:lang w:val="pt-BR"/>
        </w:rPr>
        <w:footnoteReference w:id="318"/>
      </w:r>
      <w:r w:rsidRPr="00470C7C">
        <w:rPr>
          <w:rFonts w:cs="Times New Roman"/>
          <w:szCs w:val="20"/>
          <w:lang w:val="pt-BR"/>
        </w:rPr>
        <w:t>; 57. José Cordeiro Ramos</w:t>
      </w:r>
      <w:r w:rsidRPr="00470C7C">
        <w:rPr>
          <w:rStyle w:val="Refdenotaalpie"/>
          <w:lang w:val="pt-BR"/>
        </w:rPr>
        <w:footnoteReference w:id="319"/>
      </w:r>
      <w:r w:rsidRPr="00470C7C">
        <w:rPr>
          <w:rFonts w:cs="Times New Roman"/>
          <w:szCs w:val="20"/>
          <w:lang w:val="pt-BR"/>
        </w:rPr>
        <w:t>; 58. José de Deus de Jesus Sousa</w:t>
      </w:r>
      <w:r w:rsidRPr="00470C7C">
        <w:rPr>
          <w:rStyle w:val="Refdenotaalpie"/>
          <w:lang w:val="pt-BR"/>
        </w:rPr>
        <w:footnoteReference w:id="320"/>
      </w:r>
      <w:r w:rsidRPr="00470C7C">
        <w:rPr>
          <w:rFonts w:cs="Times New Roman"/>
          <w:szCs w:val="20"/>
          <w:lang w:val="pt-BR"/>
        </w:rPr>
        <w:t>; 59. José de Ribamar Souza</w:t>
      </w:r>
      <w:r w:rsidRPr="00470C7C">
        <w:rPr>
          <w:rStyle w:val="Refdenotaalpie"/>
          <w:lang w:val="pt-BR"/>
        </w:rPr>
        <w:footnoteReference w:id="321"/>
      </w:r>
      <w:r w:rsidRPr="00470C7C">
        <w:rPr>
          <w:rFonts w:cs="Times New Roman"/>
          <w:szCs w:val="20"/>
          <w:lang w:val="pt-BR"/>
        </w:rPr>
        <w:t>; 60. José do Egito Santos</w:t>
      </w:r>
      <w:r w:rsidRPr="00470C7C">
        <w:rPr>
          <w:rStyle w:val="Refdenotaalpie"/>
          <w:lang w:val="pt-BR"/>
        </w:rPr>
        <w:footnoteReference w:id="322"/>
      </w:r>
      <w:r w:rsidRPr="00470C7C">
        <w:rPr>
          <w:rFonts w:cs="Times New Roman"/>
          <w:szCs w:val="20"/>
          <w:lang w:val="pt-BR"/>
        </w:rPr>
        <w:t>; 61. José Gomes</w:t>
      </w:r>
      <w:r w:rsidRPr="00470C7C">
        <w:rPr>
          <w:rStyle w:val="Refdenotaalpie"/>
          <w:lang w:val="pt-BR"/>
        </w:rPr>
        <w:footnoteReference w:id="323"/>
      </w:r>
      <w:r w:rsidRPr="00470C7C">
        <w:rPr>
          <w:rFonts w:cs="Times New Roman"/>
          <w:szCs w:val="20"/>
          <w:lang w:val="pt-BR"/>
        </w:rPr>
        <w:t>; 62. José Leandro da Silva</w:t>
      </w:r>
      <w:r w:rsidRPr="00470C7C">
        <w:rPr>
          <w:rStyle w:val="Refdenotaalpie"/>
          <w:lang w:val="pt-BR"/>
        </w:rPr>
        <w:footnoteReference w:id="324"/>
      </w:r>
      <w:r w:rsidRPr="00470C7C">
        <w:rPr>
          <w:rFonts w:cs="Times New Roman"/>
          <w:szCs w:val="20"/>
          <w:lang w:val="pt-BR"/>
        </w:rPr>
        <w:t xml:space="preserve">; </w:t>
      </w:r>
      <w:r w:rsidRPr="00470C7C">
        <w:rPr>
          <w:szCs w:val="20"/>
          <w:lang w:val="pt-BR"/>
        </w:rPr>
        <w:t>63. José Renato do Nascimento Costa</w:t>
      </w:r>
      <w:r w:rsidRPr="00470C7C">
        <w:rPr>
          <w:rStyle w:val="Refdenotaalpie"/>
          <w:lang w:val="pt-BR"/>
        </w:rPr>
        <w:footnoteReference w:id="325"/>
      </w:r>
      <w:r w:rsidRPr="00470C7C">
        <w:rPr>
          <w:szCs w:val="20"/>
          <w:lang w:val="pt-BR"/>
        </w:rPr>
        <w:t xml:space="preserve">; </w:t>
      </w:r>
      <w:r w:rsidRPr="00470C7C">
        <w:rPr>
          <w:rFonts w:cs="Times New Roman"/>
          <w:szCs w:val="20"/>
          <w:lang w:val="pt-BR"/>
        </w:rPr>
        <w:t xml:space="preserve">64. </w:t>
      </w:r>
      <w:proofErr w:type="spellStart"/>
      <w:r w:rsidRPr="00470C7C">
        <w:rPr>
          <w:rFonts w:cs="Times New Roman"/>
          <w:szCs w:val="20"/>
          <w:lang w:val="pt-BR"/>
        </w:rPr>
        <w:t>Juni</w:t>
      </w:r>
      <w:proofErr w:type="spellEnd"/>
      <w:r w:rsidRPr="00470C7C">
        <w:rPr>
          <w:rFonts w:cs="Times New Roman"/>
          <w:szCs w:val="20"/>
          <w:lang w:val="pt-BR"/>
        </w:rPr>
        <w:t xml:space="preserve"> Carlos da Silva</w:t>
      </w:r>
      <w:r w:rsidRPr="00470C7C">
        <w:rPr>
          <w:rStyle w:val="Refdenotaalpie"/>
        </w:rPr>
        <w:footnoteReference w:id="326"/>
      </w:r>
      <w:r w:rsidRPr="00470C7C">
        <w:rPr>
          <w:rFonts w:cs="Times New Roman"/>
          <w:szCs w:val="20"/>
          <w:lang w:val="pt-BR"/>
        </w:rPr>
        <w:t>; 65. Lourival da Silva Santos</w:t>
      </w:r>
      <w:r w:rsidRPr="00470C7C">
        <w:rPr>
          <w:rStyle w:val="Refdenotaalpie"/>
        </w:rPr>
        <w:footnoteReference w:id="327"/>
      </w:r>
      <w:r w:rsidRPr="00470C7C">
        <w:rPr>
          <w:rFonts w:cs="Times New Roman"/>
          <w:szCs w:val="20"/>
          <w:lang w:val="pt-BR"/>
        </w:rPr>
        <w:t xml:space="preserve">; </w:t>
      </w:r>
      <w:r w:rsidRPr="00470C7C">
        <w:rPr>
          <w:szCs w:val="20"/>
          <w:lang w:val="pt-BR"/>
        </w:rPr>
        <w:t xml:space="preserve">66. </w:t>
      </w:r>
      <w:proofErr w:type="spellStart"/>
      <w:r w:rsidRPr="00470C7C">
        <w:rPr>
          <w:szCs w:val="20"/>
          <w:lang w:val="pt-BR"/>
        </w:rPr>
        <w:t>Luis</w:t>
      </w:r>
      <w:proofErr w:type="spellEnd"/>
      <w:r w:rsidRPr="00470C7C">
        <w:rPr>
          <w:szCs w:val="20"/>
          <w:lang w:val="pt-BR"/>
        </w:rPr>
        <w:t xml:space="preserve"> Carlos da Silva Santos</w:t>
      </w:r>
      <w:r w:rsidRPr="00470C7C">
        <w:rPr>
          <w:rStyle w:val="Refdenotaalpie"/>
          <w:lang w:val="pt-BR"/>
        </w:rPr>
        <w:footnoteReference w:id="328"/>
      </w:r>
      <w:r w:rsidRPr="00470C7C">
        <w:rPr>
          <w:szCs w:val="20"/>
          <w:lang w:val="pt-BR"/>
        </w:rPr>
        <w:t xml:space="preserve">; </w:t>
      </w:r>
      <w:r w:rsidRPr="00470C7C">
        <w:rPr>
          <w:rFonts w:cs="Times New Roman"/>
          <w:szCs w:val="20"/>
          <w:lang w:val="pt-BR"/>
        </w:rPr>
        <w:t>67. Luiz Gonzaga Silva Pires</w:t>
      </w:r>
      <w:r w:rsidRPr="00470C7C">
        <w:rPr>
          <w:rStyle w:val="Refdenotaalpie"/>
        </w:rPr>
        <w:footnoteReference w:id="329"/>
      </w:r>
      <w:r w:rsidRPr="00470C7C">
        <w:rPr>
          <w:rFonts w:cs="Times New Roman"/>
          <w:szCs w:val="20"/>
          <w:lang w:val="pt-BR"/>
        </w:rPr>
        <w:t xml:space="preserve">; 68. Luiz </w:t>
      </w:r>
      <w:proofErr w:type="spellStart"/>
      <w:r w:rsidRPr="00470C7C">
        <w:rPr>
          <w:rFonts w:cs="Times New Roman"/>
          <w:szCs w:val="20"/>
          <w:lang w:val="pt-BR"/>
        </w:rPr>
        <w:t>Sicinato</w:t>
      </w:r>
      <w:proofErr w:type="spellEnd"/>
      <w:r w:rsidRPr="00470C7C">
        <w:rPr>
          <w:rFonts w:cs="Times New Roman"/>
          <w:szCs w:val="20"/>
          <w:lang w:val="pt-BR"/>
        </w:rPr>
        <w:t xml:space="preserve"> de Menezes</w:t>
      </w:r>
      <w:r w:rsidRPr="00470C7C">
        <w:rPr>
          <w:rStyle w:val="Refdenotaalpie"/>
        </w:rPr>
        <w:footnoteReference w:id="330"/>
      </w:r>
      <w:r w:rsidRPr="00470C7C">
        <w:rPr>
          <w:rFonts w:cs="Times New Roman"/>
          <w:szCs w:val="20"/>
          <w:lang w:val="pt-BR"/>
        </w:rPr>
        <w:t xml:space="preserve">; </w:t>
      </w:r>
      <w:r w:rsidRPr="00470C7C">
        <w:rPr>
          <w:szCs w:val="20"/>
          <w:lang w:val="pt-BR"/>
        </w:rPr>
        <w:t>69. Manoel do Nascimento</w:t>
      </w:r>
      <w:r w:rsidRPr="00470C7C">
        <w:rPr>
          <w:rStyle w:val="Refdenotaalpie"/>
        </w:rPr>
        <w:footnoteReference w:id="331"/>
      </w:r>
      <w:r w:rsidRPr="00470C7C">
        <w:rPr>
          <w:szCs w:val="20"/>
          <w:lang w:val="pt-BR"/>
        </w:rPr>
        <w:t>; 70</w:t>
      </w:r>
      <w:r w:rsidRPr="00470C7C">
        <w:rPr>
          <w:rFonts w:cs="Times New Roman"/>
          <w:szCs w:val="20"/>
          <w:lang w:val="pt-BR"/>
        </w:rPr>
        <w:t>. Manoel do Nascimento da Silva</w:t>
      </w:r>
      <w:r w:rsidRPr="00470C7C">
        <w:rPr>
          <w:rStyle w:val="Refdenotaalpie"/>
          <w:lang w:val="pt-BR"/>
        </w:rPr>
        <w:footnoteReference w:id="332"/>
      </w:r>
      <w:r w:rsidRPr="00470C7C">
        <w:rPr>
          <w:rFonts w:cs="Times New Roman"/>
          <w:szCs w:val="20"/>
          <w:lang w:val="pt-BR"/>
        </w:rPr>
        <w:t>; 71. Manoel Pinheiro Brito</w:t>
      </w:r>
      <w:r w:rsidRPr="00470C7C">
        <w:rPr>
          <w:rStyle w:val="Refdenotaalpie"/>
        </w:rPr>
        <w:footnoteReference w:id="333"/>
      </w:r>
      <w:r w:rsidRPr="00470C7C">
        <w:rPr>
          <w:rFonts w:cs="Times New Roman"/>
          <w:szCs w:val="20"/>
          <w:lang w:val="pt-BR"/>
        </w:rPr>
        <w:t xml:space="preserve">; </w:t>
      </w:r>
      <w:r w:rsidRPr="00470C7C">
        <w:rPr>
          <w:szCs w:val="20"/>
          <w:lang w:val="pt-BR"/>
        </w:rPr>
        <w:t>72. Marcio F</w:t>
      </w:r>
      <w:r w:rsidR="005200F8" w:rsidRPr="00470C7C">
        <w:rPr>
          <w:szCs w:val="20"/>
          <w:lang w:val="pt-BR"/>
        </w:rPr>
        <w:t>ran</w:t>
      </w:r>
      <w:r w:rsidRPr="00470C7C">
        <w:rPr>
          <w:szCs w:val="20"/>
          <w:lang w:val="pt-BR"/>
        </w:rPr>
        <w:t>ça da Costa Silva</w:t>
      </w:r>
      <w:r w:rsidRPr="00470C7C">
        <w:rPr>
          <w:rStyle w:val="Refdenotaalpie"/>
          <w:lang w:val="pt-BR"/>
        </w:rPr>
        <w:footnoteReference w:id="334"/>
      </w:r>
      <w:r w:rsidRPr="00470C7C">
        <w:rPr>
          <w:szCs w:val="20"/>
          <w:lang w:val="pt-BR"/>
        </w:rPr>
        <w:t xml:space="preserve">; </w:t>
      </w:r>
      <w:r w:rsidR="002A2605" w:rsidRPr="00470C7C">
        <w:rPr>
          <w:rFonts w:cs="Times New Roman"/>
          <w:szCs w:val="20"/>
          <w:lang w:val="pt-BR"/>
        </w:rPr>
        <w:t xml:space="preserve">73. Marcos </w:t>
      </w:r>
      <w:r w:rsidR="00D60654" w:rsidRPr="00470C7C">
        <w:rPr>
          <w:rFonts w:cs="Times New Roman"/>
          <w:szCs w:val="20"/>
          <w:lang w:val="pt-BR"/>
        </w:rPr>
        <w:t xml:space="preserve">Antônio </w:t>
      </w:r>
      <w:r w:rsidRPr="00470C7C">
        <w:rPr>
          <w:rFonts w:cs="Times New Roman"/>
          <w:szCs w:val="20"/>
          <w:lang w:val="pt-BR"/>
        </w:rPr>
        <w:t>Lima</w:t>
      </w:r>
      <w:r w:rsidRPr="00470C7C">
        <w:rPr>
          <w:rStyle w:val="Refdenotaalpie"/>
        </w:rPr>
        <w:footnoteReference w:id="335"/>
      </w:r>
      <w:r w:rsidRPr="00470C7C">
        <w:rPr>
          <w:rFonts w:cs="Times New Roman"/>
          <w:szCs w:val="20"/>
          <w:lang w:val="pt-BR"/>
        </w:rPr>
        <w:t>; 74. Paulo Pereira dos Santos</w:t>
      </w:r>
      <w:r w:rsidRPr="00470C7C">
        <w:rPr>
          <w:rStyle w:val="Refdenotaalpie"/>
          <w:lang w:val="pt-BR"/>
        </w:rPr>
        <w:footnoteReference w:id="336"/>
      </w:r>
      <w:r w:rsidRPr="00470C7C">
        <w:rPr>
          <w:rFonts w:cs="Times New Roman"/>
          <w:szCs w:val="20"/>
          <w:lang w:val="pt-BR"/>
        </w:rPr>
        <w:t xml:space="preserve">; </w:t>
      </w:r>
      <w:r w:rsidRPr="00470C7C">
        <w:rPr>
          <w:szCs w:val="20"/>
          <w:lang w:val="pt-BR"/>
        </w:rPr>
        <w:t>75. Pedro Fernandes da Silva</w:t>
      </w:r>
      <w:r w:rsidRPr="00470C7C">
        <w:rPr>
          <w:rStyle w:val="Refdenotaalpie"/>
          <w:lang w:val="pt-BR"/>
        </w:rPr>
        <w:footnoteReference w:id="337"/>
      </w:r>
      <w:r w:rsidRPr="00470C7C">
        <w:rPr>
          <w:szCs w:val="20"/>
          <w:lang w:val="pt-BR"/>
        </w:rPr>
        <w:t xml:space="preserve">; </w:t>
      </w:r>
      <w:r w:rsidRPr="00470C7C">
        <w:rPr>
          <w:rFonts w:cs="Times New Roman"/>
          <w:szCs w:val="20"/>
          <w:lang w:val="pt-BR"/>
        </w:rPr>
        <w:t>76. Raimundo Cardoso Mac</w:t>
      </w:r>
      <w:r w:rsidR="002A2605" w:rsidRPr="00470C7C">
        <w:rPr>
          <w:rFonts w:cs="Times New Roman"/>
          <w:szCs w:val="20"/>
          <w:lang w:val="pt-BR"/>
        </w:rPr>
        <w:t>ê</w:t>
      </w:r>
      <w:r w:rsidRPr="00470C7C">
        <w:rPr>
          <w:rFonts w:cs="Times New Roman"/>
          <w:szCs w:val="20"/>
          <w:lang w:val="pt-BR"/>
        </w:rPr>
        <w:t>do</w:t>
      </w:r>
      <w:r w:rsidRPr="00470C7C">
        <w:rPr>
          <w:rStyle w:val="Refdenotaalpie"/>
        </w:rPr>
        <w:footnoteReference w:id="338"/>
      </w:r>
      <w:r w:rsidRPr="00470C7C">
        <w:rPr>
          <w:rFonts w:cs="Times New Roman"/>
          <w:szCs w:val="20"/>
          <w:lang w:val="pt-BR"/>
        </w:rPr>
        <w:t>; 77. Raimundo de Andrade</w:t>
      </w:r>
      <w:r w:rsidRPr="00470C7C">
        <w:rPr>
          <w:rStyle w:val="Refdenotaalpie"/>
          <w:lang w:val="pt-BR"/>
        </w:rPr>
        <w:footnoteReference w:id="339"/>
      </w:r>
      <w:r w:rsidRPr="00470C7C">
        <w:rPr>
          <w:rFonts w:cs="Times New Roman"/>
          <w:szCs w:val="20"/>
          <w:lang w:val="pt-BR"/>
        </w:rPr>
        <w:t xml:space="preserve">; </w:t>
      </w:r>
      <w:r w:rsidRPr="00470C7C">
        <w:rPr>
          <w:szCs w:val="20"/>
          <w:lang w:val="pt-BR"/>
        </w:rPr>
        <w:t>78. Raimundo de Sousa Leandro</w:t>
      </w:r>
      <w:r w:rsidRPr="00470C7C">
        <w:rPr>
          <w:rStyle w:val="Refdenotaalpie"/>
          <w:lang w:val="pt-BR"/>
        </w:rPr>
        <w:footnoteReference w:id="340"/>
      </w:r>
      <w:r w:rsidRPr="00470C7C">
        <w:rPr>
          <w:szCs w:val="20"/>
          <w:lang w:val="pt-BR"/>
        </w:rPr>
        <w:t xml:space="preserve">; </w:t>
      </w:r>
      <w:r w:rsidRPr="00470C7C">
        <w:rPr>
          <w:rFonts w:cs="Times New Roman"/>
          <w:szCs w:val="20"/>
          <w:lang w:val="pt-BR"/>
        </w:rPr>
        <w:t>79. Raimundo Nonato da Silva</w:t>
      </w:r>
      <w:r w:rsidRPr="00470C7C">
        <w:rPr>
          <w:rStyle w:val="Refdenotaalpie"/>
          <w:lang w:val="pt-BR"/>
        </w:rPr>
        <w:footnoteReference w:id="341"/>
      </w:r>
      <w:r w:rsidRPr="00470C7C">
        <w:rPr>
          <w:rFonts w:cs="Times New Roman"/>
          <w:szCs w:val="20"/>
          <w:lang w:val="pt-BR"/>
        </w:rPr>
        <w:t>; 80. Roberto Alves Nascimento</w:t>
      </w:r>
      <w:r w:rsidRPr="00470C7C">
        <w:rPr>
          <w:rStyle w:val="Refdenotaalpie"/>
        </w:rPr>
        <w:footnoteReference w:id="342"/>
      </w:r>
      <w:r w:rsidRPr="00470C7C">
        <w:rPr>
          <w:rFonts w:cs="Times New Roman"/>
          <w:szCs w:val="20"/>
          <w:lang w:val="pt-BR"/>
        </w:rPr>
        <w:t xml:space="preserve">; </w:t>
      </w:r>
      <w:r w:rsidRPr="00470C7C">
        <w:rPr>
          <w:szCs w:val="20"/>
          <w:lang w:val="pt-BR"/>
        </w:rPr>
        <w:t xml:space="preserve">81. </w:t>
      </w:r>
      <w:r w:rsidR="00D92C1E" w:rsidRPr="00470C7C">
        <w:rPr>
          <w:szCs w:val="20"/>
          <w:lang w:val="pt-BR"/>
        </w:rPr>
        <w:t>Rogerio</w:t>
      </w:r>
      <w:r w:rsidRPr="00470C7C">
        <w:rPr>
          <w:szCs w:val="20"/>
          <w:lang w:val="pt-BR"/>
        </w:rPr>
        <w:t xml:space="preserve"> Felix Silva</w:t>
      </w:r>
      <w:r w:rsidRPr="00470C7C">
        <w:rPr>
          <w:rStyle w:val="Refdenotaalpie"/>
        </w:rPr>
        <w:footnoteReference w:id="343"/>
      </w:r>
      <w:r w:rsidRPr="00470C7C">
        <w:rPr>
          <w:szCs w:val="20"/>
          <w:lang w:val="pt-BR"/>
        </w:rPr>
        <w:t xml:space="preserve">; </w:t>
      </w:r>
      <w:r w:rsidRPr="00470C7C">
        <w:rPr>
          <w:rFonts w:cs="Times New Roman"/>
          <w:szCs w:val="20"/>
          <w:lang w:val="pt-BR"/>
        </w:rPr>
        <w:t>82. Sebastião Pereira de Sousa Neto</w:t>
      </w:r>
      <w:r w:rsidRPr="00470C7C">
        <w:rPr>
          <w:rStyle w:val="Refdenotaalpie"/>
          <w:lang w:val="pt-BR"/>
        </w:rPr>
        <w:footnoteReference w:id="344"/>
      </w:r>
      <w:r w:rsidRPr="00470C7C">
        <w:rPr>
          <w:rFonts w:cs="Times New Roman"/>
          <w:szCs w:val="20"/>
          <w:lang w:val="pt-BR"/>
        </w:rPr>
        <w:t>; 83. Silvestre Moreira de Castro Filho</w:t>
      </w:r>
      <w:r w:rsidRPr="00470C7C">
        <w:rPr>
          <w:rStyle w:val="Refdenotaalpie"/>
          <w:lang w:val="pt-BR"/>
        </w:rPr>
        <w:footnoteReference w:id="345"/>
      </w:r>
      <w:r w:rsidRPr="00470C7C">
        <w:rPr>
          <w:rFonts w:cs="Times New Roman"/>
          <w:szCs w:val="20"/>
          <w:lang w:val="pt-BR"/>
        </w:rPr>
        <w:t xml:space="preserve">; </w:t>
      </w:r>
      <w:r w:rsidRPr="00470C7C">
        <w:rPr>
          <w:szCs w:val="20"/>
          <w:lang w:val="pt-BR"/>
        </w:rPr>
        <w:t>84. Valdir Gonçalves da Silva</w:t>
      </w:r>
      <w:r w:rsidRPr="00470C7C">
        <w:rPr>
          <w:rStyle w:val="Refdenotaalpie"/>
        </w:rPr>
        <w:footnoteReference w:id="346"/>
      </w:r>
      <w:r w:rsidRPr="00470C7C">
        <w:rPr>
          <w:szCs w:val="20"/>
          <w:lang w:val="pt-BR"/>
        </w:rPr>
        <w:t>, y 85. Vicentina Maria da Conceição</w:t>
      </w:r>
      <w:r w:rsidRPr="00470C7C">
        <w:rPr>
          <w:rStyle w:val="Refdenotaalpie"/>
        </w:rPr>
        <w:footnoteReference w:id="347"/>
      </w:r>
      <w:r w:rsidRPr="00470C7C">
        <w:rPr>
          <w:szCs w:val="20"/>
          <w:lang w:val="pt-BR"/>
        </w:rPr>
        <w:t>.</w:t>
      </w:r>
      <w:bookmarkEnd w:id="340"/>
    </w:p>
    <w:p w14:paraId="0B999710" w14:textId="77777777" w:rsidR="002246F9" w:rsidRPr="00470C7C" w:rsidRDefault="002246F9" w:rsidP="002246F9">
      <w:pPr>
        <w:pStyle w:val="Prrafodelista"/>
        <w:autoSpaceDE w:val="0"/>
        <w:autoSpaceDN w:val="0"/>
        <w:adjustRightInd w:val="0"/>
        <w:ind w:left="0"/>
        <w:rPr>
          <w:szCs w:val="20"/>
          <w:lang w:val="es-ES"/>
        </w:rPr>
      </w:pPr>
    </w:p>
    <w:p w14:paraId="1E44F8A3" w14:textId="7674ED78" w:rsidR="002246F9" w:rsidRPr="00470C7C" w:rsidRDefault="002246F9" w:rsidP="002246F9">
      <w:pPr>
        <w:pStyle w:val="Prrafodelista"/>
        <w:numPr>
          <w:ilvl w:val="0"/>
          <w:numId w:val="1"/>
        </w:numPr>
        <w:autoSpaceDE w:val="0"/>
        <w:autoSpaceDN w:val="0"/>
        <w:adjustRightInd w:val="0"/>
        <w:rPr>
          <w:szCs w:val="20"/>
          <w:lang w:val="es-ES"/>
        </w:rPr>
      </w:pPr>
      <w:r w:rsidRPr="00470C7C">
        <w:rPr>
          <w:szCs w:val="20"/>
          <w:lang w:val="es-ES"/>
        </w:rPr>
        <w:t xml:space="preserve">De conformidad con lo anterior, la Corte considerará como presuntas víctimas a las personas indicadas en los párrafos </w:t>
      </w:r>
      <w:r w:rsidR="00FF5DA8" w:rsidRPr="00470C7C">
        <w:rPr>
          <w:szCs w:val="20"/>
          <w:lang w:val="es-ES"/>
        </w:rPr>
        <w:fldChar w:fldCharType="begin"/>
      </w:r>
      <w:r w:rsidR="00C5411E" w:rsidRPr="00470C7C">
        <w:rPr>
          <w:szCs w:val="20"/>
          <w:lang w:val="es-ES"/>
        </w:rPr>
        <w:instrText xml:space="preserve"> REF _Ref460939590 \r \h </w:instrText>
      </w:r>
      <w:r w:rsidR="003B7B4E" w:rsidRPr="00470C7C">
        <w:rPr>
          <w:szCs w:val="20"/>
          <w:lang w:val="es-ES"/>
        </w:rPr>
        <w:instrText xml:space="preserve"> \* MERGEFORMAT </w:instrText>
      </w:r>
      <w:r w:rsidR="00FF5DA8" w:rsidRPr="00470C7C">
        <w:rPr>
          <w:szCs w:val="20"/>
          <w:lang w:val="es-ES"/>
        </w:rPr>
      </w:r>
      <w:r w:rsidR="00FF5DA8" w:rsidRPr="00470C7C">
        <w:rPr>
          <w:szCs w:val="20"/>
          <w:lang w:val="es-ES"/>
        </w:rPr>
        <w:fldChar w:fldCharType="separate"/>
      </w:r>
      <w:r w:rsidR="00BD5C22">
        <w:rPr>
          <w:szCs w:val="20"/>
          <w:lang w:val="es-ES"/>
        </w:rPr>
        <w:t>199</w:t>
      </w:r>
      <w:r w:rsidR="00FF5DA8" w:rsidRPr="00470C7C">
        <w:rPr>
          <w:szCs w:val="20"/>
          <w:lang w:val="es-ES"/>
        </w:rPr>
        <w:fldChar w:fldCharType="end"/>
      </w:r>
      <w:r w:rsidRPr="00470C7C">
        <w:rPr>
          <w:szCs w:val="20"/>
          <w:lang w:val="es-ES"/>
        </w:rPr>
        <w:t xml:space="preserve"> y </w:t>
      </w:r>
      <w:r w:rsidR="00FF5DA8" w:rsidRPr="00470C7C">
        <w:rPr>
          <w:szCs w:val="20"/>
          <w:lang w:val="es-ES"/>
        </w:rPr>
        <w:fldChar w:fldCharType="begin"/>
      </w:r>
      <w:r w:rsidR="00C5411E" w:rsidRPr="00470C7C">
        <w:rPr>
          <w:szCs w:val="20"/>
          <w:lang w:val="es-ES"/>
        </w:rPr>
        <w:instrText xml:space="preserve"> REF _Ref460939605 \r \h </w:instrText>
      </w:r>
      <w:r w:rsidR="003B7B4E" w:rsidRPr="00470C7C">
        <w:rPr>
          <w:szCs w:val="20"/>
          <w:lang w:val="es-ES"/>
        </w:rPr>
        <w:instrText xml:space="preserve"> \* MERGEFORMAT </w:instrText>
      </w:r>
      <w:r w:rsidR="00FF5DA8" w:rsidRPr="00470C7C">
        <w:rPr>
          <w:szCs w:val="20"/>
          <w:lang w:val="es-ES"/>
        </w:rPr>
      </w:r>
      <w:r w:rsidR="00FF5DA8" w:rsidRPr="00470C7C">
        <w:rPr>
          <w:szCs w:val="20"/>
          <w:lang w:val="es-ES"/>
        </w:rPr>
        <w:fldChar w:fldCharType="separate"/>
      </w:r>
      <w:r w:rsidR="00BD5C22">
        <w:rPr>
          <w:szCs w:val="20"/>
          <w:lang w:val="es-ES"/>
        </w:rPr>
        <w:t>206</w:t>
      </w:r>
      <w:r w:rsidR="00FF5DA8" w:rsidRPr="00470C7C">
        <w:rPr>
          <w:szCs w:val="20"/>
          <w:lang w:val="es-ES"/>
        </w:rPr>
        <w:fldChar w:fldCharType="end"/>
      </w:r>
      <w:r w:rsidRPr="00470C7C">
        <w:rPr>
          <w:szCs w:val="20"/>
          <w:lang w:val="es-ES"/>
        </w:rPr>
        <w:t xml:space="preserve"> de esta Sentencia. </w:t>
      </w:r>
    </w:p>
    <w:p w14:paraId="5703450D" w14:textId="77777777" w:rsidR="002170E1" w:rsidRPr="00470C7C" w:rsidRDefault="002170E1"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41" w:name="_Toc460432499"/>
    </w:p>
    <w:p w14:paraId="337CFAA3" w14:textId="77777777" w:rsidR="00C808FB" w:rsidRPr="00470C7C" w:rsidRDefault="00C808FB"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42" w:name="_Toc464813953"/>
      <w:r w:rsidRPr="00470C7C">
        <w:rPr>
          <w:rFonts w:eastAsia="Times New Roman" w:cs="Verdana"/>
          <w:b/>
          <w:bCs/>
          <w:caps/>
          <w:noProof/>
          <w:snapToGrid w:val="0"/>
          <w:szCs w:val="20"/>
          <w:lang w:eastAsia="es-ES"/>
        </w:rPr>
        <w:t>VIII</w:t>
      </w:r>
      <w:bookmarkEnd w:id="341"/>
      <w:bookmarkEnd w:id="342"/>
    </w:p>
    <w:p w14:paraId="5CA7FCCE" w14:textId="77777777" w:rsidR="00C808FB" w:rsidRPr="00470C7C" w:rsidRDefault="00C808FB"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43" w:name="_Toc464813954"/>
      <w:r w:rsidRPr="00470C7C">
        <w:rPr>
          <w:rFonts w:eastAsia="Times New Roman" w:cs="Verdana"/>
          <w:b/>
          <w:bCs/>
          <w:caps/>
          <w:noProof/>
          <w:snapToGrid w:val="0"/>
          <w:szCs w:val="20"/>
          <w:lang w:eastAsia="es-ES"/>
        </w:rPr>
        <w:t>FONDO</w:t>
      </w:r>
      <w:bookmarkEnd w:id="343"/>
    </w:p>
    <w:p w14:paraId="339A5084" w14:textId="77777777" w:rsidR="00C808FB" w:rsidRPr="00470C7C" w:rsidRDefault="00C808FB" w:rsidP="00140440">
      <w:pPr>
        <w:pStyle w:val="Prrafodelista"/>
        <w:autoSpaceDE w:val="0"/>
        <w:autoSpaceDN w:val="0"/>
        <w:adjustRightInd w:val="0"/>
        <w:ind w:left="0"/>
        <w:contextualSpacing w:val="0"/>
        <w:jc w:val="center"/>
        <w:rPr>
          <w:rFonts w:cs="Arial"/>
          <w:b/>
          <w:iCs/>
          <w:szCs w:val="20"/>
          <w:lang w:val="es-ES"/>
        </w:rPr>
      </w:pPr>
    </w:p>
    <w:p w14:paraId="420F9E16" w14:textId="77777777" w:rsidR="008F611E" w:rsidRPr="00470C7C" w:rsidRDefault="00C808FB" w:rsidP="008E4E39">
      <w:pPr>
        <w:pStyle w:val="Ttulo1"/>
        <w:spacing w:before="0" w:after="0"/>
        <w:rPr>
          <w:noProof/>
        </w:rPr>
      </w:pPr>
      <w:bookmarkStart w:id="344" w:name="_Toc460432501"/>
      <w:bookmarkStart w:id="345" w:name="_Toc464813955"/>
      <w:r w:rsidRPr="00470C7C">
        <w:rPr>
          <w:noProof/>
        </w:rPr>
        <w:t>VIII-1</w:t>
      </w:r>
      <w:bookmarkEnd w:id="344"/>
      <w:bookmarkEnd w:id="345"/>
    </w:p>
    <w:p w14:paraId="6C308C6E" w14:textId="77777777" w:rsidR="00207197" w:rsidRPr="00470C7C" w:rsidRDefault="00207197"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46" w:name="_Toc464813956"/>
      <w:r w:rsidRPr="00470C7C">
        <w:rPr>
          <w:rFonts w:eastAsia="Times New Roman" w:cs="Verdana"/>
          <w:b/>
          <w:bCs/>
          <w:caps/>
          <w:noProof/>
          <w:snapToGrid w:val="0"/>
          <w:szCs w:val="20"/>
          <w:lang w:eastAsia="es-ES"/>
        </w:rPr>
        <w:t>PROHIBICIÓN DE LA ESCLAVITUD</w:t>
      </w:r>
      <w:r w:rsidR="00195514" w:rsidRPr="00470C7C">
        <w:rPr>
          <w:rFonts w:eastAsia="Times New Roman" w:cs="Verdana"/>
          <w:b/>
          <w:bCs/>
          <w:caps/>
          <w:noProof/>
          <w:snapToGrid w:val="0"/>
          <w:szCs w:val="20"/>
          <w:lang w:eastAsia="es-ES"/>
        </w:rPr>
        <w:t>,</w:t>
      </w:r>
      <w:r w:rsidRPr="00470C7C">
        <w:rPr>
          <w:rFonts w:eastAsia="Times New Roman" w:cs="Verdana"/>
          <w:b/>
          <w:bCs/>
          <w:caps/>
          <w:noProof/>
          <w:snapToGrid w:val="0"/>
          <w:szCs w:val="20"/>
          <w:lang w:eastAsia="es-ES"/>
        </w:rPr>
        <w:t xml:space="preserve"> SERVIDUMBRE</w:t>
      </w:r>
      <w:r w:rsidR="00195514" w:rsidRPr="00470C7C">
        <w:rPr>
          <w:rFonts w:eastAsia="Times New Roman" w:cs="Verdana"/>
          <w:b/>
          <w:bCs/>
          <w:caps/>
          <w:noProof/>
          <w:snapToGrid w:val="0"/>
          <w:szCs w:val="20"/>
          <w:lang w:eastAsia="es-ES"/>
        </w:rPr>
        <w:t>, TRABAJO FORZOSO Y TRATA DE ESCLAVOS Y MUJERES</w:t>
      </w:r>
      <w:r w:rsidRPr="00470C7C">
        <w:rPr>
          <w:rFonts w:eastAsia="Times New Roman" w:cs="Verdana"/>
          <w:b/>
          <w:bCs/>
          <w:caps/>
          <w:noProof/>
          <w:snapToGrid w:val="0"/>
          <w:vertAlign w:val="superscript"/>
          <w:lang w:eastAsia="es-ES"/>
        </w:rPr>
        <w:footnoteReference w:id="348"/>
      </w:r>
      <w:r w:rsidRPr="00470C7C">
        <w:rPr>
          <w:rFonts w:eastAsia="Times New Roman" w:cs="Verdana"/>
          <w:b/>
          <w:bCs/>
          <w:caps/>
          <w:noProof/>
          <w:snapToGrid w:val="0"/>
          <w:szCs w:val="20"/>
          <w:lang w:eastAsia="es-ES"/>
        </w:rPr>
        <w:t>, DERECHOS A LA INTEGRIDAD PERSONAL, A LA LIBERTAD PERSONAL, AL RECONOCIMIENTO DE LA PERSONALIDAD JURÍDICA</w:t>
      </w:r>
      <w:r w:rsidR="00606B5F" w:rsidRPr="00470C7C">
        <w:rPr>
          <w:rFonts w:eastAsia="Times New Roman" w:cs="Verdana"/>
          <w:b/>
          <w:bCs/>
          <w:caps/>
          <w:noProof/>
          <w:snapToGrid w:val="0"/>
          <w:szCs w:val="20"/>
          <w:lang w:eastAsia="es-ES"/>
        </w:rPr>
        <w:t>,</w:t>
      </w:r>
      <w:r w:rsidRPr="00470C7C">
        <w:rPr>
          <w:rFonts w:eastAsia="Times New Roman" w:cs="Verdana"/>
          <w:b/>
          <w:bCs/>
          <w:caps/>
          <w:noProof/>
          <w:snapToGrid w:val="0"/>
          <w:szCs w:val="20"/>
          <w:lang w:eastAsia="es-ES"/>
        </w:rPr>
        <w:t xml:space="preserve"> DERECHO DE CIRCULACIÓN Y DE RESIDENCIA</w:t>
      </w:r>
      <w:r w:rsidRPr="00470C7C">
        <w:rPr>
          <w:rFonts w:eastAsia="Times New Roman" w:cs="Verdana"/>
          <w:b/>
          <w:bCs/>
          <w:caps/>
          <w:noProof/>
          <w:snapToGrid w:val="0"/>
          <w:vertAlign w:val="superscript"/>
          <w:lang w:eastAsia="es-ES"/>
        </w:rPr>
        <w:footnoteReference w:id="349"/>
      </w:r>
      <w:r w:rsidRPr="00470C7C">
        <w:rPr>
          <w:rFonts w:eastAsia="Times New Roman" w:cs="Verdana"/>
          <w:b/>
          <w:bCs/>
          <w:caps/>
          <w:noProof/>
          <w:snapToGrid w:val="0"/>
          <w:szCs w:val="20"/>
          <w:lang w:eastAsia="es-ES"/>
        </w:rPr>
        <w:t>, Y DERECHOS DEL NIÑO</w:t>
      </w:r>
      <w:r w:rsidR="00884208" w:rsidRPr="00470C7C">
        <w:rPr>
          <w:rStyle w:val="Refdenotaalpie"/>
          <w:rFonts w:eastAsia="Times New Roman"/>
          <w:b/>
          <w:bCs/>
          <w:caps/>
          <w:noProof/>
          <w:snapToGrid w:val="0"/>
          <w:lang w:eastAsia="es-ES"/>
        </w:rPr>
        <w:footnoteReference w:id="350"/>
      </w:r>
      <w:bookmarkEnd w:id="346"/>
    </w:p>
    <w:p w14:paraId="1D883B05" w14:textId="77777777" w:rsidR="00207197" w:rsidRPr="00470C7C" w:rsidRDefault="00207197" w:rsidP="00140440">
      <w:pPr>
        <w:jc w:val="both"/>
      </w:pPr>
    </w:p>
    <w:p w14:paraId="0E4CE764" w14:textId="77777777" w:rsidR="00207197" w:rsidRPr="00470C7C" w:rsidRDefault="00207197" w:rsidP="00F37DC4">
      <w:pPr>
        <w:pStyle w:val="Prrafodelista"/>
        <w:numPr>
          <w:ilvl w:val="0"/>
          <w:numId w:val="1"/>
        </w:numPr>
        <w:contextualSpacing w:val="0"/>
        <w:rPr>
          <w:lang w:val="es-CL"/>
        </w:rPr>
      </w:pPr>
      <w:r w:rsidRPr="00470C7C">
        <w:t>En el presente capítulo la Corte procederá a exponer los alegatos de la Comisión, de los representantes de las presuntas víctimas y del Estado</w:t>
      </w:r>
      <w:r w:rsidR="00384506" w:rsidRPr="00470C7C">
        <w:t xml:space="preserve"> sobre</w:t>
      </w:r>
      <w:r w:rsidRPr="00470C7C">
        <w:t xml:space="preserve"> las alegadas violaciones a la prohibición de la esclavitud, servidumbre, trata de personas y trabajo forzoso</w:t>
      </w:r>
      <w:r w:rsidR="00606B5F" w:rsidRPr="00470C7C">
        <w:t>,</w:t>
      </w:r>
      <w:r w:rsidRPr="00470C7C">
        <w:t xml:space="preserve"> y a los derechos a la integridad personal, libertad personal, personalidad jurídica, honra y dignidad, y circulación y residencia, establecidos en los artículos 6, 5, 7, 3, 11 y 22 de la Convención Americana. </w:t>
      </w:r>
      <w:r w:rsidR="00A44B28" w:rsidRPr="00470C7C">
        <w:t xml:space="preserve">En seguida, la </w:t>
      </w:r>
      <w:r w:rsidRPr="00470C7C">
        <w:t xml:space="preserve">Corte realizará un análisis </w:t>
      </w:r>
      <w:r w:rsidR="002C34AA" w:rsidRPr="00470C7C">
        <w:t xml:space="preserve">de mérito </w:t>
      </w:r>
      <w:r w:rsidRPr="00470C7C">
        <w:t>respecto</w:t>
      </w:r>
      <w:r w:rsidR="00736356" w:rsidRPr="00470C7C">
        <w:t xml:space="preserve"> a</w:t>
      </w:r>
      <w:r w:rsidR="00606B5F" w:rsidRPr="00470C7C">
        <w:t>:</w:t>
      </w:r>
      <w:r w:rsidRPr="00470C7C">
        <w:t xml:space="preserve"> i) el alcance del artículo 6 de la Convención Americana de acuerdo con el derecho internacional de los derechos humanos y las figuras de esclavitud, </w:t>
      </w:r>
      <w:r w:rsidR="001B63D0" w:rsidRPr="00470C7C">
        <w:t>trabajo forzoso</w:t>
      </w:r>
      <w:r w:rsidRPr="00470C7C">
        <w:t xml:space="preserve">, servidumbre y tráfico de personas; </w:t>
      </w:r>
      <w:proofErr w:type="spellStart"/>
      <w:r w:rsidRPr="00470C7C">
        <w:t>ii</w:t>
      </w:r>
      <w:proofErr w:type="spellEnd"/>
      <w:r w:rsidRPr="00470C7C">
        <w:t xml:space="preserve">) la aplicación del referido artículo a los hechos del presente caso y </w:t>
      </w:r>
      <w:proofErr w:type="spellStart"/>
      <w:r w:rsidRPr="00470C7C">
        <w:t>iii</w:t>
      </w:r>
      <w:proofErr w:type="spellEnd"/>
      <w:r w:rsidRPr="00470C7C">
        <w:t xml:space="preserve">) la alegada responsabilidad del Estado en relación con lo anterior. </w:t>
      </w:r>
    </w:p>
    <w:p w14:paraId="3755A020" w14:textId="77777777" w:rsidR="00207197" w:rsidRPr="00470C7C" w:rsidRDefault="00207197" w:rsidP="00140440">
      <w:pPr>
        <w:jc w:val="both"/>
        <w:rPr>
          <w:lang w:val="es-CL"/>
        </w:rPr>
      </w:pPr>
    </w:p>
    <w:p w14:paraId="6AECB953" w14:textId="77777777" w:rsidR="00207197" w:rsidRPr="00470C7C" w:rsidRDefault="00A44B28" w:rsidP="008B0BCC">
      <w:pPr>
        <w:pStyle w:val="Ttulo2"/>
        <w:numPr>
          <w:ilvl w:val="0"/>
          <w:numId w:val="19"/>
        </w:numPr>
      </w:pPr>
      <w:bookmarkStart w:id="347" w:name="_Toc464813957"/>
      <w:r w:rsidRPr="00470C7C">
        <w:t xml:space="preserve">Argumentos </w:t>
      </w:r>
      <w:r w:rsidR="00207197" w:rsidRPr="00470C7C">
        <w:t>de las partes y de la Comisión</w:t>
      </w:r>
      <w:bookmarkEnd w:id="347"/>
    </w:p>
    <w:p w14:paraId="168E8CDB" w14:textId="77777777" w:rsidR="00207197" w:rsidRPr="00470C7C" w:rsidRDefault="00207197" w:rsidP="00140440">
      <w:pPr>
        <w:ind w:left="1440"/>
        <w:jc w:val="both"/>
        <w:rPr>
          <w:lang w:val="es-CL"/>
        </w:rPr>
      </w:pPr>
    </w:p>
    <w:p w14:paraId="75BE7004" w14:textId="77777777" w:rsidR="00207197" w:rsidRPr="00470C7C" w:rsidRDefault="00207197" w:rsidP="00F37DC4">
      <w:pPr>
        <w:pStyle w:val="Prrafodelista"/>
        <w:numPr>
          <w:ilvl w:val="0"/>
          <w:numId w:val="1"/>
        </w:numPr>
        <w:contextualSpacing w:val="0"/>
        <w:rPr>
          <w:lang w:val="es-CL"/>
        </w:rPr>
      </w:pPr>
      <w:r w:rsidRPr="00470C7C">
        <w:rPr>
          <w:lang w:val="es-CL"/>
        </w:rPr>
        <w:t xml:space="preserve">La </w:t>
      </w:r>
      <w:r w:rsidRPr="00470C7C">
        <w:rPr>
          <w:b/>
          <w:i/>
          <w:lang w:val="es-CL"/>
        </w:rPr>
        <w:t>Comisión</w:t>
      </w:r>
      <w:r w:rsidRPr="00470C7C">
        <w:rPr>
          <w:lang w:val="es-CL"/>
        </w:rPr>
        <w:t xml:space="preserve"> señaló que el derecho internacional prohíbe la esclavitud, la servidumbre, el </w:t>
      </w:r>
      <w:r w:rsidR="001B63D0" w:rsidRPr="00470C7C">
        <w:rPr>
          <w:lang w:val="es-CL"/>
        </w:rPr>
        <w:t>trabajo forzoso</w:t>
      </w:r>
      <w:r w:rsidRPr="00470C7C">
        <w:rPr>
          <w:lang w:val="es-CL"/>
        </w:rPr>
        <w:t xml:space="preserve"> y otras prácticas análogas a la esclavitud. La prohibición de la esclavitud y </w:t>
      </w:r>
      <w:r w:rsidRPr="00470C7C">
        <w:t xml:space="preserve">prácticas similares forman parte del derecho internacional consuetudinario y del </w:t>
      </w:r>
      <w:proofErr w:type="spellStart"/>
      <w:r w:rsidRPr="00470C7C">
        <w:rPr>
          <w:i/>
          <w:iCs/>
        </w:rPr>
        <w:t>jus</w:t>
      </w:r>
      <w:proofErr w:type="spellEnd"/>
      <w:r w:rsidRPr="00470C7C">
        <w:rPr>
          <w:i/>
          <w:iCs/>
        </w:rPr>
        <w:t xml:space="preserve"> cogens. </w:t>
      </w:r>
      <w:r w:rsidRPr="00470C7C">
        <w:t xml:space="preserve">La protección contra la esclavitud es una obligación </w:t>
      </w:r>
      <w:r w:rsidRPr="00470C7C">
        <w:rPr>
          <w:i/>
          <w:iCs/>
        </w:rPr>
        <w:t xml:space="preserve">erga omnes </w:t>
      </w:r>
      <w:r w:rsidRPr="00470C7C">
        <w:t xml:space="preserve">y de obligado cumplimiento por parte de los Estados, que emana de las normativas internacionales de derechos humanos. La prohibición absoluta e inderogable de sometimiento de personas a esclavitud, servidumbre o trabajo forzoso está también consagrada en la Convención Americana y en otros instrumentos internacionales de los cuales Brasil es parte. </w:t>
      </w:r>
    </w:p>
    <w:p w14:paraId="25DC4E14" w14:textId="77777777" w:rsidR="00207197" w:rsidRPr="00470C7C" w:rsidRDefault="00207197" w:rsidP="00140440">
      <w:pPr>
        <w:jc w:val="both"/>
        <w:rPr>
          <w:lang w:val="es-CL"/>
        </w:rPr>
      </w:pPr>
    </w:p>
    <w:p w14:paraId="0FAC1C3A" w14:textId="77777777" w:rsidR="00207197" w:rsidRPr="00470C7C" w:rsidRDefault="00207197" w:rsidP="00F37DC4">
      <w:pPr>
        <w:pStyle w:val="Prrafodelista"/>
        <w:numPr>
          <w:ilvl w:val="0"/>
          <w:numId w:val="1"/>
        </w:numPr>
        <w:contextualSpacing w:val="0"/>
        <w:rPr>
          <w:lang w:val="es-CL"/>
        </w:rPr>
      </w:pPr>
      <w:r w:rsidRPr="00470C7C">
        <w:rPr>
          <w:lang w:val="es-CL"/>
        </w:rPr>
        <w:t xml:space="preserve">La Comisión realizó precisiones respecto a </w:t>
      </w:r>
      <w:r w:rsidR="00606B5F" w:rsidRPr="00470C7C">
        <w:rPr>
          <w:lang w:val="es-CL"/>
        </w:rPr>
        <w:t>l</w:t>
      </w:r>
      <w:r w:rsidRPr="00470C7C">
        <w:rPr>
          <w:lang w:val="es-CL"/>
        </w:rPr>
        <w:t xml:space="preserve">os conceptos referidos anteriormente. En primer lugar sostuvo que la esclavitud, siguiendo la Convención sobre la Esclavitud de 1926 (en adelante la “Convención de 1926”), debe entenderse como el ejercicio de los atributos del derecho de propiedad sobre una persona. En segundo lugar señaló que el concepto contemporáneo de esclavitud incluye a la servidumbre por deudas como una práctica análoga a la esclavitud y por tanto también prohibida por la Convención Americana. Los elementos de la servidumbre por deudas serían: i) prestación de servicios como garantía de una deuda, que sin embargo no se imputan a su pago; </w:t>
      </w:r>
      <w:proofErr w:type="spellStart"/>
      <w:r w:rsidRPr="00470C7C">
        <w:rPr>
          <w:lang w:val="es-CL"/>
        </w:rPr>
        <w:t>ii</w:t>
      </w:r>
      <w:proofErr w:type="spellEnd"/>
      <w:r w:rsidRPr="00470C7C">
        <w:rPr>
          <w:lang w:val="es-CL"/>
        </w:rPr>
        <w:t xml:space="preserve">) falta de límites a la duración de los servicios; </w:t>
      </w:r>
      <w:proofErr w:type="spellStart"/>
      <w:r w:rsidRPr="00470C7C">
        <w:rPr>
          <w:lang w:val="es-CL"/>
        </w:rPr>
        <w:t>iii</w:t>
      </w:r>
      <w:proofErr w:type="spellEnd"/>
      <w:r w:rsidRPr="00470C7C">
        <w:rPr>
          <w:lang w:val="es-CL"/>
        </w:rPr>
        <w:t xml:space="preserve">) falta de definición de la naturaleza de los servicios; </w:t>
      </w:r>
      <w:proofErr w:type="spellStart"/>
      <w:r w:rsidRPr="00470C7C">
        <w:rPr>
          <w:lang w:val="es-CL"/>
        </w:rPr>
        <w:t>iv</w:t>
      </w:r>
      <w:proofErr w:type="spellEnd"/>
      <w:r w:rsidRPr="00470C7C">
        <w:rPr>
          <w:lang w:val="es-CL"/>
        </w:rPr>
        <w:t xml:space="preserve">) que las personas vivan en la propiedad donde prestan los servicios; v) control sobre los movimientos de </w:t>
      </w:r>
      <w:r w:rsidR="00606B5F" w:rsidRPr="00470C7C">
        <w:rPr>
          <w:lang w:val="es-CL"/>
        </w:rPr>
        <w:t>las personas</w:t>
      </w:r>
      <w:r w:rsidRPr="00470C7C">
        <w:rPr>
          <w:lang w:val="es-CL"/>
        </w:rPr>
        <w:t xml:space="preserve">; vi) existencia de medidas para impedir las fugas; </w:t>
      </w:r>
      <w:proofErr w:type="spellStart"/>
      <w:r w:rsidRPr="00470C7C">
        <w:rPr>
          <w:lang w:val="es-CL"/>
        </w:rPr>
        <w:t>vii</w:t>
      </w:r>
      <w:proofErr w:type="spellEnd"/>
      <w:r w:rsidRPr="00470C7C">
        <w:rPr>
          <w:lang w:val="es-CL"/>
        </w:rPr>
        <w:t xml:space="preserve">) control psicológico sobre </w:t>
      </w:r>
      <w:r w:rsidR="00606B5F" w:rsidRPr="00470C7C">
        <w:rPr>
          <w:lang w:val="es-CL"/>
        </w:rPr>
        <w:t>las personas</w:t>
      </w:r>
      <w:r w:rsidRPr="00470C7C">
        <w:rPr>
          <w:lang w:val="es-CL"/>
        </w:rPr>
        <w:t xml:space="preserve">; </w:t>
      </w:r>
      <w:proofErr w:type="spellStart"/>
      <w:r w:rsidRPr="00470C7C">
        <w:rPr>
          <w:lang w:val="es-CL"/>
        </w:rPr>
        <w:t>viii</w:t>
      </w:r>
      <w:proofErr w:type="spellEnd"/>
      <w:r w:rsidRPr="00470C7C">
        <w:rPr>
          <w:lang w:val="es-CL"/>
        </w:rPr>
        <w:t>) las víctimas no pueden modificar su condición</w:t>
      </w:r>
      <w:r w:rsidR="00606B5F" w:rsidRPr="00470C7C">
        <w:rPr>
          <w:lang w:val="es-CL"/>
        </w:rPr>
        <w:t xml:space="preserve">, </w:t>
      </w:r>
      <w:r w:rsidRPr="00470C7C">
        <w:rPr>
          <w:lang w:val="es-CL"/>
        </w:rPr>
        <w:t xml:space="preserve">y </w:t>
      </w:r>
      <w:proofErr w:type="spellStart"/>
      <w:r w:rsidRPr="00470C7C">
        <w:rPr>
          <w:lang w:val="es-CL"/>
        </w:rPr>
        <w:t>ix</w:t>
      </w:r>
      <w:proofErr w:type="spellEnd"/>
      <w:r w:rsidRPr="00470C7C">
        <w:rPr>
          <w:lang w:val="es-CL"/>
        </w:rPr>
        <w:t xml:space="preserve">) tratos crueles y abusivos. </w:t>
      </w:r>
    </w:p>
    <w:p w14:paraId="58C39112" w14:textId="77777777" w:rsidR="00207197" w:rsidRPr="00470C7C" w:rsidRDefault="00207197" w:rsidP="00140440">
      <w:pPr>
        <w:jc w:val="both"/>
        <w:rPr>
          <w:lang w:val="es-CL"/>
        </w:rPr>
      </w:pPr>
    </w:p>
    <w:p w14:paraId="61A13BA0" w14:textId="77777777" w:rsidR="00207197" w:rsidRPr="00470C7C" w:rsidRDefault="00207197" w:rsidP="00F37DC4">
      <w:pPr>
        <w:pStyle w:val="Prrafodelista"/>
        <w:numPr>
          <w:ilvl w:val="0"/>
          <w:numId w:val="1"/>
        </w:numPr>
        <w:contextualSpacing w:val="0"/>
        <w:rPr>
          <w:lang w:val="es-CL"/>
        </w:rPr>
      </w:pPr>
      <w:r w:rsidRPr="00470C7C">
        <w:rPr>
          <w:lang w:val="es-CL"/>
        </w:rPr>
        <w:t xml:space="preserve">Adicionalmente, la Comisión señaló que el </w:t>
      </w:r>
      <w:r w:rsidR="001B63D0" w:rsidRPr="00470C7C">
        <w:rPr>
          <w:lang w:val="es-CL"/>
        </w:rPr>
        <w:t>trabajo forzoso</w:t>
      </w:r>
      <w:r w:rsidRPr="00470C7C">
        <w:rPr>
          <w:lang w:val="es-CL"/>
        </w:rPr>
        <w:t xml:space="preserve"> se refiere a aquellos servicios prestados bajo la amenaza de una pena y que se presta sin la voluntad de las víctimas. Agregó que el hecho de recibir algún pago a cambio de los servicios no impide que éstos sean calificados como servidumbre o </w:t>
      </w:r>
      <w:r w:rsidR="001B63D0" w:rsidRPr="00470C7C">
        <w:rPr>
          <w:lang w:val="es-CL"/>
        </w:rPr>
        <w:t>trabajo forzoso</w:t>
      </w:r>
      <w:r w:rsidRPr="00470C7C">
        <w:rPr>
          <w:lang w:val="es-CL"/>
        </w:rPr>
        <w:t>. Finalmente, la Comisión sostuvo que existe una estrecha relación entre las distintas prácticas abusivas como trabajo forzoso, esclavitud, servidumbre por deudas, trata</w:t>
      </w:r>
      <w:r w:rsidRPr="00470C7C">
        <w:rPr>
          <w:rStyle w:val="Refdenotaalpie"/>
          <w:lang w:val="es-CL"/>
        </w:rPr>
        <w:footnoteReference w:id="351"/>
      </w:r>
      <w:r w:rsidRPr="00470C7C">
        <w:rPr>
          <w:lang w:val="es-CL"/>
        </w:rPr>
        <w:t xml:space="preserve"> y explotación laboral. La interrelación entre estas conductas supone que un mismo hecho puede ser calificado bajo distintos conceptos y que</w:t>
      </w:r>
      <w:r w:rsidR="003C3D81" w:rsidRPr="00470C7C">
        <w:rPr>
          <w:lang w:val="es-CL"/>
        </w:rPr>
        <w:t>,</w:t>
      </w:r>
      <w:r w:rsidRPr="00470C7C">
        <w:rPr>
          <w:lang w:val="es-CL"/>
        </w:rPr>
        <w:t xml:space="preserve"> en ningún caso</w:t>
      </w:r>
      <w:r w:rsidR="003C3D81" w:rsidRPr="00470C7C">
        <w:rPr>
          <w:lang w:val="es-CL"/>
        </w:rPr>
        <w:t>,</w:t>
      </w:r>
      <w:r w:rsidRPr="00470C7C">
        <w:rPr>
          <w:lang w:val="es-CL"/>
        </w:rPr>
        <w:t xml:space="preserve"> son excluyentes entre sí.</w:t>
      </w:r>
    </w:p>
    <w:p w14:paraId="01794C09" w14:textId="77777777" w:rsidR="00207197" w:rsidRPr="00470C7C" w:rsidRDefault="00207197" w:rsidP="00140440">
      <w:pPr>
        <w:jc w:val="both"/>
        <w:rPr>
          <w:lang w:val="es-CL"/>
        </w:rPr>
      </w:pPr>
      <w:r w:rsidRPr="00470C7C">
        <w:rPr>
          <w:lang w:val="es-CL"/>
        </w:rPr>
        <w:t xml:space="preserve"> </w:t>
      </w:r>
    </w:p>
    <w:p w14:paraId="25669FC1" w14:textId="77777777" w:rsidR="00207197" w:rsidRPr="00470C7C" w:rsidRDefault="00207197" w:rsidP="00F37DC4">
      <w:pPr>
        <w:pStyle w:val="Prrafodelista"/>
        <w:numPr>
          <w:ilvl w:val="0"/>
          <w:numId w:val="1"/>
        </w:numPr>
        <w:contextualSpacing w:val="0"/>
        <w:rPr>
          <w:lang w:val="es-CL"/>
        </w:rPr>
      </w:pPr>
      <w:r w:rsidRPr="00470C7C">
        <w:rPr>
          <w:lang w:val="es-CL"/>
        </w:rPr>
        <w:t>La Comisión sostuvo que de los testimonios de los trabajadores rescatados, así como de las demás pruebas aportadas</w:t>
      </w:r>
      <w:r w:rsidRPr="00470C7C">
        <w:rPr>
          <w:rStyle w:val="Refdenotaalpie"/>
          <w:lang w:val="es-CL"/>
        </w:rPr>
        <w:footnoteReference w:id="352"/>
      </w:r>
      <w:r w:rsidRPr="00470C7C">
        <w:rPr>
          <w:lang w:val="es-CL"/>
        </w:rPr>
        <w:t xml:space="preserve">, se desprende que en la Hacienda Brasil Verde: i) existían amenazas de muerte a los trabajadores que querían abandonar la hacienda; </w:t>
      </w:r>
      <w:proofErr w:type="spellStart"/>
      <w:r w:rsidRPr="00470C7C">
        <w:rPr>
          <w:lang w:val="es-CL"/>
        </w:rPr>
        <w:t>ii</w:t>
      </w:r>
      <w:proofErr w:type="spellEnd"/>
      <w:r w:rsidRPr="00470C7C">
        <w:rPr>
          <w:lang w:val="es-CL"/>
        </w:rPr>
        <w:t xml:space="preserve">) se impedía a los trabajadores salir libremente; </w:t>
      </w:r>
      <w:proofErr w:type="spellStart"/>
      <w:r w:rsidRPr="00470C7C">
        <w:rPr>
          <w:lang w:val="es-CL"/>
        </w:rPr>
        <w:t>iii</w:t>
      </w:r>
      <w:proofErr w:type="spellEnd"/>
      <w:r w:rsidRPr="00470C7C">
        <w:rPr>
          <w:lang w:val="es-CL"/>
        </w:rPr>
        <w:t xml:space="preserve">) no existían salarios o éstos eran ínfimos; </w:t>
      </w:r>
      <w:proofErr w:type="spellStart"/>
      <w:r w:rsidRPr="00470C7C">
        <w:rPr>
          <w:lang w:val="es-CL"/>
        </w:rPr>
        <w:t>iv</w:t>
      </w:r>
      <w:proofErr w:type="spellEnd"/>
      <w:r w:rsidRPr="00470C7C">
        <w:rPr>
          <w:lang w:val="es-CL"/>
        </w:rPr>
        <w:t>) existía endeudamiento con el hacendado</w:t>
      </w:r>
      <w:r w:rsidR="00606B5F" w:rsidRPr="00470C7C">
        <w:rPr>
          <w:lang w:val="es-CL"/>
        </w:rPr>
        <w:t>,</w:t>
      </w:r>
      <w:r w:rsidRPr="00470C7C">
        <w:rPr>
          <w:lang w:val="es-CL"/>
        </w:rPr>
        <w:t xml:space="preserve"> y v) </w:t>
      </w:r>
      <w:r w:rsidR="00606B5F" w:rsidRPr="00470C7C">
        <w:rPr>
          <w:lang w:val="es-CL"/>
        </w:rPr>
        <w:t xml:space="preserve">las condiciones de </w:t>
      </w:r>
      <w:r w:rsidRPr="00470C7C">
        <w:rPr>
          <w:lang w:val="es-CL"/>
        </w:rPr>
        <w:t xml:space="preserve">vivienda, salud y alimentación </w:t>
      </w:r>
      <w:r w:rsidR="00606B5F" w:rsidRPr="00470C7C">
        <w:rPr>
          <w:lang w:val="es-CL"/>
        </w:rPr>
        <w:t xml:space="preserve">eran </w:t>
      </w:r>
      <w:r w:rsidRPr="00470C7C">
        <w:rPr>
          <w:lang w:val="es-CL"/>
        </w:rPr>
        <w:t>indigna</w:t>
      </w:r>
      <w:r w:rsidR="00606B5F" w:rsidRPr="00470C7C">
        <w:rPr>
          <w:lang w:val="es-CL"/>
        </w:rPr>
        <w:t>s</w:t>
      </w:r>
      <w:r w:rsidRPr="00470C7C">
        <w:rPr>
          <w:lang w:val="es-CL"/>
        </w:rPr>
        <w:t>. De esta situación</w:t>
      </w:r>
      <w:r w:rsidR="00606B5F" w:rsidRPr="00470C7C">
        <w:rPr>
          <w:lang w:val="es-CL"/>
        </w:rPr>
        <w:t>,</w:t>
      </w:r>
      <w:r w:rsidRPr="00470C7C">
        <w:rPr>
          <w:lang w:val="es-CL"/>
        </w:rPr>
        <w:t xml:space="preserve"> la Comisión concluyó que el dueño y los administradores de la hacienda disponían de los trabajadores como si fuesen de su propiedad.</w:t>
      </w:r>
    </w:p>
    <w:p w14:paraId="6D0B8894" w14:textId="77777777" w:rsidR="00207197" w:rsidRPr="00470C7C" w:rsidRDefault="00207197" w:rsidP="00140440">
      <w:pPr>
        <w:jc w:val="both"/>
        <w:rPr>
          <w:lang w:val="es-CL"/>
        </w:rPr>
      </w:pPr>
    </w:p>
    <w:p w14:paraId="6E837675" w14:textId="77777777" w:rsidR="00207197" w:rsidRPr="00470C7C" w:rsidRDefault="00207197" w:rsidP="00F37DC4">
      <w:pPr>
        <w:pStyle w:val="Prrafodelista"/>
        <w:numPr>
          <w:ilvl w:val="0"/>
          <w:numId w:val="1"/>
        </w:numPr>
        <w:contextualSpacing w:val="0"/>
        <w:rPr>
          <w:lang w:val="es-CL"/>
        </w:rPr>
      </w:pPr>
      <w:r w:rsidRPr="00470C7C">
        <w:rPr>
          <w:lang w:val="es-CL"/>
        </w:rPr>
        <w:t xml:space="preserve">Además, la Comisión señaló que en este caso existía servidumbre por deudas. Los trabajadores adquirían cuantiosas deudas con los </w:t>
      </w:r>
      <w:r w:rsidRPr="00470C7C">
        <w:rPr>
          <w:i/>
          <w:lang w:val="es-CL"/>
        </w:rPr>
        <w:t>gatos</w:t>
      </w:r>
      <w:r w:rsidRPr="00470C7C">
        <w:rPr>
          <w:lang w:val="es-CL"/>
        </w:rPr>
        <w:t xml:space="preserve"> y la administración de la hacienda por concepto de traslados, alimentación y otros. Atendido el poco o nulo pago recibido, era casi imposible la liquidación de la deuda, y mientras no ocurriese los trabajadores no podían dejar la hacienda. También consideró que se configura un caso de </w:t>
      </w:r>
      <w:r w:rsidR="001B63D0" w:rsidRPr="00470C7C">
        <w:rPr>
          <w:lang w:val="es-CL"/>
        </w:rPr>
        <w:t>trabajo forzoso</w:t>
      </w:r>
      <w:r w:rsidRPr="00470C7C">
        <w:rPr>
          <w:lang w:val="es-CL"/>
        </w:rPr>
        <w:t xml:space="preserve"> pues los servicios eran prestados bajo amenazas de violencia y contra la voluntad de los trabajadores. Señaló que si bien los trabajadores concurrían inicialmente de forma voluntaria, lo hacían </w:t>
      </w:r>
      <w:r w:rsidR="00F452D1" w:rsidRPr="00470C7C">
        <w:rPr>
          <w:lang w:val="es-CL"/>
        </w:rPr>
        <w:t xml:space="preserve">con </w:t>
      </w:r>
      <w:r w:rsidRPr="00470C7C">
        <w:rPr>
          <w:lang w:val="es-CL"/>
        </w:rPr>
        <w:t xml:space="preserve">base </w:t>
      </w:r>
      <w:r w:rsidR="00F452D1" w:rsidRPr="00470C7C">
        <w:rPr>
          <w:lang w:val="es-CL"/>
        </w:rPr>
        <w:t xml:space="preserve">en </w:t>
      </w:r>
      <w:r w:rsidRPr="00470C7C">
        <w:rPr>
          <w:lang w:val="es-CL"/>
        </w:rPr>
        <w:t>engaños y no podían dejar la hacienda una vez que se enteraban de las reales condiciones de trabajo.</w:t>
      </w:r>
    </w:p>
    <w:p w14:paraId="44646342" w14:textId="77777777" w:rsidR="00207197" w:rsidRPr="00470C7C" w:rsidRDefault="00207197" w:rsidP="00140440">
      <w:pPr>
        <w:jc w:val="both"/>
        <w:rPr>
          <w:lang w:val="es-CL"/>
        </w:rPr>
      </w:pPr>
    </w:p>
    <w:p w14:paraId="5A40C573" w14:textId="77777777" w:rsidR="00207197" w:rsidRPr="00470C7C" w:rsidRDefault="00207197" w:rsidP="00F37DC4">
      <w:pPr>
        <w:pStyle w:val="Prrafodelista"/>
        <w:numPr>
          <w:ilvl w:val="0"/>
          <w:numId w:val="1"/>
        </w:numPr>
        <w:contextualSpacing w:val="0"/>
        <w:rPr>
          <w:lang w:val="es-CL"/>
        </w:rPr>
      </w:pPr>
      <w:r w:rsidRPr="00470C7C">
        <w:rPr>
          <w:lang w:val="es-CL"/>
        </w:rPr>
        <w:t>La Comisión sostuvo que el Estado brasileño tenía conocimiento del fenómeno del trabajo esclavo en su territorio desde mucho antes de los hechos del presente caso. Agregó que el Estado no</w:t>
      </w:r>
      <w:r w:rsidR="00B54FB3" w:rsidRPr="00470C7C">
        <w:rPr>
          <w:lang w:val="es-CL"/>
        </w:rPr>
        <w:t xml:space="preserve"> solo</w:t>
      </w:r>
      <w:r w:rsidR="00592688" w:rsidRPr="00470C7C">
        <w:rPr>
          <w:lang w:val="es-CL"/>
        </w:rPr>
        <w:t xml:space="preserve"> </w:t>
      </w:r>
      <w:r w:rsidRPr="00470C7C">
        <w:rPr>
          <w:lang w:val="es-CL"/>
        </w:rPr>
        <w:t xml:space="preserve">sabía del problema en términos generales, sino que tenía perfecto conocimiento de la situación en la Hacienda Brasil Verde. La Comisión señaló que si bien las fiscalizaciones de 1989 a 1997 se encuentran fuera de la competencia de la Corte, deben ser tomadas en cuenta como contexto de lo que ocurría en la hacienda y del conocimiento del Estado sobre la situación. En opinión de la Comisión se cumplen todos los requisitos para la responsabilidad de Brasil por omisión, es decir: i) la existencia de un riesgo real e inmediato; </w:t>
      </w:r>
      <w:proofErr w:type="spellStart"/>
      <w:r w:rsidRPr="00470C7C">
        <w:rPr>
          <w:lang w:val="es-CL"/>
        </w:rPr>
        <w:t>ii</w:t>
      </w:r>
      <w:proofErr w:type="spellEnd"/>
      <w:r w:rsidRPr="00470C7C">
        <w:rPr>
          <w:lang w:val="es-CL"/>
        </w:rPr>
        <w:t xml:space="preserve">) el conocimiento estatal de dicho riesgo; </w:t>
      </w:r>
      <w:proofErr w:type="spellStart"/>
      <w:r w:rsidRPr="00470C7C">
        <w:rPr>
          <w:lang w:val="es-CL"/>
        </w:rPr>
        <w:t>iii</w:t>
      </w:r>
      <w:proofErr w:type="spellEnd"/>
      <w:r w:rsidRPr="00470C7C">
        <w:rPr>
          <w:lang w:val="es-CL"/>
        </w:rPr>
        <w:t>) la especial situación de las personas afectadas</w:t>
      </w:r>
      <w:r w:rsidR="00F452D1" w:rsidRPr="00470C7C">
        <w:rPr>
          <w:lang w:val="es-CL"/>
        </w:rPr>
        <w:t>,</w:t>
      </w:r>
      <w:r w:rsidRPr="00470C7C">
        <w:rPr>
          <w:lang w:val="es-CL"/>
        </w:rPr>
        <w:t xml:space="preserve"> y </w:t>
      </w:r>
      <w:proofErr w:type="spellStart"/>
      <w:r w:rsidRPr="00470C7C">
        <w:rPr>
          <w:lang w:val="es-CL"/>
        </w:rPr>
        <w:t>iv</w:t>
      </w:r>
      <w:proofErr w:type="spellEnd"/>
      <w:r w:rsidRPr="00470C7C">
        <w:rPr>
          <w:lang w:val="es-CL"/>
        </w:rPr>
        <w:t>) las posibilidades razonables de prevención.</w:t>
      </w:r>
    </w:p>
    <w:p w14:paraId="01E3AAE4" w14:textId="77777777" w:rsidR="00207197" w:rsidRPr="00470C7C" w:rsidRDefault="00207197" w:rsidP="00140440">
      <w:pPr>
        <w:jc w:val="both"/>
        <w:rPr>
          <w:lang w:val="es-CL"/>
        </w:rPr>
      </w:pPr>
    </w:p>
    <w:p w14:paraId="161FA5B4" w14:textId="77777777" w:rsidR="00207197" w:rsidRPr="00470C7C" w:rsidRDefault="00207197" w:rsidP="00F37DC4">
      <w:pPr>
        <w:pStyle w:val="Prrafodelista"/>
        <w:numPr>
          <w:ilvl w:val="0"/>
          <w:numId w:val="1"/>
        </w:numPr>
        <w:contextualSpacing w:val="0"/>
        <w:rPr>
          <w:lang w:val="es-CL"/>
        </w:rPr>
      </w:pPr>
      <w:r w:rsidRPr="00470C7C">
        <w:rPr>
          <w:lang w:val="es-CL"/>
        </w:rPr>
        <w:t xml:space="preserve">La Comisión reconoció los esfuerzos de Brasil para combatir el trabajo esclavo, sin embargo destacó que todas las medidas relevantes son posteriores al año 2003. En particular, la Comisión alegó que no existe evidencia </w:t>
      </w:r>
      <w:r w:rsidR="00F452D1" w:rsidRPr="00470C7C">
        <w:rPr>
          <w:lang w:val="es-CL"/>
        </w:rPr>
        <w:t xml:space="preserve">de </w:t>
      </w:r>
      <w:r w:rsidRPr="00470C7C">
        <w:rPr>
          <w:lang w:val="es-CL"/>
        </w:rPr>
        <w:t xml:space="preserve">que Brasil haya tomado medida alguna para prevenir y proteger a las víctimas de este caso concreto en los años 1998 a 2000. Destacó, por ejemplo: i) la falta de periodicidad de las fiscalizaciones a pesar de los graves hallazgos anteriores; </w:t>
      </w:r>
      <w:proofErr w:type="spellStart"/>
      <w:r w:rsidRPr="00470C7C">
        <w:rPr>
          <w:lang w:val="es-CL"/>
        </w:rPr>
        <w:t>ii</w:t>
      </w:r>
      <w:proofErr w:type="spellEnd"/>
      <w:r w:rsidRPr="00470C7C">
        <w:rPr>
          <w:lang w:val="es-CL"/>
        </w:rPr>
        <w:t>) la insuficiencia del registro, verificación y recopilación de pruebas en las fiscalizaciones</w:t>
      </w:r>
      <w:r w:rsidR="00F452D1" w:rsidRPr="00470C7C">
        <w:rPr>
          <w:lang w:val="es-CL"/>
        </w:rPr>
        <w:t>,</w:t>
      </w:r>
      <w:r w:rsidRPr="00470C7C">
        <w:rPr>
          <w:lang w:val="es-CL"/>
        </w:rPr>
        <w:t xml:space="preserve"> y </w:t>
      </w:r>
      <w:proofErr w:type="spellStart"/>
      <w:r w:rsidRPr="00470C7C">
        <w:rPr>
          <w:lang w:val="es-CL"/>
        </w:rPr>
        <w:t>iii</w:t>
      </w:r>
      <w:proofErr w:type="spellEnd"/>
      <w:r w:rsidRPr="00470C7C">
        <w:rPr>
          <w:lang w:val="es-CL"/>
        </w:rPr>
        <w:t xml:space="preserve">) la falta de consecuencias en el corto y mediano plazo luego de las fiscalizaciones. </w:t>
      </w:r>
    </w:p>
    <w:p w14:paraId="572498B3" w14:textId="77777777" w:rsidR="003E533F" w:rsidRPr="00470C7C" w:rsidRDefault="003E533F" w:rsidP="00F672B7">
      <w:pPr>
        <w:pStyle w:val="Prrafodelista"/>
        <w:rPr>
          <w:lang w:val="es-CL"/>
        </w:rPr>
      </w:pPr>
    </w:p>
    <w:p w14:paraId="3202DF3F" w14:textId="77777777" w:rsidR="003E533F" w:rsidRPr="00470C7C" w:rsidRDefault="003E533F" w:rsidP="00F37DC4">
      <w:pPr>
        <w:pStyle w:val="Prrafodelista"/>
        <w:numPr>
          <w:ilvl w:val="0"/>
          <w:numId w:val="1"/>
        </w:numPr>
        <w:contextualSpacing w:val="0"/>
        <w:rPr>
          <w:lang w:val="es-CL"/>
        </w:rPr>
      </w:pPr>
      <w:r w:rsidRPr="00470C7C">
        <w:rPr>
          <w:lang w:val="es-CL"/>
        </w:rPr>
        <w:t xml:space="preserve">Finalmente, </w:t>
      </w:r>
      <w:r w:rsidR="006767C5" w:rsidRPr="00470C7C">
        <w:t>l</w:t>
      </w:r>
      <w:r w:rsidRPr="00470C7C">
        <w:t>a Comisión</w:t>
      </w:r>
      <w:r w:rsidRPr="00470C7C">
        <w:rPr>
          <w:b/>
          <w:i/>
        </w:rPr>
        <w:t xml:space="preserve"> </w:t>
      </w:r>
      <w:r w:rsidRPr="00470C7C">
        <w:t xml:space="preserve">señaló que los hechos del presente caso “evidencia[n] una discriminación </w:t>
      </w:r>
      <w:r w:rsidRPr="00470C7C">
        <w:rPr>
          <w:i/>
        </w:rPr>
        <w:t>de facto</w:t>
      </w:r>
      <w:r w:rsidRPr="00470C7C">
        <w:t xml:space="preserve"> en contra de un grupo determinado de personas que han sido marginalizados en el goce de los derechos analizados”. Asimismo, la Comisión consideró que el Estado </w:t>
      </w:r>
      <w:r w:rsidR="0012458D" w:rsidRPr="00470C7C">
        <w:t>“</w:t>
      </w:r>
      <w:r w:rsidRPr="00470C7C">
        <w:t>no adoptó medidas suficientes y efectivas para garantizar sin discriminación los derechos de los trabajadores encontrados en las fiscalizaciones de 1993, 1996, 1997 y 2000”</w:t>
      </w:r>
      <w:r w:rsidR="00F452D1" w:rsidRPr="00470C7C">
        <w:t>.</w:t>
      </w:r>
      <w:r w:rsidRPr="00470C7C">
        <w:t xml:space="preserve"> </w:t>
      </w:r>
    </w:p>
    <w:p w14:paraId="333B5405" w14:textId="77777777" w:rsidR="00207197" w:rsidRPr="00470C7C" w:rsidRDefault="00207197" w:rsidP="00140440">
      <w:pPr>
        <w:jc w:val="both"/>
        <w:rPr>
          <w:lang w:val="es-CL"/>
        </w:rPr>
      </w:pPr>
    </w:p>
    <w:p w14:paraId="06131F62" w14:textId="77777777" w:rsidR="00207197" w:rsidRPr="00470C7C" w:rsidRDefault="00207197" w:rsidP="00F37DC4">
      <w:pPr>
        <w:pStyle w:val="Prrafodelista"/>
        <w:numPr>
          <w:ilvl w:val="0"/>
          <w:numId w:val="1"/>
        </w:numPr>
        <w:contextualSpacing w:val="0"/>
        <w:rPr>
          <w:lang w:val="es-CL"/>
        </w:rPr>
      </w:pPr>
      <w:r w:rsidRPr="00470C7C">
        <w:rPr>
          <w:lang w:val="es-CL"/>
        </w:rPr>
        <w:t>En conclusión, la Comisión alegó que Brasil es internacionalmente responsable por la violación del artículo 6 de la Convención Americana, en relación con los artículos 5, 7, 22 y 1.1 de la misma, respecto de los trabajadores de la Hacienda Brasil Verde identificados en la fiscalización de 2000</w:t>
      </w:r>
      <w:r w:rsidRPr="00470C7C">
        <w:rPr>
          <w:rStyle w:val="Refdenotaalpie"/>
          <w:lang w:val="es-CL"/>
        </w:rPr>
        <w:footnoteReference w:id="353"/>
      </w:r>
      <w:r w:rsidRPr="00470C7C">
        <w:rPr>
          <w:lang w:val="es-CL"/>
        </w:rPr>
        <w:t xml:space="preserve">. Adicionalmente, consideró que el Estado no ha adoptado medidas suficientes y efectivas para garantizar sin discriminación los derechos de los referidos trabajadores de conformidad con el artículo 1.1 de la Convención en relación con los derechos reconocidos en los artículos 5, 6, 7 y 22 del mismo instrumento. </w:t>
      </w:r>
    </w:p>
    <w:p w14:paraId="26A7A4BB" w14:textId="77777777" w:rsidR="00207197" w:rsidRPr="00470C7C" w:rsidRDefault="00207197" w:rsidP="00140440">
      <w:pPr>
        <w:jc w:val="both"/>
        <w:rPr>
          <w:lang w:val="es-CL"/>
        </w:rPr>
      </w:pPr>
    </w:p>
    <w:p w14:paraId="08676145"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w:t>
      </w:r>
      <w:r w:rsidRPr="00470C7C">
        <w:rPr>
          <w:b/>
          <w:i/>
          <w:lang w:val="es-CL"/>
        </w:rPr>
        <w:t>representantes</w:t>
      </w:r>
      <w:r w:rsidRPr="00470C7C">
        <w:rPr>
          <w:lang w:val="es-CL"/>
        </w:rPr>
        <w:t xml:space="preserve"> señalaron que la prohibición del trabajo esclavo es una obligación de </w:t>
      </w:r>
      <w:proofErr w:type="spellStart"/>
      <w:r w:rsidRPr="00470C7C">
        <w:rPr>
          <w:i/>
          <w:lang w:val="es-CL"/>
        </w:rPr>
        <w:t>jus</w:t>
      </w:r>
      <w:proofErr w:type="spellEnd"/>
      <w:r w:rsidRPr="00470C7C">
        <w:rPr>
          <w:i/>
          <w:lang w:val="es-CL"/>
        </w:rPr>
        <w:t xml:space="preserve"> cogens</w:t>
      </w:r>
      <w:r w:rsidRPr="00470C7C">
        <w:rPr>
          <w:lang w:val="es-CL"/>
        </w:rPr>
        <w:t xml:space="preserve"> en el derecho internacional y que tiene además carácter </w:t>
      </w:r>
      <w:r w:rsidRPr="00470C7C">
        <w:rPr>
          <w:i/>
          <w:lang w:val="es-CL"/>
        </w:rPr>
        <w:t>erga omnes</w:t>
      </w:r>
      <w:r w:rsidRPr="00470C7C">
        <w:rPr>
          <w:lang w:val="es-CL"/>
        </w:rPr>
        <w:t xml:space="preserve">. Agregaron que no es posible enumerar todas las formas contemporáneas de esclavitud, pero que éstas incluyen cuatro elementos fundamentales: i) control sobre otras personas; </w:t>
      </w:r>
      <w:proofErr w:type="spellStart"/>
      <w:r w:rsidRPr="00470C7C">
        <w:rPr>
          <w:lang w:val="es-CL"/>
        </w:rPr>
        <w:t>ii</w:t>
      </w:r>
      <w:proofErr w:type="spellEnd"/>
      <w:r w:rsidRPr="00470C7C">
        <w:rPr>
          <w:lang w:val="es-CL"/>
        </w:rPr>
        <w:t xml:space="preserve">) apropiación de su fuerza de trabajo; </w:t>
      </w:r>
      <w:proofErr w:type="spellStart"/>
      <w:r w:rsidRPr="00470C7C">
        <w:rPr>
          <w:lang w:val="es-CL"/>
        </w:rPr>
        <w:t>iii</w:t>
      </w:r>
      <w:proofErr w:type="spellEnd"/>
      <w:r w:rsidRPr="00470C7C">
        <w:rPr>
          <w:lang w:val="es-CL"/>
        </w:rPr>
        <w:t>) uso o amenaza de uso de violencia</w:t>
      </w:r>
      <w:r w:rsidR="00F452D1" w:rsidRPr="00470C7C">
        <w:rPr>
          <w:lang w:val="es-CL"/>
        </w:rPr>
        <w:t>,</w:t>
      </w:r>
      <w:r w:rsidRPr="00470C7C">
        <w:rPr>
          <w:lang w:val="es-CL"/>
        </w:rPr>
        <w:t xml:space="preserve"> y </w:t>
      </w:r>
      <w:proofErr w:type="spellStart"/>
      <w:r w:rsidRPr="00470C7C">
        <w:rPr>
          <w:lang w:val="es-CL"/>
        </w:rPr>
        <w:t>iv</w:t>
      </w:r>
      <w:proofErr w:type="spellEnd"/>
      <w:r w:rsidRPr="00470C7C">
        <w:rPr>
          <w:lang w:val="es-CL"/>
        </w:rPr>
        <w:t>) discriminación que acarrea la deshumanización de las personas sometidas a esclavitud.</w:t>
      </w:r>
    </w:p>
    <w:p w14:paraId="010B448D" w14:textId="77777777" w:rsidR="00207197" w:rsidRPr="00470C7C" w:rsidRDefault="00207197" w:rsidP="00140440">
      <w:pPr>
        <w:pStyle w:val="Prrafodelista"/>
        <w:ind w:left="0"/>
        <w:rPr>
          <w:lang w:val="es-CL"/>
        </w:rPr>
      </w:pPr>
    </w:p>
    <w:p w14:paraId="28517658"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representantes afirmaron que el artículo 6 de la Convención Americana incluye cuatro conceptos íntimamente relacionados: esclavitud, servidumbre, </w:t>
      </w:r>
      <w:r w:rsidR="001B63D0" w:rsidRPr="00470C7C">
        <w:rPr>
          <w:lang w:val="es-CL"/>
        </w:rPr>
        <w:t>trabajo forzoso</w:t>
      </w:r>
      <w:r w:rsidRPr="00470C7C">
        <w:rPr>
          <w:lang w:val="es-CL"/>
        </w:rPr>
        <w:t xml:space="preserve"> y trata de personas. Agregaron que estas cuatro categorías componen el concepto más amplio de formas contemporáneas de esclavitud. Agregaron que si bien la servidumbre, el </w:t>
      </w:r>
      <w:r w:rsidR="001B63D0" w:rsidRPr="00470C7C">
        <w:rPr>
          <w:lang w:val="es-CL"/>
        </w:rPr>
        <w:t>trabajo forzoso</w:t>
      </w:r>
      <w:r w:rsidRPr="00470C7C">
        <w:rPr>
          <w:lang w:val="es-CL"/>
        </w:rPr>
        <w:t xml:space="preserve"> y la trata de personas son violaciones en sí mismas, son</w:t>
      </w:r>
      <w:r w:rsidR="003C3D81" w:rsidRPr="00470C7C">
        <w:rPr>
          <w:lang w:val="es-CL"/>
        </w:rPr>
        <w:t>,</w:t>
      </w:r>
      <w:r w:rsidRPr="00470C7C">
        <w:rPr>
          <w:lang w:val="es-CL"/>
        </w:rPr>
        <w:t xml:space="preserve"> adicionalmente</w:t>
      </w:r>
      <w:r w:rsidR="003C3D81" w:rsidRPr="00470C7C">
        <w:rPr>
          <w:lang w:val="es-CL"/>
        </w:rPr>
        <w:t>,</w:t>
      </w:r>
      <w:r w:rsidRPr="00470C7C">
        <w:rPr>
          <w:lang w:val="es-CL"/>
        </w:rPr>
        <w:t xml:space="preserve"> manifestaciones de formas contemporáneas de esclavitud.</w:t>
      </w:r>
    </w:p>
    <w:p w14:paraId="5835CC62" w14:textId="77777777" w:rsidR="00207197" w:rsidRPr="00470C7C" w:rsidRDefault="00207197" w:rsidP="00140440">
      <w:pPr>
        <w:jc w:val="both"/>
        <w:rPr>
          <w:lang w:val="es-CL"/>
        </w:rPr>
      </w:pPr>
    </w:p>
    <w:p w14:paraId="22EEBCB5"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representantes señalaron que la esclavitud, siguiendo la Convención de 1926 y la Convención suplementaria sobre la abolición de la esclavitud, la trata de esclavos y las instituciones y prácticas análogas a la esclavitud de 1956 (en adelante la “Convención de 1956”), se refieren al ejercicio de alguno de los atributos del derecho de propiedad sobre otra persona, es decir, las facultades de usar, gozar o disponer sobre otro ser humano. Respecto al </w:t>
      </w:r>
      <w:r w:rsidR="001B63D0" w:rsidRPr="00470C7C">
        <w:rPr>
          <w:lang w:val="es-CL"/>
        </w:rPr>
        <w:t>trabajo forzoso</w:t>
      </w:r>
      <w:r w:rsidR="00F452D1" w:rsidRPr="00470C7C">
        <w:rPr>
          <w:lang w:val="es-CL"/>
        </w:rPr>
        <w:t>,</w:t>
      </w:r>
      <w:r w:rsidRPr="00470C7C">
        <w:rPr>
          <w:lang w:val="es-CL"/>
        </w:rPr>
        <w:t xml:space="preserve"> los representantes indicaron que la Corte identificó en el caso </w:t>
      </w:r>
      <w:r w:rsidR="00915049" w:rsidRPr="00470C7C">
        <w:rPr>
          <w:lang w:val="es-CL"/>
        </w:rPr>
        <w:t xml:space="preserve">de las </w:t>
      </w:r>
      <w:r w:rsidRPr="00470C7C">
        <w:rPr>
          <w:lang w:val="es-CL"/>
        </w:rPr>
        <w:t>Masacres de Ituango sus dos elementos principales: i) amenaza de una sanción</w:t>
      </w:r>
      <w:r w:rsidR="00F452D1" w:rsidRPr="00470C7C">
        <w:rPr>
          <w:lang w:val="es-CL"/>
        </w:rPr>
        <w:t>,</w:t>
      </w:r>
      <w:r w:rsidRPr="00470C7C">
        <w:rPr>
          <w:lang w:val="es-CL"/>
        </w:rPr>
        <w:t xml:space="preserve"> y </w:t>
      </w:r>
      <w:proofErr w:type="spellStart"/>
      <w:r w:rsidRPr="00470C7C">
        <w:rPr>
          <w:lang w:val="es-CL"/>
        </w:rPr>
        <w:t>ii</w:t>
      </w:r>
      <w:proofErr w:type="spellEnd"/>
      <w:r w:rsidRPr="00470C7C">
        <w:rPr>
          <w:lang w:val="es-CL"/>
        </w:rPr>
        <w:t>) falta de voluntad para realizar el trabajo. Finalmente, la trata de personas se refiere al comercio o transporte de esclavos.</w:t>
      </w:r>
    </w:p>
    <w:p w14:paraId="3BCA3988" w14:textId="77777777" w:rsidR="00207197" w:rsidRPr="00470C7C" w:rsidRDefault="00207197" w:rsidP="00140440">
      <w:pPr>
        <w:jc w:val="both"/>
        <w:rPr>
          <w:lang w:val="es-CL"/>
        </w:rPr>
      </w:pPr>
    </w:p>
    <w:p w14:paraId="580DDEB6"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representantes alegaron que múltiples indicadores facilitan la identificación de formas contemporáneas de esclavitud, tales como: i) captación mediante promesas falsas o engaño; </w:t>
      </w:r>
      <w:proofErr w:type="spellStart"/>
      <w:r w:rsidRPr="00470C7C">
        <w:rPr>
          <w:lang w:val="es-CL"/>
        </w:rPr>
        <w:t>ii</w:t>
      </w:r>
      <w:proofErr w:type="spellEnd"/>
      <w:r w:rsidRPr="00470C7C">
        <w:rPr>
          <w:lang w:val="es-CL"/>
        </w:rPr>
        <w:t xml:space="preserve">) traslado de personas con fines de explotación; </w:t>
      </w:r>
      <w:proofErr w:type="spellStart"/>
      <w:r w:rsidRPr="00470C7C">
        <w:rPr>
          <w:lang w:val="es-CL"/>
        </w:rPr>
        <w:t>iii</w:t>
      </w:r>
      <w:proofErr w:type="spellEnd"/>
      <w:r w:rsidRPr="00470C7C">
        <w:rPr>
          <w:lang w:val="es-CL"/>
        </w:rPr>
        <w:t xml:space="preserve">) abuso de situación de vulnerabilidad; </w:t>
      </w:r>
      <w:proofErr w:type="spellStart"/>
      <w:r w:rsidRPr="00470C7C">
        <w:rPr>
          <w:lang w:val="es-CL"/>
        </w:rPr>
        <w:t>iv</w:t>
      </w:r>
      <w:proofErr w:type="spellEnd"/>
      <w:r w:rsidRPr="00470C7C">
        <w:rPr>
          <w:lang w:val="es-CL"/>
        </w:rPr>
        <w:t xml:space="preserve">) control o restricción de la libertad de circulación; v) control sobre pertenencias personales; vi) retención de documentos de identidad; </w:t>
      </w:r>
      <w:proofErr w:type="spellStart"/>
      <w:r w:rsidRPr="00470C7C">
        <w:rPr>
          <w:lang w:val="es-CL"/>
        </w:rPr>
        <w:t>vii</w:t>
      </w:r>
      <w:proofErr w:type="spellEnd"/>
      <w:r w:rsidRPr="00470C7C">
        <w:rPr>
          <w:lang w:val="es-CL"/>
        </w:rPr>
        <w:t xml:space="preserve">) intimidación o amenazas; </w:t>
      </w:r>
      <w:proofErr w:type="spellStart"/>
      <w:r w:rsidRPr="00470C7C">
        <w:rPr>
          <w:lang w:val="es-CL"/>
        </w:rPr>
        <w:t>viii</w:t>
      </w:r>
      <w:proofErr w:type="spellEnd"/>
      <w:r w:rsidRPr="00470C7C">
        <w:rPr>
          <w:lang w:val="es-CL"/>
        </w:rPr>
        <w:t xml:space="preserve">) violencia física o sexual; </w:t>
      </w:r>
      <w:proofErr w:type="spellStart"/>
      <w:r w:rsidRPr="00470C7C">
        <w:rPr>
          <w:lang w:val="es-CL"/>
        </w:rPr>
        <w:t>ix</w:t>
      </w:r>
      <w:proofErr w:type="spellEnd"/>
      <w:r w:rsidRPr="00470C7C">
        <w:rPr>
          <w:lang w:val="es-CL"/>
        </w:rPr>
        <w:t xml:space="preserve">) tratamientos crueles o humillantes; x) salarios irrisorios y retención de éstos; xi) servidumbre por deuda; </w:t>
      </w:r>
      <w:proofErr w:type="spellStart"/>
      <w:r w:rsidRPr="00470C7C">
        <w:rPr>
          <w:lang w:val="es-CL"/>
        </w:rPr>
        <w:t>xii</w:t>
      </w:r>
      <w:proofErr w:type="spellEnd"/>
      <w:r w:rsidRPr="00470C7C">
        <w:rPr>
          <w:lang w:val="es-CL"/>
        </w:rPr>
        <w:t xml:space="preserve">) jornadas laborales excesivas; </w:t>
      </w:r>
      <w:proofErr w:type="spellStart"/>
      <w:r w:rsidRPr="00470C7C">
        <w:rPr>
          <w:lang w:val="es-CL"/>
        </w:rPr>
        <w:t>xiii</w:t>
      </w:r>
      <w:proofErr w:type="spellEnd"/>
      <w:r w:rsidRPr="00470C7C">
        <w:rPr>
          <w:lang w:val="es-CL"/>
        </w:rPr>
        <w:t xml:space="preserve">) obligación de vivir en el lugar de trabajo; </w:t>
      </w:r>
      <w:proofErr w:type="spellStart"/>
      <w:r w:rsidRPr="00470C7C">
        <w:rPr>
          <w:lang w:val="es-CL"/>
        </w:rPr>
        <w:t>xiv</w:t>
      </w:r>
      <w:proofErr w:type="spellEnd"/>
      <w:r w:rsidRPr="00470C7C">
        <w:rPr>
          <w:lang w:val="es-CL"/>
        </w:rPr>
        <w:t xml:space="preserve">) existencia de medidas para impedir la salida de trabajadores; </w:t>
      </w:r>
      <w:proofErr w:type="spellStart"/>
      <w:r w:rsidRPr="00470C7C">
        <w:rPr>
          <w:lang w:val="es-CL"/>
        </w:rPr>
        <w:t>xv</w:t>
      </w:r>
      <w:proofErr w:type="spellEnd"/>
      <w:r w:rsidRPr="00470C7C">
        <w:rPr>
          <w:lang w:val="es-CL"/>
        </w:rPr>
        <w:t xml:space="preserve">) falta de voluntad para iniciar o continuar el trabajo; </w:t>
      </w:r>
      <w:proofErr w:type="spellStart"/>
      <w:r w:rsidRPr="00470C7C">
        <w:rPr>
          <w:lang w:val="es-CL"/>
        </w:rPr>
        <w:t>xvi</w:t>
      </w:r>
      <w:proofErr w:type="spellEnd"/>
      <w:r w:rsidRPr="00470C7C">
        <w:rPr>
          <w:lang w:val="es-CL"/>
        </w:rPr>
        <w:t>) falta de consentimiento informado sobre las condiciones del trabajo</w:t>
      </w:r>
      <w:r w:rsidR="00F452D1" w:rsidRPr="00470C7C">
        <w:rPr>
          <w:lang w:val="es-CL"/>
        </w:rPr>
        <w:t>,</w:t>
      </w:r>
      <w:r w:rsidRPr="00470C7C">
        <w:rPr>
          <w:lang w:val="es-CL"/>
        </w:rPr>
        <w:t xml:space="preserve"> </w:t>
      </w:r>
      <w:r w:rsidR="00F452D1" w:rsidRPr="00470C7C">
        <w:rPr>
          <w:lang w:val="es-CL"/>
        </w:rPr>
        <w:t>y</w:t>
      </w:r>
      <w:r w:rsidRPr="00470C7C">
        <w:rPr>
          <w:lang w:val="es-CL"/>
        </w:rPr>
        <w:t xml:space="preserve"> </w:t>
      </w:r>
      <w:proofErr w:type="spellStart"/>
      <w:r w:rsidRPr="00470C7C">
        <w:rPr>
          <w:lang w:val="es-CL"/>
        </w:rPr>
        <w:t>xvii</w:t>
      </w:r>
      <w:proofErr w:type="spellEnd"/>
      <w:r w:rsidRPr="00470C7C">
        <w:rPr>
          <w:lang w:val="es-CL"/>
        </w:rPr>
        <w:t>) imposibilidad de modificar libremente la condición del trabajador.</w:t>
      </w:r>
    </w:p>
    <w:p w14:paraId="2725D0D3" w14:textId="77777777" w:rsidR="00207197" w:rsidRPr="00470C7C" w:rsidRDefault="00207197" w:rsidP="00140440">
      <w:pPr>
        <w:jc w:val="both"/>
        <w:rPr>
          <w:lang w:val="es-CL"/>
        </w:rPr>
      </w:pPr>
    </w:p>
    <w:p w14:paraId="70C8E6EC"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representantes alegaron que en este caso efectivamente se configuró una situación de esclavitud en sus formas contemporáneas y análogas en la Hacienda Brasil Verde. En su opinión, esta conclusión se desprende de los siguientes hechos: i) los trabajadores eran reclutados por </w:t>
      </w:r>
      <w:r w:rsidR="00CB2CC7" w:rsidRPr="00470C7C">
        <w:rPr>
          <w:i/>
          <w:lang w:val="es-CL"/>
        </w:rPr>
        <w:t>gatos</w:t>
      </w:r>
      <w:r w:rsidRPr="00470C7C">
        <w:rPr>
          <w:lang w:val="es-CL"/>
        </w:rPr>
        <w:t xml:space="preserve"> para ser explotados laboralmente; </w:t>
      </w:r>
      <w:proofErr w:type="spellStart"/>
      <w:r w:rsidRPr="00470C7C">
        <w:rPr>
          <w:lang w:val="es-CL"/>
        </w:rPr>
        <w:t>ii</w:t>
      </w:r>
      <w:proofErr w:type="spellEnd"/>
      <w:r w:rsidRPr="00470C7C">
        <w:rPr>
          <w:lang w:val="es-CL"/>
        </w:rPr>
        <w:t xml:space="preserve">) el consentimiento de los trabajadores para viajar a la Hacienda Brasil Verde estaba viciado, pues no sabían realmente cuál sería su salario y sus condiciones de trabajo; </w:t>
      </w:r>
      <w:proofErr w:type="spellStart"/>
      <w:r w:rsidRPr="00470C7C">
        <w:rPr>
          <w:lang w:val="es-CL"/>
        </w:rPr>
        <w:t>iii</w:t>
      </w:r>
      <w:proofErr w:type="spellEnd"/>
      <w:r w:rsidRPr="00470C7C">
        <w:rPr>
          <w:lang w:val="es-CL"/>
        </w:rPr>
        <w:t>) el gerente de la hacienda retenía y a veces modificaba las [c</w:t>
      </w:r>
      <w:r w:rsidR="00CB2CC7" w:rsidRPr="00470C7C">
        <w:rPr>
          <w:lang w:val="es-CL"/>
        </w:rPr>
        <w:t>é</w:t>
      </w:r>
      <w:r w:rsidRPr="00470C7C">
        <w:rPr>
          <w:lang w:val="es-CL"/>
        </w:rPr>
        <w:t xml:space="preserve">dulas de trabajo]; </w:t>
      </w:r>
      <w:proofErr w:type="spellStart"/>
      <w:r w:rsidRPr="00470C7C">
        <w:rPr>
          <w:lang w:val="es-CL"/>
        </w:rPr>
        <w:t>iv</w:t>
      </w:r>
      <w:proofErr w:type="spellEnd"/>
      <w:r w:rsidRPr="00470C7C">
        <w:rPr>
          <w:lang w:val="es-CL"/>
        </w:rPr>
        <w:t xml:space="preserve">) los trabajadores eran obligados a firmar dos tipos distintos de contratos de trabajo y documentos en blanco siendo que la mayoría de ellos eran analfabetos; v) las deudas que contraían los trabajadores con los </w:t>
      </w:r>
      <w:r w:rsidR="00CB2CC7" w:rsidRPr="00470C7C">
        <w:rPr>
          <w:i/>
          <w:lang w:val="es-CL"/>
        </w:rPr>
        <w:t>gatos</w:t>
      </w:r>
      <w:r w:rsidRPr="00470C7C">
        <w:rPr>
          <w:lang w:val="es-CL"/>
        </w:rPr>
        <w:t xml:space="preserve"> por el transporte y por adelantos; vi) los trabajadores debían pagar por sus herramientas de trabajo, artículos de higiene y comida a la hacienda a precios elevados; </w:t>
      </w:r>
      <w:proofErr w:type="spellStart"/>
      <w:r w:rsidRPr="00470C7C">
        <w:rPr>
          <w:lang w:val="es-CL"/>
        </w:rPr>
        <w:t>vii</w:t>
      </w:r>
      <w:proofErr w:type="spellEnd"/>
      <w:r w:rsidRPr="00470C7C">
        <w:rPr>
          <w:lang w:val="es-CL"/>
        </w:rPr>
        <w:t xml:space="preserve">) los trabajadores no podían dejar la hacienda si mantenían deudas; </w:t>
      </w:r>
      <w:proofErr w:type="spellStart"/>
      <w:r w:rsidRPr="00470C7C">
        <w:rPr>
          <w:lang w:val="es-CL"/>
        </w:rPr>
        <w:t>viii</w:t>
      </w:r>
      <w:proofErr w:type="spellEnd"/>
      <w:r w:rsidRPr="00470C7C">
        <w:rPr>
          <w:lang w:val="es-CL"/>
        </w:rPr>
        <w:t xml:space="preserve">) la jornada laboral se extendía más de 12 horas diarias; </w:t>
      </w:r>
      <w:proofErr w:type="spellStart"/>
      <w:r w:rsidRPr="00470C7C">
        <w:rPr>
          <w:lang w:val="es-CL"/>
        </w:rPr>
        <w:t>ix</w:t>
      </w:r>
      <w:proofErr w:type="spellEnd"/>
      <w:r w:rsidRPr="00470C7C">
        <w:rPr>
          <w:lang w:val="es-CL"/>
        </w:rPr>
        <w:t>) las condiciones laborales eran indignas, con alimentación insalubre e insuficiente y sin atención de salud; x) la vigilancia armada por parte de la hacienda que impedía salir a los trabajadores; xi) amenazas y golpes en caso de manifestar el deseo de salir de la hacienda</w:t>
      </w:r>
      <w:r w:rsidR="00CB2CC7" w:rsidRPr="00470C7C">
        <w:rPr>
          <w:lang w:val="es-CL"/>
        </w:rPr>
        <w:t>,</w:t>
      </w:r>
      <w:r w:rsidRPr="00470C7C">
        <w:rPr>
          <w:lang w:val="es-CL"/>
        </w:rPr>
        <w:t xml:space="preserve"> y </w:t>
      </w:r>
      <w:proofErr w:type="spellStart"/>
      <w:r w:rsidRPr="00470C7C">
        <w:rPr>
          <w:lang w:val="es-CL"/>
        </w:rPr>
        <w:t>xii</w:t>
      </w:r>
      <w:proofErr w:type="spellEnd"/>
      <w:r w:rsidRPr="00470C7C">
        <w:rPr>
          <w:lang w:val="es-CL"/>
        </w:rPr>
        <w:t>) obligación de los trabajadores de vivir en la hacienda.</w:t>
      </w:r>
    </w:p>
    <w:p w14:paraId="664FD562" w14:textId="77777777" w:rsidR="00207197" w:rsidRPr="00470C7C" w:rsidRDefault="00207197" w:rsidP="00140440">
      <w:pPr>
        <w:jc w:val="both"/>
        <w:rPr>
          <w:lang w:val="es-CL"/>
        </w:rPr>
      </w:pPr>
    </w:p>
    <w:p w14:paraId="1FB9EEF0" w14:textId="77777777" w:rsidR="00207197" w:rsidRPr="00470C7C" w:rsidRDefault="00207197" w:rsidP="00F37DC4">
      <w:pPr>
        <w:pStyle w:val="Prrafodelista"/>
        <w:numPr>
          <w:ilvl w:val="0"/>
          <w:numId w:val="1"/>
        </w:numPr>
        <w:contextualSpacing w:val="0"/>
        <w:rPr>
          <w:lang w:val="es-CL"/>
        </w:rPr>
      </w:pPr>
      <w:r w:rsidRPr="00470C7C">
        <w:rPr>
          <w:lang w:val="es-CL"/>
        </w:rPr>
        <w:t xml:space="preserve">Además de lo anterior, consideraron que mediante las deudas fraudulentamente impuestas así como la vigilancia armada, los trabajadores fueron privados de su libertad. Las amenazas y golpes constituían riesgos a la vida e integridad física de los trabajadores. Por otra parte las pobres condiciones laborales atentaban contra la honra y la dignidad de las personas. Finalmente esta situación impidió el libre desarrollo del proyecto de vida de los trabajadores, </w:t>
      </w:r>
      <w:r w:rsidR="00CB2CC7" w:rsidRPr="00470C7C">
        <w:rPr>
          <w:lang w:val="es-CL"/>
        </w:rPr>
        <w:t xml:space="preserve">y </w:t>
      </w:r>
      <w:r w:rsidRPr="00470C7C">
        <w:rPr>
          <w:lang w:val="es-CL"/>
        </w:rPr>
        <w:t>anuló su derecho al reconocimiento de la personalidad jurídica. Como consecuencia de lo anterior, en virtud del carácter complejo y pluriofensivo de la esclavitud, la servidumbre y la trata de personas, señalaron que fueron afectados los derechos al reconocimiento de la personalidad jurídica (artículo 3 de la Convención</w:t>
      </w:r>
      <w:r w:rsidR="00CB2CC7" w:rsidRPr="00470C7C">
        <w:rPr>
          <w:lang w:val="es-CL"/>
        </w:rPr>
        <w:t xml:space="preserve"> Americana</w:t>
      </w:r>
      <w:r w:rsidRPr="00470C7C">
        <w:rPr>
          <w:lang w:val="es-CL"/>
        </w:rPr>
        <w:t>), a la integridad personal (artículo 5), a la libertad y seguridad personal (artículo 7), a la dignidad y la vida privada (artículo 11), a la libre circulación y residencia (artículo 22), además de ser discriminatorio.</w:t>
      </w:r>
    </w:p>
    <w:p w14:paraId="3B103AF7" w14:textId="77777777" w:rsidR="00207197" w:rsidRPr="00470C7C" w:rsidRDefault="00207197" w:rsidP="00140440">
      <w:pPr>
        <w:jc w:val="both"/>
        <w:rPr>
          <w:lang w:val="es-CL"/>
        </w:rPr>
      </w:pPr>
    </w:p>
    <w:p w14:paraId="78B2DE08"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representantes señalaron que en el presente caso también se configura una situación de trata de personas. En </w:t>
      </w:r>
      <w:r w:rsidR="00CB2CC7" w:rsidRPr="00470C7C">
        <w:rPr>
          <w:lang w:val="es-CL"/>
        </w:rPr>
        <w:t xml:space="preserve">la </w:t>
      </w:r>
      <w:r w:rsidRPr="00470C7C">
        <w:rPr>
          <w:lang w:val="es-CL"/>
        </w:rPr>
        <w:t>Hacienda Brasil Verde se cumplían todos los requisitos de la trata como es definida en el Protocolo de Palermo. En efecto, existía transporte y traslado de trabajadores mediante engaño y fraude para fines de explotación laboral.</w:t>
      </w:r>
    </w:p>
    <w:p w14:paraId="00FCE3FA" w14:textId="77777777" w:rsidR="00207197" w:rsidRPr="00470C7C" w:rsidRDefault="00207197" w:rsidP="00140440">
      <w:pPr>
        <w:jc w:val="both"/>
        <w:rPr>
          <w:lang w:val="es-CL"/>
        </w:rPr>
      </w:pPr>
    </w:p>
    <w:p w14:paraId="00C2A618" w14:textId="77777777" w:rsidR="00207197" w:rsidRPr="00470C7C" w:rsidRDefault="00207197" w:rsidP="00F37DC4">
      <w:pPr>
        <w:pStyle w:val="Prrafodelista"/>
        <w:numPr>
          <w:ilvl w:val="0"/>
          <w:numId w:val="1"/>
        </w:numPr>
        <w:contextualSpacing w:val="0"/>
        <w:rPr>
          <w:lang w:val="es-CL"/>
        </w:rPr>
      </w:pPr>
      <w:r w:rsidRPr="00470C7C">
        <w:rPr>
          <w:lang w:val="es-CL"/>
        </w:rPr>
        <w:t xml:space="preserve">La práctica de trabajo esclavo en Brasil, según los representantes, tiene carácter estructural y ha sido tolerada por el Estado. Agregaron que los hechos del presente caso se enmarcan en este contexto general, razón por la cual la Corte debe establecer ciertas presunciones e invertir la carga de la prueba. Adicionalmente, alegaron que ciertas deficiencias probatorias del presente caso se deben precisamente a la falta de diligencia estatal al momento de fiscalizar e investigar la hacienda. </w:t>
      </w:r>
    </w:p>
    <w:p w14:paraId="466AAA01" w14:textId="77777777" w:rsidR="00207197" w:rsidRPr="00470C7C" w:rsidRDefault="00207197" w:rsidP="00140440">
      <w:pPr>
        <w:jc w:val="both"/>
        <w:rPr>
          <w:lang w:val="es-CL"/>
        </w:rPr>
      </w:pPr>
    </w:p>
    <w:p w14:paraId="0508D20D" w14:textId="77777777" w:rsidR="00207197" w:rsidRPr="00470C7C" w:rsidRDefault="00207197" w:rsidP="00F37DC4">
      <w:pPr>
        <w:pStyle w:val="Prrafodelista"/>
        <w:numPr>
          <w:ilvl w:val="0"/>
          <w:numId w:val="1"/>
        </w:numPr>
        <w:contextualSpacing w:val="0"/>
        <w:rPr>
          <w:lang w:val="es-CL"/>
        </w:rPr>
      </w:pPr>
      <w:r w:rsidRPr="00470C7C">
        <w:rPr>
          <w:lang w:val="es-CL"/>
        </w:rPr>
        <w:t xml:space="preserve">Sobre la responsabilidad del Estado por violaciones de derechos humanos cometidas por particulares, los representantes coincidieron con los argumentos de la Comisión Interamericana. </w:t>
      </w:r>
      <w:r w:rsidR="00AD2DFF" w:rsidRPr="00470C7C">
        <w:t>Específicamente, los representantes argumentaron que en el presente caso la mayoría de las víctimas es</w:t>
      </w:r>
      <w:r w:rsidR="00CB2CC7" w:rsidRPr="00470C7C">
        <w:t>tá</w:t>
      </w:r>
      <w:r w:rsidR="00AD2DFF" w:rsidRPr="00470C7C">
        <w:t xml:space="preserve"> compuesta por hombres pobres, entre 17 y 40 años de edad, afrodescendientes y morenos, originarios de estados muy pobres, como Piauí, donde vivían en situación de extrema pobreza y vulnerabilidad. Dicha situación correspondería a una cuestión de “discriminación estructural”. Así, para los representantes, “el Estado brasileño no cumplió su obligación de realizar acciones efectivas para eliminar la práctica de trabajo forzoso, trata de personas y servidumbre por deudas, así como remover los obstáculos al acceso a la justicia con fundamento en el origen, etnia, raza y posición económica de las víctimas, lo que permitió la manutención de factores de discriminación estructural que facilitaron que los trabajadores la Hacienda Brasil Verde fueran víctimas de trata, esclavitud y trabajo forzoso”. En ese sentido, los representantes solicitaron la declaración de violación del artículo 6 de la Convención</w:t>
      </w:r>
      <w:r w:rsidR="00CB2CC7" w:rsidRPr="00470C7C">
        <w:t xml:space="preserve"> Americana</w:t>
      </w:r>
      <w:r w:rsidR="00AD2DFF" w:rsidRPr="00470C7C">
        <w:t>, en relación, entre otros, con el artículo 1.1 de</w:t>
      </w:r>
      <w:r w:rsidR="00CB2CC7" w:rsidRPr="00470C7C">
        <w:t>l mismo instrumento</w:t>
      </w:r>
      <w:r w:rsidR="00AD2DFF" w:rsidRPr="00470C7C">
        <w:t>. Posteriormente, en sus alegatos finales escritos, solicitaron también la violación del artículo 24 de la Convención.</w:t>
      </w:r>
    </w:p>
    <w:p w14:paraId="3E6EF43F" w14:textId="77777777" w:rsidR="00207197" w:rsidRPr="00470C7C" w:rsidRDefault="00207197" w:rsidP="00140440">
      <w:pPr>
        <w:jc w:val="both"/>
        <w:rPr>
          <w:lang w:val="es-CL"/>
        </w:rPr>
      </w:pPr>
    </w:p>
    <w:p w14:paraId="419CDF37" w14:textId="77777777" w:rsidR="00207197" w:rsidRPr="00470C7C" w:rsidRDefault="00207197" w:rsidP="00F37DC4">
      <w:pPr>
        <w:pStyle w:val="Prrafodelista"/>
        <w:numPr>
          <w:ilvl w:val="0"/>
          <w:numId w:val="1"/>
        </w:numPr>
        <w:contextualSpacing w:val="0"/>
        <w:rPr>
          <w:lang w:val="es-CL"/>
        </w:rPr>
      </w:pPr>
      <w:r w:rsidRPr="00470C7C">
        <w:rPr>
          <w:lang w:val="es-CL"/>
        </w:rPr>
        <w:t xml:space="preserve">Los representantes concluyeron que Brasil es responsable internacionalmente por incumplir su obligación de garantía respecto a la prohibición de esclavitud contenida en el artículo 6 de la Convención Americana, en relación con los derechos a la personalidad jurídica, integridad personal, libertad y seguridad personal, honra, dignidad, vida privada, circulación y residencia (artículos 3, 5, 7, 11 y 22 de la Convención) respecto de todas las personas que trabajaban en Hacienda Brasil Verde desde la fecha de aceptación de la </w:t>
      </w:r>
      <w:r w:rsidR="00F03F93" w:rsidRPr="00470C7C">
        <w:rPr>
          <w:lang w:val="es-CL"/>
        </w:rPr>
        <w:t>c</w:t>
      </w:r>
      <w:r w:rsidRPr="00470C7C">
        <w:rPr>
          <w:lang w:val="es-CL"/>
        </w:rPr>
        <w:t xml:space="preserve">ompetencia de la Corte. Esta responsabilidad se encuentra agravada por el carácter discriminatorio de las violaciones así como la presencia de víctimas menores </w:t>
      </w:r>
      <w:r w:rsidR="00CB2CC7" w:rsidRPr="00470C7C">
        <w:rPr>
          <w:lang w:val="es-CL"/>
        </w:rPr>
        <w:t>de</w:t>
      </w:r>
      <w:r w:rsidRPr="00470C7C">
        <w:rPr>
          <w:lang w:val="es-CL"/>
        </w:rPr>
        <w:t xml:space="preserve"> 18 años.</w:t>
      </w:r>
    </w:p>
    <w:p w14:paraId="3A2C2203" w14:textId="77777777" w:rsidR="00207197" w:rsidRPr="00470C7C" w:rsidRDefault="00207197" w:rsidP="00140440">
      <w:pPr>
        <w:jc w:val="both"/>
        <w:rPr>
          <w:lang w:val="es-CL"/>
        </w:rPr>
      </w:pPr>
    </w:p>
    <w:p w14:paraId="4A21AF8C" w14:textId="77777777" w:rsidR="00207197" w:rsidRPr="00470C7C" w:rsidRDefault="00207197" w:rsidP="00F37DC4">
      <w:pPr>
        <w:pStyle w:val="Prrafodelista"/>
        <w:numPr>
          <w:ilvl w:val="0"/>
          <w:numId w:val="1"/>
        </w:numPr>
        <w:contextualSpacing w:val="0"/>
        <w:rPr>
          <w:lang w:val="es-CL"/>
        </w:rPr>
      </w:pPr>
      <w:r w:rsidRPr="00470C7C">
        <w:rPr>
          <w:lang w:val="es-CL"/>
        </w:rPr>
        <w:t xml:space="preserve">El </w:t>
      </w:r>
      <w:r w:rsidRPr="00470C7C">
        <w:rPr>
          <w:b/>
          <w:i/>
          <w:lang w:val="es-CL"/>
        </w:rPr>
        <w:t>Estado</w:t>
      </w:r>
      <w:r w:rsidRPr="00470C7C">
        <w:rPr>
          <w:lang w:val="es-CL"/>
        </w:rPr>
        <w:t xml:space="preserve"> señaló que debe distinguirse claramente entre los conceptos de esclavitud, servidumbre y </w:t>
      </w:r>
      <w:r w:rsidR="001B63D0" w:rsidRPr="00470C7C">
        <w:rPr>
          <w:lang w:val="es-CL"/>
        </w:rPr>
        <w:t>trabajo forzoso</w:t>
      </w:r>
      <w:r w:rsidRPr="00470C7C">
        <w:rPr>
          <w:lang w:val="es-CL"/>
        </w:rPr>
        <w:t>. Si bien se trata de conceptos relacionados y que se encuentran igualmente prohibidos por el artículo 6 de la Convención Americana, mantienen su individualidad jurídica y tienen distintos niveles de gravedad y, por tanto, deben tener sanciones diferenciadas en caso de responsabilidad internacional. En opinión de Brasil</w:t>
      </w:r>
      <w:r w:rsidR="00F03F93" w:rsidRPr="00470C7C">
        <w:rPr>
          <w:lang w:val="es-CL"/>
        </w:rPr>
        <w:t>,</w:t>
      </w:r>
      <w:r w:rsidRPr="00470C7C">
        <w:rPr>
          <w:lang w:val="es-CL"/>
        </w:rPr>
        <w:t xml:space="preserve"> debe evitarse la confusión entre los diversos tipos de explotación humana pues banalizaría la esclavitud y dificultaría su erradicación. En el mismo sentido, el Estado alegó que la Corte debe limitarse a analizar la esclavitud, servidumbre y </w:t>
      </w:r>
      <w:r w:rsidR="001B63D0" w:rsidRPr="00470C7C">
        <w:rPr>
          <w:lang w:val="es-CL"/>
        </w:rPr>
        <w:t>trabajo forzoso</w:t>
      </w:r>
      <w:r w:rsidRPr="00470C7C">
        <w:rPr>
          <w:lang w:val="es-CL"/>
        </w:rPr>
        <w:t xml:space="preserve"> de acuerdo al derecho internacional y no según el derecho interno brasileño, que tiene una definición mucho más expansiva de estos conceptos sin diferenciarlos adecuadamente.</w:t>
      </w:r>
    </w:p>
    <w:p w14:paraId="09585B44" w14:textId="77777777" w:rsidR="00207197" w:rsidRPr="00470C7C" w:rsidRDefault="00207197" w:rsidP="00140440">
      <w:pPr>
        <w:jc w:val="both"/>
        <w:rPr>
          <w:lang w:val="es-CL"/>
        </w:rPr>
      </w:pPr>
    </w:p>
    <w:p w14:paraId="1DB1E52B" w14:textId="77777777" w:rsidR="00207197" w:rsidRPr="00470C7C" w:rsidRDefault="00207197" w:rsidP="00F37DC4">
      <w:pPr>
        <w:pStyle w:val="Prrafodelista"/>
        <w:numPr>
          <w:ilvl w:val="0"/>
          <w:numId w:val="1"/>
        </w:numPr>
        <w:contextualSpacing w:val="0"/>
        <w:rPr>
          <w:lang w:val="es-CL"/>
        </w:rPr>
      </w:pPr>
      <w:r w:rsidRPr="00470C7C">
        <w:rPr>
          <w:lang w:val="es-CL"/>
        </w:rPr>
        <w:t xml:space="preserve">El Estado sostuvo también que la prohibición del trabajo esclavo es una obligación </w:t>
      </w:r>
      <w:r w:rsidRPr="00470C7C">
        <w:rPr>
          <w:i/>
          <w:lang w:val="es-CL"/>
        </w:rPr>
        <w:t>erga omnes</w:t>
      </w:r>
      <w:r w:rsidRPr="00470C7C">
        <w:rPr>
          <w:lang w:val="es-CL"/>
        </w:rPr>
        <w:t xml:space="preserve"> que tiene carácter de </w:t>
      </w:r>
      <w:proofErr w:type="spellStart"/>
      <w:r w:rsidRPr="00470C7C">
        <w:rPr>
          <w:i/>
          <w:lang w:val="es-CL"/>
        </w:rPr>
        <w:t>jus</w:t>
      </w:r>
      <w:proofErr w:type="spellEnd"/>
      <w:r w:rsidRPr="00470C7C">
        <w:rPr>
          <w:i/>
          <w:lang w:val="es-CL"/>
        </w:rPr>
        <w:t xml:space="preserve"> cogens</w:t>
      </w:r>
      <w:r w:rsidRPr="00470C7C">
        <w:rPr>
          <w:lang w:val="es-CL"/>
        </w:rPr>
        <w:t>. Sin embargo estas características no son suficientes para determinar el contenido de esas normas.</w:t>
      </w:r>
    </w:p>
    <w:p w14:paraId="4CB17591" w14:textId="77777777" w:rsidR="00207197" w:rsidRPr="00470C7C" w:rsidRDefault="00207197" w:rsidP="00140440">
      <w:pPr>
        <w:jc w:val="both"/>
        <w:rPr>
          <w:lang w:val="es-CL"/>
        </w:rPr>
      </w:pPr>
    </w:p>
    <w:p w14:paraId="4EF81870" w14:textId="77777777" w:rsidR="00207197" w:rsidRPr="00470C7C" w:rsidRDefault="00207197" w:rsidP="00F37DC4">
      <w:pPr>
        <w:pStyle w:val="Prrafodelista"/>
        <w:numPr>
          <w:ilvl w:val="0"/>
          <w:numId w:val="1"/>
        </w:numPr>
        <w:contextualSpacing w:val="0"/>
        <w:rPr>
          <w:lang w:val="es-CL"/>
        </w:rPr>
      </w:pPr>
      <w:r w:rsidRPr="00470C7C">
        <w:rPr>
          <w:lang w:val="es-CL"/>
        </w:rPr>
        <w:t xml:space="preserve">Respecto al </w:t>
      </w:r>
      <w:r w:rsidR="001B63D0" w:rsidRPr="00470C7C">
        <w:rPr>
          <w:lang w:val="es-CL"/>
        </w:rPr>
        <w:t>trabajo forzoso</w:t>
      </w:r>
      <w:r w:rsidRPr="00470C7C">
        <w:rPr>
          <w:lang w:val="es-CL"/>
        </w:rPr>
        <w:t xml:space="preserve">, el Estado señaló que, según el Convenio </w:t>
      </w:r>
      <w:proofErr w:type="spellStart"/>
      <w:r w:rsidRPr="00470C7C">
        <w:rPr>
          <w:lang w:val="es-CL"/>
        </w:rPr>
        <w:t>N°</w:t>
      </w:r>
      <w:proofErr w:type="spellEnd"/>
      <w:r w:rsidRPr="00470C7C">
        <w:rPr>
          <w:lang w:val="es-CL"/>
        </w:rPr>
        <w:t xml:space="preserve"> 29 de la OIT, sus elementos son</w:t>
      </w:r>
      <w:r w:rsidR="00F03F93" w:rsidRPr="00470C7C">
        <w:rPr>
          <w:lang w:val="es-CL"/>
        </w:rPr>
        <w:t>:</w:t>
      </w:r>
      <w:r w:rsidRPr="00470C7C">
        <w:rPr>
          <w:lang w:val="es-CL"/>
        </w:rPr>
        <w:t xml:space="preserve"> i) la amenaza de una sanción para la prestación del trabajo</w:t>
      </w:r>
      <w:r w:rsidR="00F03F93" w:rsidRPr="00470C7C">
        <w:rPr>
          <w:lang w:val="es-CL"/>
        </w:rPr>
        <w:t>,</w:t>
      </w:r>
      <w:r w:rsidRPr="00470C7C">
        <w:rPr>
          <w:lang w:val="es-CL"/>
        </w:rPr>
        <w:t xml:space="preserve"> y </w:t>
      </w:r>
      <w:proofErr w:type="spellStart"/>
      <w:r w:rsidRPr="00470C7C">
        <w:rPr>
          <w:lang w:val="es-CL"/>
        </w:rPr>
        <w:t>ii</w:t>
      </w:r>
      <w:proofErr w:type="spellEnd"/>
      <w:r w:rsidRPr="00470C7C">
        <w:rPr>
          <w:lang w:val="es-CL"/>
        </w:rPr>
        <w:t>) la ausencia de ofrecimiento espont</w:t>
      </w:r>
      <w:r w:rsidR="00F03F93" w:rsidRPr="00470C7C">
        <w:rPr>
          <w:lang w:val="es-CL"/>
        </w:rPr>
        <w:t>á</w:t>
      </w:r>
      <w:r w:rsidRPr="00470C7C">
        <w:rPr>
          <w:lang w:val="es-CL"/>
        </w:rPr>
        <w:t xml:space="preserve">neo para su realización. Señaló también que la Corte, en el caso de </w:t>
      </w:r>
      <w:r w:rsidR="00915049" w:rsidRPr="00470C7C">
        <w:rPr>
          <w:lang w:val="es-CL"/>
        </w:rPr>
        <w:t xml:space="preserve">las </w:t>
      </w:r>
      <w:r w:rsidRPr="00470C7C">
        <w:rPr>
          <w:lang w:val="es-CL"/>
        </w:rPr>
        <w:t>Masacres de Ituango, agregó como requisito adicional que la violación sea atribuible al Estado. Según Brasil</w:t>
      </w:r>
      <w:r w:rsidR="00F03F93" w:rsidRPr="00470C7C">
        <w:rPr>
          <w:lang w:val="es-CL"/>
        </w:rPr>
        <w:t>,</w:t>
      </w:r>
      <w:r w:rsidRPr="00470C7C">
        <w:rPr>
          <w:lang w:val="es-CL"/>
        </w:rPr>
        <w:t xml:space="preserve"> no basta una simple omisión sino que debe haber una conducta estatal con la intención de tomar parte en la violación de derecho o </w:t>
      </w:r>
      <w:r w:rsidR="00F03F93" w:rsidRPr="00470C7C">
        <w:rPr>
          <w:lang w:val="es-CL"/>
        </w:rPr>
        <w:t>por</w:t>
      </w:r>
      <w:r w:rsidRPr="00470C7C">
        <w:rPr>
          <w:lang w:val="es-CL"/>
        </w:rPr>
        <w:t xml:space="preserve"> lo menos facilitarla.  </w:t>
      </w:r>
    </w:p>
    <w:p w14:paraId="1ECE5595" w14:textId="77777777" w:rsidR="00207197" w:rsidRPr="00470C7C" w:rsidRDefault="00207197" w:rsidP="00140440">
      <w:pPr>
        <w:jc w:val="both"/>
        <w:rPr>
          <w:lang w:val="es-CL"/>
        </w:rPr>
      </w:pPr>
    </w:p>
    <w:p w14:paraId="6CB6073F" w14:textId="77777777" w:rsidR="00207197" w:rsidRPr="00470C7C" w:rsidRDefault="00207197" w:rsidP="00F37DC4">
      <w:pPr>
        <w:pStyle w:val="Prrafodelista"/>
        <w:numPr>
          <w:ilvl w:val="0"/>
          <w:numId w:val="1"/>
        </w:numPr>
        <w:contextualSpacing w:val="0"/>
        <w:rPr>
          <w:lang w:val="es-CL"/>
        </w:rPr>
      </w:pPr>
      <w:r w:rsidRPr="00470C7C">
        <w:rPr>
          <w:lang w:val="es-CL"/>
        </w:rPr>
        <w:t xml:space="preserve">Por otra parte, el Estado distinguió entre servidumbre propiamente tal y servidumbre por deuda. Los elementos del primer tipo serían: i) que el trabajo obligatorio se realiza en un terreno perteneciente a otro; </w:t>
      </w:r>
      <w:proofErr w:type="spellStart"/>
      <w:r w:rsidRPr="00470C7C">
        <w:rPr>
          <w:lang w:val="es-CL"/>
        </w:rPr>
        <w:t>ii</w:t>
      </w:r>
      <w:proofErr w:type="spellEnd"/>
      <w:r w:rsidRPr="00470C7C">
        <w:rPr>
          <w:lang w:val="es-CL"/>
        </w:rPr>
        <w:t>) la prestación de servicios no es voluntaria</w:t>
      </w:r>
      <w:r w:rsidR="00F03F93" w:rsidRPr="00470C7C">
        <w:rPr>
          <w:lang w:val="es-CL"/>
        </w:rPr>
        <w:t>,</w:t>
      </w:r>
      <w:r w:rsidRPr="00470C7C">
        <w:rPr>
          <w:lang w:val="es-CL"/>
        </w:rPr>
        <w:t xml:space="preserve"> y </w:t>
      </w:r>
      <w:proofErr w:type="spellStart"/>
      <w:r w:rsidRPr="00470C7C">
        <w:rPr>
          <w:lang w:val="es-CL"/>
        </w:rPr>
        <w:t>iii</w:t>
      </w:r>
      <w:proofErr w:type="spellEnd"/>
      <w:r w:rsidRPr="00470C7C">
        <w:rPr>
          <w:lang w:val="es-CL"/>
        </w:rPr>
        <w:t xml:space="preserve">) la obligación tiene como fuente la ley, la costumbre o el acuerdo. Además, se encontraría implícita la amenaza de violencia. Por su parte, los elementos de la servidumbre por deuda son los siguientes: i) que el trabajo se exija como garantía para el pago de una deuda; </w:t>
      </w:r>
      <w:proofErr w:type="spellStart"/>
      <w:r w:rsidRPr="00470C7C">
        <w:rPr>
          <w:lang w:val="es-CL"/>
        </w:rPr>
        <w:t>ii</w:t>
      </w:r>
      <w:proofErr w:type="spellEnd"/>
      <w:r w:rsidRPr="00470C7C">
        <w:rPr>
          <w:lang w:val="es-CL"/>
        </w:rPr>
        <w:t xml:space="preserve">) que el trabajo sea voluntariamente asumido; </w:t>
      </w:r>
      <w:proofErr w:type="spellStart"/>
      <w:r w:rsidRPr="00470C7C">
        <w:rPr>
          <w:lang w:val="es-CL"/>
        </w:rPr>
        <w:t>iii</w:t>
      </w:r>
      <w:proofErr w:type="spellEnd"/>
      <w:r w:rsidRPr="00470C7C">
        <w:rPr>
          <w:lang w:val="es-CL"/>
        </w:rPr>
        <w:t xml:space="preserve">) que el valor del trabajo sea insuficiente para saldar la deuda; </w:t>
      </w:r>
      <w:proofErr w:type="spellStart"/>
      <w:r w:rsidRPr="00470C7C">
        <w:rPr>
          <w:lang w:val="es-CL"/>
        </w:rPr>
        <w:t>iv</w:t>
      </w:r>
      <w:proofErr w:type="spellEnd"/>
      <w:r w:rsidRPr="00470C7C">
        <w:rPr>
          <w:lang w:val="es-CL"/>
        </w:rPr>
        <w:t>) que la duración del trabajo sea ilimitad</w:t>
      </w:r>
      <w:r w:rsidR="00F03F93" w:rsidRPr="00470C7C">
        <w:rPr>
          <w:lang w:val="es-CL"/>
        </w:rPr>
        <w:t>a</w:t>
      </w:r>
      <w:r w:rsidRPr="00470C7C">
        <w:rPr>
          <w:lang w:val="es-CL"/>
        </w:rPr>
        <w:t>; y v) que la naturaleza de los servicios sea indefinida.</w:t>
      </w:r>
    </w:p>
    <w:p w14:paraId="1E40FF17" w14:textId="77777777" w:rsidR="00207197" w:rsidRPr="00470C7C" w:rsidRDefault="00207197" w:rsidP="00140440">
      <w:pPr>
        <w:jc w:val="both"/>
        <w:rPr>
          <w:lang w:val="es-CL"/>
        </w:rPr>
      </w:pPr>
    </w:p>
    <w:p w14:paraId="3E86CAEE" w14:textId="77777777" w:rsidR="00207197" w:rsidRPr="00470C7C" w:rsidRDefault="00207197" w:rsidP="00F37DC4">
      <w:pPr>
        <w:pStyle w:val="Prrafodelista"/>
        <w:numPr>
          <w:ilvl w:val="0"/>
          <w:numId w:val="1"/>
        </w:numPr>
        <w:contextualSpacing w:val="0"/>
        <w:rPr>
          <w:lang w:val="es-CL"/>
        </w:rPr>
      </w:pPr>
      <w:r w:rsidRPr="00470C7C">
        <w:rPr>
          <w:lang w:val="es-CL"/>
        </w:rPr>
        <w:t>El Estado señaló que, de conformidad con la Convención de 1926, la esclavitud se refiere al ejercicio total o parcial sobre una persona de las facultades del derecho de propiedad. Atendido que legalmente la esclavitud se encuentra abolida en prácticamente todo el mundo, el ejercicio de estos poderes será una cuestión de hecho. Así, determinar la presencia de trabajo esclavo siempre dependerá del caso concreto. Sin embargo, Brasil argumentó que la Corte debe enfocarse en el elemento interno de la esclavitud, es decir</w:t>
      </w:r>
      <w:r w:rsidR="00F03F93" w:rsidRPr="00470C7C">
        <w:rPr>
          <w:lang w:val="es-CL"/>
        </w:rPr>
        <w:t>,</w:t>
      </w:r>
      <w:r w:rsidRPr="00470C7C">
        <w:rPr>
          <w:lang w:val="es-CL"/>
        </w:rPr>
        <w:t xml:space="preserve"> en su definición como el ejercicio de propiedad sobre una persona, más que en indicios, elementos externos o simplemente contextuales como pretenden los representantes.            </w:t>
      </w:r>
    </w:p>
    <w:p w14:paraId="5423E16E" w14:textId="77777777" w:rsidR="00207197" w:rsidRPr="00470C7C" w:rsidRDefault="00207197" w:rsidP="00140440">
      <w:pPr>
        <w:jc w:val="both"/>
        <w:rPr>
          <w:lang w:val="es-CL"/>
        </w:rPr>
      </w:pPr>
    </w:p>
    <w:p w14:paraId="7F8C120C" w14:textId="77777777" w:rsidR="00207197" w:rsidRPr="00470C7C" w:rsidRDefault="00207197" w:rsidP="00F37DC4">
      <w:pPr>
        <w:pStyle w:val="Prrafodelista"/>
        <w:numPr>
          <w:ilvl w:val="0"/>
          <w:numId w:val="1"/>
        </w:numPr>
        <w:contextualSpacing w:val="0"/>
        <w:rPr>
          <w:lang w:val="es-CL"/>
        </w:rPr>
      </w:pPr>
      <w:r w:rsidRPr="00470C7C">
        <w:rPr>
          <w:lang w:val="es-CL"/>
        </w:rPr>
        <w:t xml:space="preserve">El Estado señaló que en el presente caso no hay pruebas de que existió esclavitud, </w:t>
      </w:r>
      <w:r w:rsidR="001B63D0" w:rsidRPr="00470C7C">
        <w:rPr>
          <w:lang w:val="es-CL"/>
        </w:rPr>
        <w:t>trabajo forzoso</w:t>
      </w:r>
      <w:r w:rsidRPr="00470C7C">
        <w:rPr>
          <w:lang w:val="es-CL"/>
        </w:rPr>
        <w:t xml:space="preserve"> o servidumbre en la Hacienda Brasil Verde con posterioridad a la aceptación de la jurisdicción de la Corte. Alegó que la fiscalización de marzo de 2000 concluyó que los trabajadores de Hacienda Brasil Verde se encontraban en una situación de peligro para su salud e integridad física y por tanto los rescató. Dicha fiscalización constató una situación laboral degradante y numerosas violaciones a derechos laborales bajo la legislación brasileña, lo cual era suficiente para justificar el rescate. Sin embargo, en ese momento no se encontró ninguna privación de libertad ni el ejercicio de alguna de las facultades del dominio sobre los trabajadores rescatados. El Estado señaló que esta situación podría eventualmente haber sido un delito bajo el artículo 149 del Código Penal de Brasil, pero que en ningún caso podría caracterizarse como esclavitud, servidumbre o </w:t>
      </w:r>
      <w:r w:rsidR="001B63D0" w:rsidRPr="00470C7C">
        <w:rPr>
          <w:lang w:val="es-CL"/>
        </w:rPr>
        <w:t>trabajo forzoso</w:t>
      </w:r>
      <w:r w:rsidRPr="00470C7C">
        <w:rPr>
          <w:lang w:val="es-CL"/>
        </w:rPr>
        <w:t xml:space="preserve"> como se entiende bajo las reglas relevantes del Derecho Internacional de los Derechos Humanos. El Estado recalcó que el s</w:t>
      </w:r>
      <w:r w:rsidR="00F03F93" w:rsidRPr="00470C7C">
        <w:rPr>
          <w:lang w:val="es-CL"/>
        </w:rPr>
        <w:t>o</w:t>
      </w:r>
      <w:r w:rsidRPr="00470C7C">
        <w:rPr>
          <w:lang w:val="es-CL"/>
        </w:rPr>
        <w:t>lo hecho del rescate de los trabajadores es insuficiente para funda</w:t>
      </w:r>
      <w:r w:rsidR="00F03F93" w:rsidRPr="00470C7C">
        <w:rPr>
          <w:lang w:val="es-CL"/>
        </w:rPr>
        <w:t>menta</w:t>
      </w:r>
      <w:r w:rsidRPr="00470C7C">
        <w:rPr>
          <w:lang w:val="es-CL"/>
        </w:rPr>
        <w:t>r una violación a la Convención Americana, pues la legislación brasileña prevé esta medida también para situaciones menos graves</w:t>
      </w:r>
      <w:r w:rsidR="00F03F93" w:rsidRPr="00470C7C">
        <w:rPr>
          <w:lang w:val="es-CL"/>
        </w:rPr>
        <w:t>.</w:t>
      </w:r>
      <w:r w:rsidRPr="00470C7C">
        <w:rPr>
          <w:lang w:val="es-CL"/>
        </w:rPr>
        <w:t xml:space="preserve"> </w:t>
      </w:r>
    </w:p>
    <w:p w14:paraId="3B9D5570" w14:textId="77777777" w:rsidR="00207197" w:rsidRPr="00470C7C" w:rsidRDefault="00207197" w:rsidP="00140440">
      <w:pPr>
        <w:jc w:val="both"/>
        <w:rPr>
          <w:lang w:val="es-CL"/>
        </w:rPr>
      </w:pPr>
    </w:p>
    <w:p w14:paraId="1DE385ED" w14:textId="77777777" w:rsidR="00207197" w:rsidRPr="00470C7C" w:rsidRDefault="00207197" w:rsidP="00F37DC4">
      <w:pPr>
        <w:pStyle w:val="Prrafodelista"/>
        <w:numPr>
          <w:ilvl w:val="0"/>
          <w:numId w:val="1"/>
        </w:numPr>
        <w:contextualSpacing w:val="0"/>
        <w:rPr>
          <w:lang w:val="es-CL"/>
        </w:rPr>
      </w:pPr>
      <w:r w:rsidRPr="00470C7C">
        <w:rPr>
          <w:lang w:val="es-CL"/>
        </w:rPr>
        <w:t>El Estado sostuvo que</w:t>
      </w:r>
      <w:r w:rsidR="00F03F93" w:rsidRPr="00470C7C">
        <w:rPr>
          <w:lang w:val="es-CL"/>
        </w:rPr>
        <w:t>,</w:t>
      </w:r>
      <w:r w:rsidRPr="00470C7C">
        <w:rPr>
          <w:lang w:val="es-CL"/>
        </w:rPr>
        <w:t xml:space="preserve"> tanto de la fiscalización</w:t>
      </w:r>
      <w:r w:rsidR="00F03F93" w:rsidRPr="00470C7C">
        <w:rPr>
          <w:lang w:val="es-CL"/>
        </w:rPr>
        <w:t>,</w:t>
      </w:r>
      <w:r w:rsidRPr="00470C7C">
        <w:rPr>
          <w:lang w:val="es-CL"/>
        </w:rPr>
        <w:t xml:space="preserve"> como de los despidos ocurridos en los ocho meses anteriores a la inspección de marzo de 2000</w:t>
      </w:r>
      <w:r w:rsidR="00F03F93" w:rsidRPr="00470C7C">
        <w:rPr>
          <w:lang w:val="es-CL"/>
        </w:rPr>
        <w:t>,</w:t>
      </w:r>
      <w:r w:rsidRPr="00470C7C">
        <w:rPr>
          <w:lang w:val="es-CL"/>
        </w:rPr>
        <w:t xml:space="preserve"> se desprende que los trabajadores prestaban sus servicios en condiciones precarias</w:t>
      </w:r>
      <w:r w:rsidR="00F03F93" w:rsidRPr="00470C7C">
        <w:rPr>
          <w:lang w:val="es-CL"/>
        </w:rPr>
        <w:t>,</w:t>
      </w:r>
      <w:r w:rsidRPr="00470C7C">
        <w:rPr>
          <w:lang w:val="es-CL"/>
        </w:rPr>
        <w:t xml:space="preserve"> transitorias</w:t>
      </w:r>
      <w:r w:rsidR="00F03F93" w:rsidRPr="00470C7C">
        <w:rPr>
          <w:lang w:val="es-CL"/>
        </w:rPr>
        <w:t>,</w:t>
      </w:r>
      <w:r w:rsidRPr="00470C7C">
        <w:rPr>
          <w:lang w:val="es-CL"/>
        </w:rPr>
        <w:t xml:space="preserve"> y con una alta rotación</w:t>
      </w:r>
      <w:r w:rsidR="00F03F93" w:rsidRPr="00470C7C">
        <w:rPr>
          <w:lang w:val="es-CL"/>
        </w:rPr>
        <w:t>,</w:t>
      </w:r>
      <w:r w:rsidRPr="00470C7C">
        <w:rPr>
          <w:lang w:val="es-CL"/>
        </w:rPr>
        <w:t xml:space="preserve"> como era habitual en actividades rurales en el estado de Pará. Agregó que los trabajadores no tenían ningún impedimento para abandonar su trabajo en la hacienda y que no hay indicios de vigilancia armada en la referida hacienda.</w:t>
      </w:r>
    </w:p>
    <w:p w14:paraId="3C959F94" w14:textId="77777777" w:rsidR="00207197" w:rsidRPr="00470C7C" w:rsidRDefault="00207197" w:rsidP="00140440">
      <w:pPr>
        <w:jc w:val="both"/>
        <w:rPr>
          <w:lang w:val="es-CL"/>
        </w:rPr>
      </w:pPr>
    </w:p>
    <w:p w14:paraId="5317B95F" w14:textId="77777777" w:rsidR="00207197" w:rsidRPr="00470C7C" w:rsidRDefault="00207197" w:rsidP="00F37DC4">
      <w:pPr>
        <w:pStyle w:val="Prrafodelista"/>
        <w:numPr>
          <w:ilvl w:val="0"/>
          <w:numId w:val="1"/>
        </w:numPr>
        <w:contextualSpacing w:val="0"/>
        <w:rPr>
          <w:lang w:val="es-CL"/>
        </w:rPr>
      </w:pPr>
      <w:r w:rsidRPr="00470C7C">
        <w:rPr>
          <w:lang w:val="es-CL"/>
        </w:rPr>
        <w:t>Brasil alegó que los representantes y la Comisión tenían la carga de probar que los trabajadores de la Hacienda Brasil Verde estaban sujetos a alguno de los atributos del derecho de propiedad, que se encontraban privados de su libertad o sometido</w:t>
      </w:r>
      <w:r w:rsidR="00F03F93" w:rsidRPr="00470C7C">
        <w:rPr>
          <w:lang w:val="es-CL"/>
        </w:rPr>
        <w:t>s</w:t>
      </w:r>
      <w:r w:rsidRPr="00470C7C">
        <w:rPr>
          <w:lang w:val="es-CL"/>
        </w:rPr>
        <w:t xml:space="preserve"> a deudas impagables. En opinión del Estado, los representantes y la Comisión no lograron probar lo anterior. En particular</w:t>
      </w:r>
      <w:r w:rsidR="00F03F93" w:rsidRPr="00470C7C">
        <w:rPr>
          <w:lang w:val="es-CL"/>
        </w:rPr>
        <w:t>,</w:t>
      </w:r>
      <w:r w:rsidRPr="00470C7C">
        <w:rPr>
          <w:lang w:val="es-CL"/>
        </w:rPr>
        <w:t xml:space="preserve"> el Estado alegó que deben preferirse las pruebas contemporáneas a los hechos</w:t>
      </w:r>
      <w:r w:rsidR="00F03F93" w:rsidRPr="00470C7C">
        <w:rPr>
          <w:lang w:val="es-CL"/>
        </w:rPr>
        <w:t>,</w:t>
      </w:r>
      <w:r w:rsidRPr="00470C7C">
        <w:rPr>
          <w:lang w:val="es-CL"/>
        </w:rPr>
        <w:t xml:space="preserve"> como las actas de fiscalización</w:t>
      </w:r>
      <w:r w:rsidR="00F03F93" w:rsidRPr="00470C7C">
        <w:rPr>
          <w:lang w:val="es-CL"/>
        </w:rPr>
        <w:t>,</w:t>
      </w:r>
      <w:r w:rsidRPr="00470C7C">
        <w:rPr>
          <w:lang w:val="es-CL"/>
        </w:rPr>
        <w:t xml:space="preserve"> por sobre la prueba testimonial rendida en este procedimiento pues, atendido el tiempo transcurrido, se trata de testimonios vagos y contradictorios</w:t>
      </w:r>
      <w:r w:rsidR="00F03F93" w:rsidRPr="00470C7C">
        <w:rPr>
          <w:lang w:val="es-CL"/>
        </w:rPr>
        <w:t>.</w:t>
      </w:r>
      <w:r w:rsidRPr="00470C7C">
        <w:rPr>
          <w:lang w:val="es-CL"/>
        </w:rPr>
        <w:t xml:space="preserve"> </w:t>
      </w:r>
    </w:p>
    <w:p w14:paraId="502F4BBA" w14:textId="77777777" w:rsidR="00207197" w:rsidRPr="00470C7C" w:rsidRDefault="00207197" w:rsidP="00140440">
      <w:pPr>
        <w:jc w:val="both"/>
        <w:rPr>
          <w:lang w:val="es-CL"/>
        </w:rPr>
      </w:pPr>
    </w:p>
    <w:p w14:paraId="4178ECB9" w14:textId="77777777" w:rsidR="00207197" w:rsidRPr="00470C7C" w:rsidRDefault="00F03F93" w:rsidP="00F37DC4">
      <w:pPr>
        <w:pStyle w:val="Prrafodelista"/>
        <w:numPr>
          <w:ilvl w:val="0"/>
          <w:numId w:val="1"/>
        </w:numPr>
        <w:contextualSpacing w:val="0"/>
        <w:rPr>
          <w:lang w:val="es-CL"/>
        </w:rPr>
      </w:pPr>
      <w:r w:rsidRPr="00470C7C">
        <w:rPr>
          <w:lang w:val="es-CL"/>
        </w:rPr>
        <w:t>E</w:t>
      </w:r>
      <w:r w:rsidR="00207197" w:rsidRPr="00470C7C">
        <w:rPr>
          <w:lang w:val="es-CL"/>
        </w:rPr>
        <w:t>l Estado negó que los indicios en que se apoyan los representantes sean suficientes para probar la presencia de trabajo esclavo. En particular, Brasil sostuvo que: i) los contratos indefinidos son una práctica usual y más ventajos</w:t>
      </w:r>
      <w:r w:rsidRPr="00470C7C">
        <w:rPr>
          <w:lang w:val="es-CL"/>
        </w:rPr>
        <w:t>a</w:t>
      </w:r>
      <w:r w:rsidR="00207197" w:rsidRPr="00470C7C">
        <w:rPr>
          <w:lang w:val="es-CL"/>
        </w:rPr>
        <w:t xml:space="preserve">s para los trabajadores según la legislación brasileña; </w:t>
      </w:r>
      <w:proofErr w:type="spellStart"/>
      <w:r w:rsidR="00207197" w:rsidRPr="00470C7C">
        <w:rPr>
          <w:lang w:val="es-CL"/>
        </w:rPr>
        <w:t>ii</w:t>
      </w:r>
      <w:proofErr w:type="spellEnd"/>
      <w:r w:rsidR="00207197" w:rsidRPr="00470C7C">
        <w:rPr>
          <w:lang w:val="es-CL"/>
        </w:rPr>
        <w:t>) la firma de contratos en blanco tenía como fin defraudar a los trabajadores, pagándoles indemnizaciones menores a las que correspondían por ley, pero no afectaba su libertad personal</w:t>
      </w:r>
      <w:r w:rsidR="00416F35" w:rsidRPr="00470C7C">
        <w:rPr>
          <w:lang w:val="es-CL"/>
        </w:rPr>
        <w:t>,</w:t>
      </w:r>
      <w:r w:rsidR="00207197" w:rsidRPr="00470C7C">
        <w:rPr>
          <w:lang w:val="es-CL"/>
        </w:rPr>
        <w:t xml:space="preserve"> </w:t>
      </w:r>
      <w:r w:rsidRPr="00470C7C">
        <w:rPr>
          <w:lang w:val="es-CL"/>
        </w:rPr>
        <w:t xml:space="preserve">y </w:t>
      </w:r>
      <w:proofErr w:type="spellStart"/>
      <w:r w:rsidR="00207197" w:rsidRPr="00470C7C">
        <w:rPr>
          <w:lang w:val="es-CL"/>
        </w:rPr>
        <w:t>iii</w:t>
      </w:r>
      <w:proofErr w:type="spellEnd"/>
      <w:r w:rsidR="00207197" w:rsidRPr="00470C7C">
        <w:rPr>
          <w:lang w:val="es-CL"/>
        </w:rPr>
        <w:t xml:space="preserve">) el trabajo en condiciones degradantes no constituye una violación del artículo 6 de la Convención Americana. Agregó que en la siguiente fiscalización, de mayo de 2002, la situación de los trabajadores de la hacienda era satisfactoria y solo se </w:t>
      </w:r>
      <w:r w:rsidRPr="00470C7C">
        <w:rPr>
          <w:lang w:val="es-CL"/>
        </w:rPr>
        <w:t xml:space="preserve">levantaron </w:t>
      </w:r>
      <w:r w:rsidR="00207197" w:rsidRPr="00470C7C">
        <w:rPr>
          <w:lang w:val="es-CL"/>
        </w:rPr>
        <w:t xml:space="preserve">multas por infracciones laborales leves. </w:t>
      </w:r>
    </w:p>
    <w:p w14:paraId="571E39FD" w14:textId="77777777" w:rsidR="00207197" w:rsidRPr="00470C7C" w:rsidRDefault="00207197" w:rsidP="00140440">
      <w:pPr>
        <w:jc w:val="both"/>
        <w:rPr>
          <w:lang w:val="es-CL"/>
        </w:rPr>
      </w:pPr>
    </w:p>
    <w:p w14:paraId="3DA3955F" w14:textId="77777777" w:rsidR="00207197" w:rsidRPr="00470C7C" w:rsidRDefault="00207197" w:rsidP="00F37DC4">
      <w:pPr>
        <w:pStyle w:val="Prrafodelista"/>
        <w:numPr>
          <w:ilvl w:val="0"/>
          <w:numId w:val="1"/>
        </w:numPr>
        <w:contextualSpacing w:val="0"/>
        <w:rPr>
          <w:lang w:val="es-CL"/>
        </w:rPr>
      </w:pPr>
      <w:r w:rsidRPr="00470C7C">
        <w:rPr>
          <w:lang w:val="es-CL"/>
        </w:rPr>
        <w:t>El Estado señaló que no puede ser responsable de cualquier violación de derechos humanos cometida por particulares en su territorio</w:t>
      </w:r>
      <w:r w:rsidR="00660CD5" w:rsidRPr="00470C7C">
        <w:rPr>
          <w:lang w:val="es-CL"/>
        </w:rPr>
        <w:t>;</w:t>
      </w:r>
      <w:r w:rsidRPr="00470C7C">
        <w:rPr>
          <w:lang w:val="es-CL"/>
        </w:rPr>
        <w:t xml:space="preserve"> </w:t>
      </w:r>
      <w:r w:rsidR="00660CD5" w:rsidRPr="00470C7C">
        <w:rPr>
          <w:lang w:val="es-CL"/>
        </w:rPr>
        <w:t>l</w:t>
      </w:r>
      <w:r w:rsidRPr="00470C7C">
        <w:rPr>
          <w:lang w:val="es-CL"/>
        </w:rPr>
        <w:t>o contrario implicaría una presunción de responsabilidad internacional del Estado. Brasil alegó que no existe ninguna prueba de participación o aquiescencia de agentes estatales en el presente caso</w:t>
      </w:r>
      <w:r w:rsidR="00660CD5" w:rsidRPr="00470C7C">
        <w:rPr>
          <w:lang w:val="es-CL"/>
        </w:rPr>
        <w:t>,</w:t>
      </w:r>
      <w:r w:rsidRPr="00470C7C">
        <w:rPr>
          <w:lang w:val="es-CL"/>
        </w:rPr>
        <w:t xml:space="preserve"> tal como lo requiere la jurisprudencia de la Corte. En su opinión, los representantes debie</w:t>
      </w:r>
      <w:r w:rsidR="00660CD5" w:rsidRPr="00470C7C">
        <w:rPr>
          <w:lang w:val="es-CL"/>
        </w:rPr>
        <w:t>ro</w:t>
      </w:r>
      <w:r w:rsidRPr="00470C7C">
        <w:rPr>
          <w:lang w:val="es-CL"/>
        </w:rPr>
        <w:t>n haber probado violaciones concretas a los artículos 1.1 y 2 de la Convención Americana</w:t>
      </w:r>
      <w:r w:rsidR="00660CD5" w:rsidRPr="00470C7C">
        <w:rPr>
          <w:lang w:val="es-CL"/>
        </w:rPr>
        <w:t>,</w:t>
      </w:r>
      <w:r w:rsidRPr="00470C7C">
        <w:rPr>
          <w:lang w:val="es-CL"/>
        </w:rPr>
        <w:t xml:space="preserve"> respecto de víctimas debidamente representadas y que se encuentren dentro de la jurisdicción de la Corte considerando sus límites temporales y materiales. El Estado señaló que no existe prueba de conexión alguna entre agentes estatales y la Hacienda Brasil Verde. </w:t>
      </w:r>
      <w:r w:rsidR="00660CD5" w:rsidRPr="00470C7C">
        <w:rPr>
          <w:lang w:val="es-CL"/>
        </w:rPr>
        <w:t>Asimismo</w:t>
      </w:r>
      <w:r w:rsidRPr="00470C7C">
        <w:rPr>
          <w:lang w:val="es-CL"/>
        </w:rPr>
        <w:t xml:space="preserve">, afirmó que las eventuales deficiencias en la investigación y persecución del trabajo esclavo no son suficientes para incumplir su deber de garantía en el </w:t>
      </w:r>
      <w:r w:rsidR="00660CD5" w:rsidRPr="00470C7C">
        <w:rPr>
          <w:lang w:val="es-CL"/>
        </w:rPr>
        <w:t>s</w:t>
      </w:r>
      <w:r w:rsidRPr="00470C7C">
        <w:rPr>
          <w:lang w:val="es-CL"/>
        </w:rPr>
        <w:t xml:space="preserve">istema </w:t>
      </w:r>
      <w:r w:rsidR="00660CD5" w:rsidRPr="00470C7C">
        <w:rPr>
          <w:lang w:val="es-CL"/>
        </w:rPr>
        <w:t>i</w:t>
      </w:r>
      <w:r w:rsidRPr="00470C7C">
        <w:rPr>
          <w:lang w:val="es-CL"/>
        </w:rPr>
        <w:t>nteramericano.</w:t>
      </w:r>
    </w:p>
    <w:p w14:paraId="47A63E05" w14:textId="77777777" w:rsidR="00207197" w:rsidRPr="00470C7C" w:rsidRDefault="00207197" w:rsidP="00140440">
      <w:pPr>
        <w:jc w:val="both"/>
        <w:rPr>
          <w:lang w:val="es-CL"/>
        </w:rPr>
      </w:pPr>
    </w:p>
    <w:p w14:paraId="4FA61DDB" w14:textId="77777777" w:rsidR="00207197" w:rsidRPr="00470C7C" w:rsidRDefault="00207197" w:rsidP="00F37DC4">
      <w:pPr>
        <w:pStyle w:val="Prrafodelista"/>
        <w:numPr>
          <w:ilvl w:val="0"/>
          <w:numId w:val="1"/>
        </w:numPr>
        <w:contextualSpacing w:val="0"/>
        <w:rPr>
          <w:lang w:val="es-CL"/>
        </w:rPr>
      </w:pPr>
      <w:r w:rsidRPr="00470C7C">
        <w:rPr>
          <w:lang w:val="es-CL"/>
        </w:rPr>
        <w:t xml:space="preserve">El Estado señaló que ha cumplido con todos los estándares internacionales para la prevención y erradicación del trabajo esclavo. En particular, destacó una serie de políticas públicas implementadas desde el año 2002 orientadas a: i) capacitación, asistencia e información a personas vulnerables; </w:t>
      </w:r>
      <w:proofErr w:type="spellStart"/>
      <w:r w:rsidRPr="00470C7C">
        <w:rPr>
          <w:lang w:val="es-CL"/>
        </w:rPr>
        <w:t>ii</w:t>
      </w:r>
      <w:proofErr w:type="spellEnd"/>
      <w:r w:rsidRPr="00470C7C">
        <w:rPr>
          <w:lang w:val="es-CL"/>
        </w:rPr>
        <w:t xml:space="preserve">) concientización y compromiso de empleadores; </w:t>
      </w:r>
      <w:proofErr w:type="spellStart"/>
      <w:r w:rsidRPr="00470C7C">
        <w:rPr>
          <w:lang w:val="es-CL"/>
        </w:rPr>
        <w:t>iii</w:t>
      </w:r>
      <w:proofErr w:type="spellEnd"/>
      <w:r w:rsidRPr="00470C7C">
        <w:rPr>
          <w:lang w:val="es-CL"/>
        </w:rPr>
        <w:t>) fortalecer los servicios de inspección e investigación de trabajo esclavo</w:t>
      </w:r>
      <w:r w:rsidR="00660CD5" w:rsidRPr="00470C7C">
        <w:rPr>
          <w:lang w:val="es-CL"/>
        </w:rPr>
        <w:t>,</w:t>
      </w:r>
      <w:r w:rsidRPr="00470C7C">
        <w:rPr>
          <w:lang w:val="es-CL"/>
        </w:rPr>
        <w:t xml:space="preserve"> y </w:t>
      </w:r>
      <w:proofErr w:type="spellStart"/>
      <w:r w:rsidRPr="00470C7C">
        <w:rPr>
          <w:lang w:val="es-CL"/>
        </w:rPr>
        <w:t>iv</w:t>
      </w:r>
      <w:proofErr w:type="spellEnd"/>
      <w:r w:rsidRPr="00470C7C">
        <w:rPr>
          <w:lang w:val="es-CL"/>
        </w:rPr>
        <w:t xml:space="preserve">) protección contra prácticas abusivas y fraudulentas de contratación. </w:t>
      </w:r>
    </w:p>
    <w:p w14:paraId="32D444CF" w14:textId="77777777" w:rsidR="00207197" w:rsidRPr="00470C7C" w:rsidRDefault="00207197" w:rsidP="00140440">
      <w:pPr>
        <w:jc w:val="both"/>
        <w:rPr>
          <w:lang w:val="es-CL"/>
        </w:rPr>
      </w:pPr>
    </w:p>
    <w:p w14:paraId="14608268" w14:textId="77777777" w:rsidR="00207197" w:rsidRPr="00470C7C" w:rsidRDefault="00660CD5" w:rsidP="00F37DC4">
      <w:pPr>
        <w:pStyle w:val="Prrafodelista"/>
        <w:numPr>
          <w:ilvl w:val="0"/>
          <w:numId w:val="1"/>
        </w:numPr>
        <w:contextualSpacing w:val="0"/>
        <w:rPr>
          <w:lang w:val="es-CL"/>
        </w:rPr>
      </w:pPr>
      <w:r w:rsidRPr="00470C7C">
        <w:rPr>
          <w:lang w:val="es-CL"/>
        </w:rPr>
        <w:t>C</w:t>
      </w:r>
      <w:r w:rsidR="00207197" w:rsidRPr="00470C7C">
        <w:rPr>
          <w:lang w:val="es-CL"/>
        </w:rPr>
        <w:t xml:space="preserve">onsiderando todo lo anterior, el Estado solicitó que la Corte juzgue improcedente las peticiones de reconocer la existencia en este caso de trabajo esclavo, servidumbre o </w:t>
      </w:r>
      <w:r w:rsidR="001B63D0" w:rsidRPr="00470C7C">
        <w:rPr>
          <w:lang w:val="es-CL"/>
        </w:rPr>
        <w:t>trabajo forzoso</w:t>
      </w:r>
      <w:r w:rsidR="00207197" w:rsidRPr="00470C7C">
        <w:rPr>
          <w:lang w:val="es-CL"/>
        </w:rPr>
        <w:t xml:space="preserve"> y que declare que no existieron violaciones por parte de Brasil del artículo 6 de la Convención. </w:t>
      </w:r>
    </w:p>
    <w:p w14:paraId="55779504" w14:textId="77777777" w:rsidR="00207197" w:rsidRPr="00470C7C" w:rsidRDefault="00207197" w:rsidP="00140440">
      <w:pPr>
        <w:jc w:val="both"/>
        <w:rPr>
          <w:lang w:val="es-CL"/>
        </w:rPr>
      </w:pPr>
    </w:p>
    <w:p w14:paraId="679C8DFF" w14:textId="77777777" w:rsidR="00207197" w:rsidRPr="00470C7C" w:rsidRDefault="00207197" w:rsidP="008B0BCC">
      <w:pPr>
        <w:pStyle w:val="Ttulo2"/>
        <w:numPr>
          <w:ilvl w:val="0"/>
          <w:numId w:val="19"/>
        </w:numPr>
      </w:pPr>
      <w:bookmarkStart w:id="348" w:name="_Toc464813958"/>
      <w:r w:rsidRPr="00470C7C">
        <w:t>Consideraciones de la Corte</w:t>
      </w:r>
      <w:bookmarkEnd w:id="348"/>
      <w:r w:rsidRPr="00470C7C">
        <w:t xml:space="preserve">  </w:t>
      </w:r>
    </w:p>
    <w:p w14:paraId="7C005DC7" w14:textId="77777777" w:rsidR="00207197" w:rsidRPr="00470C7C" w:rsidRDefault="00207197" w:rsidP="00140440">
      <w:pPr>
        <w:jc w:val="both"/>
        <w:rPr>
          <w:lang w:val="es-ES"/>
        </w:rPr>
      </w:pPr>
    </w:p>
    <w:p w14:paraId="351A9BF2" w14:textId="77777777" w:rsidR="003C2CE1" w:rsidRPr="00470C7C" w:rsidRDefault="00207197" w:rsidP="00C66702">
      <w:pPr>
        <w:pStyle w:val="Prrafodelista"/>
        <w:numPr>
          <w:ilvl w:val="0"/>
          <w:numId w:val="1"/>
        </w:numPr>
        <w:contextualSpacing w:val="0"/>
      </w:pPr>
      <w:r w:rsidRPr="00470C7C">
        <w:t xml:space="preserve">En el presente acápite la Corte realizará consideraciones sobre las alegadas violaciones a las varias disposiciones del artículo 6 de la Convención Americana respecto de la prohibición de la esclavitud, servidumbre, </w:t>
      </w:r>
      <w:r w:rsidR="001B63D0" w:rsidRPr="00470C7C">
        <w:t>trabajo forzoso</w:t>
      </w:r>
      <w:r w:rsidRPr="00470C7C">
        <w:t xml:space="preserve"> y trata de personas. Para </w:t>
      </w:r>
      <w:r w:rsidR="00FA6AAF" w:rsidRPr="00470C7C">
        <w:t>ello</w:t>
      </w:r>
      <w:r w:rsidRPr="00470C7C">
        <w:t xml:space="preserve">, el Tribunal: i) analizará el desarrollo de estos conceptos en el derecho internacional; para entonces </w:t>
      </w:r>
      <w:proofErr w:type="spellStart"/>
      <w:r w:rsidRPr="00470C7C">
        <w:t>ii</w:t>
      </w:r>
      <w:proofErr w:type="spellEnd"/>
      <w:r w:rsidRPr="00470C7C">
        <w:t xml:space="preserve">) determinar el contenido de las disposiciones previstas en el artículo 6 de la Convención Americana; y seguidamente </w:t>
      </w:r>
      <w:proofErr w:type="spellStart"/>
      <w:r w:rsidRPr="00470C7C">
        <w:t>iii</w:t>
      </w:r>
      <w:proofErr w:type="spellEnd"/>
      <w:r w:rsidRPr="00470C7C">
        <w:t xml:space="preserve">) verificar si los hechos del presente caso representaron violaciones a la Convención Americana sobre Derechos Humanos. </w:t>
      </w:r>
    </w:p>
    <w:p w14:paraId="58DD681B" w14:textId="77777777" w:rsidR="00C66702" w:rsidRPr="00470C7C" w:rsidRDefault="00C66702" w:rsidP="00C66702">
      <w:pPr>
        <w:pStyle w:val="Prrafodelista"/>
        <w:ind w:left="0"/>
        <w:contextualSpacing w:val="0"/>
      </w:pPr>
    </w:p>
    <w:p w14:paraId="40EFC1CE" w14:textId="77777777" w:rsidR="00207197" w:rsidRPr="00470C7C" w:rsidRDefault="00207197" w:rsidP="00F37DC4">
      <w:pPr>
        <w:pStyle w:val="Prrafodelista"/>
        <w:numPr>
          <w:ilvl w:val="0"/>
          <w:numId w:val="1"/>
        </w:numPr>
        <w:contextualSpacing w:val="0"/>
      </w:pPr>
      <w:r w:rsidRPr="00470C7C">
        <w:t xml:space="preserve">El artículo 6 de la Convención Americana dispone que: </w:t>
      </w:r>
    </w:p>
    <w:p w14:paraId="48EAC830" w14:textId="77777777" w:rsidR="00207197" w:rsidRPr="00470C7C" w:rsidRDefault="00207197" w:rsidP="00140440">
      <w:pPr>
        <w:pStyle w:val="Prrafodelista"/>
        <w:ind w:left="0"/>
      </w:pPr>
    </w:p>
    <w:p w14:paraId="720EB6CC" w14:textId="77777777" w:rsidR="00207197" w:rsidRPr="00470C7C" w:rsidRDefault="00207197" w:rsidP="00524926">
      <w:pPr>
        <w:tabs>
          <w:tab w:val="clear" w:pos="4419"/>
          <w:tab w:val="clear" w:pos="8838"/>
          <w:tab w:val="right" w:pos="0"/>
        </w:tabs>
        <w:ind w:left="709" w:right="804"/>
        <w:jc w:val="both"/>
        <w:rPr>
          <w:sz w:val="16"/>
          <w:szCs w:val="16"/>
        </w:rPr>
      </w:pPr>
      <w:r w:rsidRPr="00470C7C">
        <w:rPr>
          <w:sz w:val="16"/>
          <w:szCs w:val="16"/>
        </w:rPr>
        <w:tab/>
        <w:t>Artículo 6.  Prohibición de la Esclavitud  y Servidumbre</w:t>
      </w:r>
    </w:p>
    <w:p w14:paraId="39879663" w14:textId="77777777" w:rsidR="00207197" w:rsidRPr="00470C7C" w:rsidRDefault="00207197" w:rsidP="00140440">
      <w:pPr>
        <w:ind w:left="709" w:right="804"/>
        <w:jc w:val="both"/>
        <w:rPr>
          <w:sz w:val="16"/>
          <w:szCs w:val="16"/>
        </w:rPr>
      </w:pPr>
      <w:r w:rsidRPr="00470C7C">
        <w:rPr>
          <w:sz w:val="16"/>
          <w:szCs w:val="16"/>
        </w:rPr>
        <w:t>1. Nadie puede ser sometido a esclavitud o servidumbre, y tanto éstas, como la trata de esclavos y la trata de mujeres están prohibidas en todas sus formas.</w:t>
      </w:r>
    </w:p>
    <w:p w14:paraId="21A12B8F" w14:textId="77777777" w:rsidR="00207197" w:rsidRPr="00470C7C" w:rsidRDefault="00207197" w:rsidP="00140440">
      <w:pPr>
        <w:ind w:left="709" w:right="804"/>
        <w:jc w:val="both"/>
        <w:rPr>
          <w:sz w:val="16"/>
          <w:szCs w:val="16"/>
        </w:rPr>
      </w:pPr>
      <w:r w:rsidRPr="00470C7C">
        <w:rPr>
          <w:sz w:val="16"/>
          <w:szCs w:val="16"/>
        </w:rPr>
        <w:t>2. Nadie debe ser constreñido a ejecutar un trabajo forzoso u obligatorio.  En los países donde ciertos delitos tengan señalada pena privativa de la libertad acompañada de trabajos forzosos, esta disposición no podrá ser interpretada en el sentido de que prohíbe el cumplimiento de dicha pena impuesta por juez o tribunal competente.  El trabajo forzoso no debe afectar a la dignidad ni a la capacidad física e intelectual del recluido.</w:t>
      </w:r>
    </w:p>
    <w:p w14:paraId="3F10CD63" w14:textId="77777777" w:rsidR="00207197" w:rsidRPr="00470C7C" w:rsidRDefault="00207197" w:rsidP="00140440">
      <w:pPr>
        <w:ind w:left="709" w:right="804"/>
        <w:jc w:val="both"/>
        <w:rPr>
          <w:sz w:val="16"/>
          <w:szCs w:val="16"/>
        </w:rPr>
      </w:pPr>
      <w:r w:rsidRPr="00470C7C">
        <w:rPr>
          <w:sz w:val="16"/>
          <w:szCs w:val="16"/>
        </w:rPr>
        <w:t>3. No constituyen trabajo forzoso u obligatorio, para los efectos de este artículo:</w:t>
      </w:r>
    </w:p>
    <w:p w14:paraId="02A430E6" w14:textId="77777777" w:rsidR="00207197" w:rsidRPr="00470C7C" w:rsidRDefault="00207197" w:rsidP="00140440">
      <w:pPr>
        <w:ind w:left="709" w:right="804"/>
        <w:jc w:val="both"/>
        <w:rPr>
          <w:sz w:val="16"/>
          <w:szCs w:val="16"/>
        </w:rPr>
      </w:pPr>
      <w:r w:rsidRPr="00470C7C">
        <w:rPr>
          <w:sz w:val="16"/>
          <w:szCs w:val="16"/>
        </w:rPr>
        <w:tab/>
        <w:t>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no serán puestos a disposición de particulares, compañías o personas jurídicas de carácter privado;</w:t>
      </w:r>
    </w:p>
    <w:p w14:paraId="6FF4AA8A" w14:textId="77777777" w:rsidR="00207197" w:rsidRPr="00470C7C" w:rsidRDefault="00207197" w:rsidP="00140440">
      <w:pPr>
        <w:ind w:left="709" w:right="804"/>
        <w:jc w:val="both"/>
        <w:rPr>
          <w:sz w:val="16"/>
          <w:szCs w:val="16"/>
        </w:rPr>
      </w:pPr>
      <w:r w:rsidRPr="00470C7C">
        <w:rPr>
          <w:sz w:val="16"/>
          <w:szCs w:val="16"/>
        </w:rPr>
        <w:tab/>
        <w:t>b. el servicio militar y, en los países donde se admite exención por razones de conciencia, el servicio nacional que la ley establezca en lugar de aquél;</w:t>
      </w:r>
    </w:p>
    <w:p w14:paraId="183F58D0" w14:textId="77777777" w:rsidR="00207197" w:rsidRPr="00470C7C" w:rsidRDefault="00207197" w:rsidP="00140440">
      <w:pPr>
        <w:ind w:left="709" w:right="804"/>
        <w:jc w:val="both"/>
        <w:rPr>
          <w:sz w:val="16"/>
          <w:szCs w:val="16"/>
        </w:rPr>
      </w:pPr>
      <w:r w:rsidRPr="00470C7C">
        <w:rPr>
          <w:sz w:val="16"/>
          <w:szCs w:val="16"/>
        </w:rPr>
        <w:tab/>
        <w:t>c. el servicio impuesto en casos de peligro o calamidad que amenace la existencia o el bienestar de la comunidad, y</w:t>
      </w:r>
    </w:p>
    <w:p w14:paraId="513EE486" w14:textId="77777777" w:rsidR="00207197" w:rsidRPr="00470C7C" w:rsidRDefault="00207197" w:rsidP="00140440">
      <w:pPr>
        <w:ind w:left="709" w:right="804"/>
        <w:jc w:val="both"/>
        <w:rPr>
          <w:sz w:val="16"/>
          <w:szCs w:val="16"/>
        </w:rPr>
      </w:pPr>
      <w:r w:rsidRPr="00470C7C">
        <w:rPr>
          <w:sz w:val="16"/>
          <w:szCs w:val="16"/>
        </w:rPr>
        <w:t>d. el trabajo o servicio que forme parte de las obligaciones cívicas normales.</w:t>
      </w:r>
    </w:p>
    <w:p w14:paraId="74D1D506" w14:textId="77777777" w:rsidR="00207197" w:rsidRPr="00470C7C" w:rsidRDefault="00207197" w:rsidP="00140440">
      <w:pPr>
        <w:jc w:val="both"/>
        <w:rPr>
          <w:szCs w:val="20"/>
        </w:rPr>
      </w:pPr>
    </w:p>
    <w:p w14:paraId="30E63A0C" w14:textId="77777777" w:rsidR="00402077" w:rsidRPr="00470C7C" w:rsidRDefault="00402077" w:rsidP="000944E7">
      <w:pPr>
        <w:pStyle w:val="Prrafodelista"/>
        <w:numPr>
          <w:ilvl w:val="0"/>
          <w:numId w:val="1"/>
        </w:numPr>
        <w:contextualSpacing w:val="0"/>
        <w:rPr>
          <w:lang w:val="es-EC"/>
        </w:rPr>
      </w:pPr>
      <w:r w:rsidRPr="00470C7C">
        <w:t>Para efectos de esta Sentencia, la Corte tendrá en consideración únicamente los incisos 1 (esclavitud, servidumbre y trata de esclavos y mujeres) y 2 (trabajo forzoso) del artículo 6</w:t>
      </w:r>
      <w:r w:rsidR="00660CD5" w:rsidRPr="00470C7C">
        <w:t xml:space="preserve"> de la Convención</w:t>
      </w:r>
      <w:r w:rsidRPr="00470C7C">
        <w:t xml:space="preserve">, los cuales se refieren a los temas objeto de controversia del presente </w:t>
      </w:r>
      <w:r w:rsidR="00660CD5" w:rsidRPr="00470C7C">
        <w:t>caso</w:t>
      </w:r>
      <w:r w:rsidRPr="00470C7C">
        <w:t xml:space="preserve">. En ese sentido, la Corte primero analizará cada uno de los conceptos mencionados </w:t>
      </w:r>
      <w:r w:rsidRPr="00470C7C">
        <w:rPr>
          <w:i/>
        </w:rPr>
        <w:t>supra</w:t>
      </w:r>
      <w:r w:rsidRPr="00470C7C">
        <w:t>.</w:t>
      </w:r>
    </w:p>
    <w:p w14:paraId="0B4DA35F" w14:textId="77777777" w:rsidR="00402077" w:rsidRPr="00470C7C" w:rsidRDefault="00402077" w:rsidP="00402077">
      <w:pPr>
        <w:pStyle w:val="Prrafodelista"/>
        <w:ind w:left="0"/>
        <w:contextualSpacing w:val="0"/>
        <w:rPr>
          <w:lang w:val="es-EC"/>
        </w:rPr>
      </w:pPr>
    </w:p>
    <w:p w14:paraId="3C813227" w14:textId="77777777" w:rsidR="000944E7" w:rsidRPr="00470C7C" w:rsidRDefault="000944E7" w:rsidP="000944E7">
      <w:pPr>
        <w:pStyle w:val="Prrafodelista"/>
        <w:numPr>
          <w:ilvl w:val="0"/>
          <w:numId w:val="1"/>
        </w:numPr>
        <w:contextualSpacing w:val="0"/>
        <w:rPr>
          <w:lang w:val="es-EC"/>
        </w:rPr>
      </w:pPr>
      <w:r w:rsidRPr="00470C7C">
        <w:rPr>
          <w:lang w:val="es-EC"/>
        </w:rPr>
        <w:t>El derecho a no ser sometido a esclavitud, a servidumbre, trabajo forzoso o trata de esclavos y mujeres tiene un carácter esencial en la Convención</w:t>
      </w:r>
      <w:r w:rsidR="00660CD5" w:rsidRPr="00470C7C">
        <w:rPr>
          <w:lang w:val="es-EC"/>
        </w:rPr>
        <w:t xml:space="preserve"> Americana</w:t>
      </w:r>
      <w:r w:rsidRPr="00470C7C">
        <w:rPr>
          <w:lang w:val="es-EC"/>
        </w:rPr>
        <w:t>. De conformidad con el artículo 27.2 del referido tratado, forma parte del núcleo inderogable</w:t>
      </w:r>
      <w:r w:rsidR="00660CD5" w:rsidRPr="00470C7C">
        <w:rPr>
          <w:lang w:val="es-EC"/>
        </w:rPr>
        <w:t xml:space="preserve"> de derechos</w:t>
      </w:r>
      <w:r w:rsidRPr="00470C7C">
        <w:rPr>
          <w:lang w:val="es-EC"/>
        </w:rPr>
        <w:t>, pues no pueden ser suspendidos en casos de guerra, peligro público u otras amenazas.</w:t>
      </w:r>
    </w:p>
    <w:p w14:paraId="436DD650" w14:textId="77777777" w:rsidR="000944E7" w:rsidRPr="00470C7C" w:rsidRDefault="000944E7" w:rsidP="00ED3AD0">
      <w:pPr>
        <w:pStyle w:val="Prrafodelista"/>
        <w:ind w:left="0"/>
        <w:contextualSpacing w:val="0"/>
      </w:pPr>
    </w:p>
    <w:p w14:paraId="67C3943A" w14:textId="77777777" w:rsidR="00207197" w:rsidRPr="00470C7C" w:rsidRDefault="00207197" w:rsidP="00F37DC4">
      <w:pPr>
        <w:pStyle w:val="Prrafodelista"/>
        <w:numPr>
          <w:ilvl w:val="0"/>
          <w:numId w:val="1"/>
        </w:numPr>
        <w:contextualSpacing w:val="0"/>
      </w:pPr>
      <w:r w:rsidRPr="00470C7C">
        <w:t>Como se trata del primer caso contencioso ante el Tribunal Interamer</w:t>
      </w:r>
      <w:r w:rsidR="00592688" w:rsidRPr="00470C7C">
        <w:t>icano su</w:t>
      </w:r>
      <w:r w:rsidRPr="00470C7C">
        <w:t>stancialmente relacionado con el inciso 1 del artículo 6</w:t>
      </w:r>
      <w:r w:rsidRPr="00470C7C">
        <w:rPr>
          <w:rStyle w:val="Refdenotaalpie"/>
        </w:rPr>
        <w:footnoteReference w:id="354"/>
      </w:r>
      <w:r w:rsidRPr="00470C7C">
        <w:t>, la Corte hará un breve resumen del desarrollo sobre la materia en el derecho internacional</w:t>
      </w:r>
      <w:r w:rsidR="00347B8C" w:rsidRPr="00470C7C">
        <w:t>,</w:t>
      </w:r>
      <w:r w:rsidRPr="00470C7C">
        <w:t xml:space="preserve"> para dar contenido a </w:t>
      </w:r>
      <w:r w:rsidR="002C7B8C" w:rsidRPr="00470C7C">
        <w:t xml:space="preserve">los conceptos de </w:t>
      </w:r>
      <w:r w:rsidRPr="00470C7C">
        <w:t>esclavitud, servidumbre</w:t>
      </w:r>
      <w:r w:rsidR="002C7B8C" w:rsidRPr="00470C7C">
        <w:t>,</w:t>
      </w:r>
      <w:r w:rsidRPr="00470C7C">
        <w:t xml:space="preserve"> trata de esclavos y mujeres</w:t>
      </w:r>
      <w:r w:rsidR="002C7B8C" w:rsidRPr="00470C7C">
        <w:t>, y trabajo forzoso</w:t>
      </w:r>
      <w:r w:rsidRPr="00470C7C">
        <w:t xml:space="preserve"> </w:t>
      </w:r>
      <w:r w:rsidR="002C7B8C" w:rsidRPr="00470C7C">
        <w:t>prohibid</w:t>
      </w:r>
      <w:r w:rsidR="00347B8C" w:rsidRPr="00470C7C">
        <w:t>o</w:t>
      </w:r>
      <w:r w:rsidR="002C7B8C" w:rsidRPr="00470C7C">
        <w:t xml:space="preserve">s por </w:t>
      </w:r>
      <w:r w:rsidRPr="00470C7C">
        <w:t xml:space="preserve">la Convención Americana, </w:t>
      </w:r>
      <w:r w:rsidRPr="00470C7C">
        <w:rPr>
          <w:lang w:val="es-ES_tradnl"/>
        </w:rPr>
        <w:t>a la luz de las reglas generales de interpretación establecidas en el artículo 29 de la Convención</w:t>
      </w:r>
      <w:r w:rsidR="00732777" w:rsidRPr="00470C7C">
        <w:rPr>
          <w:rStyle w:val="Refdenotaalpie"/>
          <w:lang w:val="es-ES_tradnl"/>
        </w:rPr>
        <w:footnoteReference w:id="355"/>
      </w:r>
      <w:r w:rsidRPr="00470C7C">
        <w:rPr>
          <w:lang w:val="es-ES_tradnl"/>
        </w:rPr>
        <w:t xml:space="preserve">. </w:t>
      </w:r>
    </w:p>
    <w:p w14:paraId="551A54C1" w14:textId="77777777" w:rsidR="00207197" w:rsidRPr="00470C7C" w:rsidRDefault="00207197" w:rsidP="00140440">
      <w:pPr>
        <w:jc w:val="both"/>
      </w:pPr>
    </w:p>
    <w:p w14:paraId="6E32483A" w14:textId="77777777" w:rsidR="00207197" w:rsidRPr="00470C7C" w:rsidRDefault="00207197" w:rsidP="00F37DC4">
      <w:pPr>
        <w:pStyle w:val="Prrafodelista"/>
        <w:numPr>
          <w:ilvl w:val="0"/>
          <w:numId w:val="1"/>
        </w:numPr>
        <w:contextualSpacing w:val="0"/>
      </w:pPr>
      <w:r w:rsidRPr="00470C7C">
        <w:rPr>
          <w:lang w:val="es-ES_tradnl"/>
        </w:rPr>
        <w:t>En otras oportunidades, tanto esta Corte</w:t>
      </w:r>
      <w:r w:rsidRPr="00470C7C">
        <w:rPr>
          <w:vertAlign w:val="superscript"/>
          <w:lang w:val="es-ES_tradnl"/>
        </w:rPr>
        <w:footnoteReference w:id="356"/>
      </w:r>
      <w:r w:rsidRPr="00470C7C">
        <w:rPr>
          <w:lang w:val="es-ES_tradnl"/>
        </w:rPr>
        <w:t xml:space="preserve"> como el Tribunal Europeo de Derechos Humanos</w:t>
      </w:r>
      <w:r w:rsidRPr="00470C7C">
        <w:rPr>
          <w:vertAlign w:val="superscript"/>
          <w:lang w:val="es-ES_tradnl"/>
        </w:rPr>
        <w:footnoteReference w:id="357"/>
      </w:r>
      <w:r w:rsidRPr="00470C7C">
        <w:rPr>
          <w:lang w:val="es-ES_tradnl"/>
        </w:rPr>
        <w:t xml:space="preserve"> </w:t>
      </w:r>
      <w:r w:rsidR="00472939" w:rsidRPr="00470C7C">
        <w:rPr>
          <w:lang w:val="es-AR"/>
        </w:rPr>
        <w:t xml:space="preserve">(en adelante “TEDH”) </w:t>
      </w:r>
      <w:r w:rsidRPr="00470C7C">
        <w:rPr>
          <w:lang w:val="es-ES_tradnl"/>
        </w:rPr>
        <w:t>han señalado que los tratados de derechos humanos son instrumentos vivos, cuya interpretación tiene que acompañar la evolución de los tiempos y las condiciones de vida actuales. Tal interpretación evolutiva es consecuente con las reglas generales de interpretación consagradas en el artículo 29 de la Convención Americana, así como las establecidas por la Convención de Viena sobre el Derecho de los Tratados.</w:t>
      </w:r>
    </w:p>
    <w:p w14:paraId="1A09CA4A" w14:textId="77777777" w:rsidR="00207197" w:rsidRPr="00470C7C" w:rsidRDefault="00207197" w:rsidP="00140440">
      <w:pPr>
        <w:jc w:val="both"/>
        <w:rPr>
          <w:lang w:val="es-ES_tradnl"/>
        </w:rPr>
      </w:pPr>
    </w:p>
    <w:p w14:paraId="04A23E0C" w14:textId="77777777" w:rsidR="00207197" w:rsidRPr="00470C7C" w:rsidRDefault="00207197" w:rsidP="00F37DC4">
      <w:pPr>
        <w:pStyle w:val="Prrafodelista"/>
        <w:numPr>
          <w:ilvl w:val="0"/>
          <w:numId w:val="1"/>
        </w:numPr>
        <w:contextualSpacing w:val="0"/>
        <w:rPr>
          <w:lang w:val="es-ES"/>
        </w:rPr>
      </w:pPr>
      <w:r w:rsidRPr="00470C7C">
        <w:rPr>
          <w:lang w:val="es-ES_tradnl"/>
        </w:rPr>
        <w:t>En este sentido, esta Corte ha afirmado que</w:t>
      </w:r>
      <w:r w:rsidR="00416F35" w:rsidRPr="00470C7C">
        <w:rPr>
          <w:lang w:val="es-ES_tradnl"/>
        </w:rPr>
        <w:t>,</w:t>
      </w:r>
      <w:r w:rsidRPr="00470C7C">
        <w:rPr>
          <w:lang w:val="es-ES_tradnl"/>
        </w:rPr>
        <w:t xml:space="preserve"> al dar interpretación a un tratado</w:t>
      </w:r>
      <w:r w:rsidR="00416F35" w:rsidRPr="00470C7C">
        <w:rPr>
          <w:lang w:val="es-ES_tradnl"/>
        </w:rPr>
        <w:t>,</w:t>
      </w:r>
      <w:r w:rsidRPr="00470C7C">
        <w:rPr>
          <w:lang w:val="es-ES_tradnl"/>
        </w:rPr>
        <w:t xml:space="preserve"> no</w:t>
      </w:r>
      <w:r w:rsidR="00B54FB3" w:rsidRPr="00470C7C">
        <w:rPr>
          <w:lang w:val="es-ES_tradnl"/>
        </w:rPr>
        <w:t xml:space="preserve"> solo</w:t>
      </w:r>
      <w:r w:rsidR="00701BB2" w:rsidRPr="00470C7C">
        <w:rPr>
          <w:lang w:val="es-ES_tradnl"/>
        </w:rPr>
        <w:t xml:space="preserve"> </w:t>
      </w:r>
      <w:r w:rsidRPr="00470C7C">
        <w:rPr>
          <w:lang w:val="es-ES_tradnl"/>
        </w:rPr>
        <w:t>se toman en cuenta los acuerdos e instrumentos formalmente relacionados con</w:t>
      </w:r>
      <w:r w:rsidR="00A74771" w:rsidRPr="00470C7C">
        <w:rPr>
          <w:lang w:val="es-ES_tradnl"/>
        </w:rPr>
        <w:t xml:space="preserve"> este </w:t>
      </w:r>
      <w:r w:rsidRPr="00470C7C">
        <w:rPr>
          <w:lang w:val="es-ES_tradnl"/>
        </w:rPr>
        <w:t>(inciso segundo del artículo 31 de la Convención de Viena), sino también el sistema dentro del cual se inscribe (inciso tercero del artículo 31 de dicha Convención)</w:t>
      </w:r>
      <w:r w:rsidRPr="00470C7C">
        <w:rPr>
          <w:vertAlign w:val="superscript"/>
          <w:lang w:val="es-ES_tradnl"/>
        </w:rPr>
        <w:footnoteReference w:id="358"/>
      </w:r>
      <w:r w:rsidR="001D2A88" w:rsidRPr="00470C7C">
        <w:rPr>
          <w:lang w:val="es-ES_tradnl"/>
        </w:rPr>
        <w:t xml:space="preserve">. </w:t>
      </w:r>
      <w:r w:rsidR="00EF30D7" w:rsidRPr="00470C7C">
        <w:rPr>
          <w:lang w:val="es-ES_tradnl"/>
        </w:rPr>
        <w:t xml:space="preserve">Así, </w:t>
      </w:r>
      <w:r w:rsidR="00EF30D7" w:rsidRPr="00470C7C">
        <w:rPr>
          <w:rFonts w:cs="Calibri"/>
        </w:rPr>
        <w:t>p</w:t>
      </w:r>
      <w:r w:rsidR="00EF30D7" w:rsidRPr="00470C7C">
        <w:rPr>
          <w:lang w:val="es-AR"/>
        </w:rPr>
        <w:t>ara</w:t>
      </w:r>
      <w:r w:rsidR="00EF30D7" w:rsidRPr="00470C7C">
        <w:rPr>
          <w:rFonts w:cs="Verdana"/>
          <w:lang w:val="es-CL" w:eastAsia="es-CL"/>
        </w:rPr>
        <w:t xml:space="preserve"> emitir su opinión sobre la interpretación de las disposiciones jurídicas traídas a </w:t>
      </w:r>
      <w:r w:rsidR="002C7B8C" w:rsidRPr="00470C7C">
        <w:rPr>
          <w:rFonts w:cs="Verdana"/>
          <w:lang w:val="es-CL" w:eastAsia="es-CL"/>
        </w:rPr>
        <w:t>discusión</w:t>
      </w:r>
      <w:r w:rsidR="00EF30D7" w:rsidRPr="00470C7C">
        <w:rPr>
          <w:rFonts w:cs="Times"/>
          <w:lang w:val="es-EC"/>
        </w:rPr>
        <w:t xml:space="preserve">, la Corte recurrirá a la Convención de Viena sobre el Derecho de los Tratados, la cual </w:t>
      </w:r>
      <w:r w:rsidR="00EF30D7" w:rsidRPr="00470C7C">
        <w:rPr>
          <w:rFonts w:cs="Calibri"/>
          <w:lang w:val="es-EC"/>
        </w:rPr>
        <w:t>recoge l</w:t>
      </w:r>
      <w:r w:rsidR="00EF30D7" w:rsidRPr="00470C7C">
        <w:rPr>
          <w:rFonts w:cs="Calibri"/>
        </w:rPr>
        <w:t xml:space="preserve">a </w:t>
      </w:r>
      <w:r w:rsidR="00EF30D7" w:rsidRPr="00470C7C">
        <w:rPr>
          <w:lang w:val="es-AR"/>
        </w:rPr>
        <w:t xml:space="preserve">regla general y </w:t>
      </w:r>
      <w:r w:rsidR="00EF30D7" w:rsidRPr="00470C7C">
        <w:rPr>
          <w:rFonts w:cs="Calibri"/>
        </w:rPr>
        <w:t>consuetudinaria de interpretación de los tratados internacionales</w:t>
      </w:r>
      <w:r w:rsidR="00EF30D7" w:rsidRPr="00470C7C">
        <w:rPr>
          <w:rStyle w:val="Refdenotaalpie"/>
          <w:rFonts w:cs="Calibri"/>
        </w:rPr>
        <w:footnoteReference w:id="359"/>
      </w:r>
      <w:r w:rsidR="00EF30D7" w:rsidRPr="00470C7C">
        <w:rPr>
          <w:rFonts w:cs="Calibri"/>
        </w:rPr>
        <w:t xml:space="preserve">, que implica la aplicación simultánea y conjunta de la buena fe, el sentido corriente de los términos empleados en el tratado de que se trate, el contexto de éstos y el objeto y fin de aquél. Por ello, </w:t>
      </w:r>
      <w:r w:rsidR="00EF30D7" w:rsidRPr="00470C7C">
        <w:t>la Corte</w:t>
      </w:r>
      <w:r w:rsidR="00EF30D7" w:rsidRPr="00470C7C">
        <w:rPr>
          <w:lang w:val="es-ES"/>
        </w:rPr>
        <w:t xml:space="preserve"> hará uso de los métodos de interpretación estipulados en los artículos 31</w:t>
      </w:r>
      <w:r w:rsidR="00EF30D7" w:rsidRPr="00470C7C">
        <w:rPr>
          <w:rStyle w:val="Refdenotaalpie"/>
          <w:lang w:val="es-ES"/>
        </w:rPr>
        <w:footnoteReference w:id="360"/>
      </w:r>
      <w:r w:rsidR="00EF30D7" w:rsidRPr="00470C7C">
        <w:rPr>
          <w:lang w:val="es-ES"/>
        </w:rPr>
        <w:t xml:space="preserve"> y 32</w:t>
      </w:r>
      <w:r w:rsidR="00EF30D7" w:rsidRPr="00470C7C">
        <w:rPr>
          <w:rStyle w:val="Refdenotaalpie"/>
          <w:lang w:val="es-ES"/>
        </w:rPr>
        <w:footnoteReference w:id="361"/>
      </w:r>
      <w:r w:rsidR="00EF30D7" w:rsidRPr="00470C7C">
        <w:rPr>
          <w:lang w:val="es-ES"/>
        </w:rPr>
        <w:t xml:space="preserve"> de la Convención de Viena para llevar a cabo dicha interpretación</w:t>
      </w:r>
      <w:r w:rsidR="00E65F7D" w:rsidRPr="00470C7C">
        <w:rPr>
          <w:rStyle w:val="Refdenotaalpie"/>
          <w:lang w:val="es-ES"/>
        </w:rPr>
        <w:footnoteReference w:id="362"/>
      </w:r>
      <w:r w:rsidR="00EF30D7" w:rsidRPr="00470C7C">
        <w:rPr>
          <w:lang w:val="es-ES"/>
        </w:rPr>
        <w:t>.</w:t>
      </w:r>
    </w:p>
    <w:p w14:paraId="5F32F892" w14:textId="77777777" w:rsidR="00207197" w:rsidRPr="00470C7C" w:rsidRDefault="00207197" w:rsidP="00140440">
      <w:pPr>
        <w:jc w:val="both"/>
        <w:rPr>
          <w:lang w:val="es-ES_tradnl"/>
        </w:rPr>
      </w:pPr>
    </w:p>
    <w:p w14:paraId="4176EB4E" w14:textId="77777777" w:rsidR="00207197" w:rsidRPr="00470C7C" w:rsidRDefault="00207197" w:rsidP="00F37DC4">
      <w:pPr>
        <w:pStyle w:val="Prrafodelista"/>
        <w:numPr>
          <w:ilvl w:val="0"/>
          <w:numId w:val="1"/>
        </w:numPr>
        <w:contextualSpacing w:val="0"/>
        <w:rPr>
          <w:lang w:val="es-ES"/>
        </w:rPr>
      </w:pPr>
      <w:r w:rsidRPr="00470C7C">
        <w:rPr>
          <w:lang w:val="es-ES_tradnl"/>
        </w:rPr>
        <w:t>En el presente caso, al analizar los alcances del artículo 6 de la Convención</w:t>
      </w:r>
      <w:r w:rsidR="00A54539" w:rsidRPr="00470C7C">
        <w:rPr>
          <w:lang w:val="es-ES_tradnl"/>
        </w:rPr>
        <w:t xml:space="preserve"> Americana</w:t>
      </w:r>
      <w:r w:rsidRPr="00470C7C">
        <w:rPr>
          <w:lang w:val="es-ES_tradnl"/>
        </w:rPr>
        <w:t>, el Tribunal considera útil y apropiado utilizar otros tratados internacio</w:t>
      </w:r>
      <w:r w:rsidR="00592688" w:rsidRPr="00470C7C">
        <w:rPr>
          <w:lang w:val="es-ES_tradnl"/>
        </w:rPr>
        <w:t>nales distintos a la Convención</w:t>
      </w:r>
      <w:r w:rsidRPr="00470C7C">
        <w:rPr>
          <w:lang w:val="es-ES_tradnl"/>
        </w:rPr>
        <w:t>,</w:t>
      </w:r>
      <w:r w:rsidRPr="00470C7C">
        <w:rPr>
          <w:b/>
          <w:lang w:val="es-ES_tradnl"/>
        </w:rPr>
        <w:t xml:space="preserve"> </w:t>
      </w:r>
      <w:r w:rsidRPr="00470C7C">
        <w:rPr>
          <w:lang w:val="es-ES_tradnl"/>
        </w:rPr>
        <w:t>para interpretar sus disposiciones de acuerdo a la evolución del sistema interamericano, habida consideración del desarrollo experimentado en esta materia en las varias ramas del derecho internacional, en particular el derecho internacional de los derechos humanos</w:t>
      </w:r>
      <w:r w:rsidRPr="00470C7C">
        <w:rPr>
          <w:vertAlign w:val="superscript"/>
          <w:lang w:val="es-ES_tradnl"/>
        </w:rPr>
        <w:footnoteReference w:id="363"/>
      </w:r>
      <w:r w:rsidRPr="00470C7C">
        <w:rPr>
          <w:lang w:val="es-ES_tradnl"/>
        </w:rPr>
        <w:t>.</w:t>
      </w:r>
    </w:p>
    <w:p w14:paraId="0A2DE941" w14:textId="77777777" w:rsidR="00207197" w:rsidRPr="00470C7C" w:rsidRDefault="00207197" w:rsidP="00140440">
      <w:pPr>
        <w:jc w:val="both"/>
      </w:pPr>
    </w:p>
    <w:p w14:paraId="1E5A14E4" w14:textId="77777777" w:rsidR="00207197" w:rsidRPr="00470C7C" w:rsidRDefault="008B5D60" w:rsidP="008B5D60">
      <w:pPr>
        <w:pStyle w:val="Ttulo3"/>
      </w:pPr>
      <w:bookmarkStart w:id="349" w:name="_Toc464813959"/>
      <w:r w:rsidRPr="00470C7C">
        <w:t>B.1</w:t>
      </w:r>
      <w:r w:rsidR="00DC2886" w:rsidRPr="00470C7C">
        <w:t>.</w:t>
      </w:r>
      <w:r w:rsidR="00207197" w:rsidRPr="00470C7C">
        <w:t xml:space="preserve"> La evolución </w:t>
      </w:r>
      <w:r w:rsidR="00EF5CD4" w:rsidRPr="00470C7C">
        <w:t xml:space="preserve">de la </w:t>
      </w:r>
      <w:r w:rsidR="00207197" w:rsidRPr="00470C7C">
        <w:t>prohibición</w:t>
      </w:r>
      <w:r w:rsidR="00EF5CD4" w:rsidRPr="00470C7C">
        <w:t xml:space="preserve"> de la esclavitud</w:t>
      </w:r>
      <w:r w:rsidR="00064461" w:rsidRPr="00470C7C">
        <w:t xml:space="preserve">, la servidumbre, el </w:t>
      </w:r>
      <w:r w:rsidR="001B63D0" w:rsidRPr="00470C7C">
        <w:t>trabajo forzoso</w:t>
      </w:r>
      <w:r w:rsidR="00064461" w:rsidRPr="00470C7C">
        <w:t xml:space="preserve"> y</w:t>
      </w:r>
      <w:r w:rsidR="00323FC8" w:rsidRPr="00470C7C">
        <w:t xml:space="preserve"> las p</w:t>
      </w:r>
      <w:r w:rsidR="008D1243" w:rsidRPr="00470C7C">
        <w:t>r</w:t>
      </w:r>
      <w:r w:rsidR="00323FC8" w:rsidRPr="00470C7C">
        <w:t xml:space="preserve">ácticas análogas a la esclavitud </w:t>
      </w:r>
      <w:r w:rsidR="00207197" w:rsidRPr="00470C7C">
        <w:t>en el derecho internacional</w:t>
      </w:r>
      <w:bookmarkEnd w:id="349"/>
    </w:p>
    <w:p w14:paraId="00E0441A" w14:textId="77777777" w:rsidR="00207197" w:rsidRPr="00470C7C" w:rsidRDefault="00207197" w:rsidP="00140440">
      <w:pPr>
        <w:jc w:val="both"/>
      </w:pPr>
    </w:p>
    <w:p w14:paraId="36A141AF" w14:textId="77777777" w:rsidR="00207197" w:rsidRPr="00470C7C" w:rsidRDefault="00402077" w:rsidP="00F37DC4">
      <w:pPr>
        <w:pStyle w:val="Prrafodelista"/>
        <w:numPr>
          <w:ilvl w:val="0"/>
          <w:numId w:val="1"/>
        </w:numPr>
        <w:contextualSpacing w:val="0"/>
      </w:pPr>
      <w:r w:rsidRPr="00470C7C">
        <w:t xml:space="preserve">El proceso de eliminación universal de la </w:t>
      </w:r>
      <w:r w:rsidR="00207197" w:rsidRPr="00470C7C">
        <w:t xml:space="preserve">práctica de la esclavitud </w:t>
      </w:r>
      <w:r w:rsidRPr="00470C7C">
        <w:t xml:space="preserve">tomó </w:t>
      </w:r>
      <w:r w:rsidR="00207197" w:rsidRPr="00470C7C">
        <w:t xml:space="preserve">cuerpo en el siglo XVIII, cuando varios tribunales nacionales pasaron a declarar que dicha práctica ya no era aceptable. Sin perjuicio de </w:t>
      </w:r>
      <w:r w:rsidR="00E07DAB" w:rsidRPr="00470C7C">
        <w:t>distintas</w:t>
      </w:r>
      <w:r w:rsidR="00820FB5" w:rsidRPr="00470C7C">
        <w:t xml:space="preserve"> </w:t>
      </w:r>
      <w:r w:rsidR="00207197" w:rsidRPr="00470C7C">
        <w:t xml:space="preserve">iniciativas bilaterales y multilaterales para </w:t>
      </w:r>
      <w:r w:rsidR="001D2A88" w:rsidRPr="00470C7C">
        <w:t>prohi</w:t>
      </w:r>
      <w:r w:rsidR="00207197" w:rsidRPr="00470C7C">
        <w:t xml:space="preserve">bir la esclavitud en el siglo XIX, el primer tratado universal sobre la materia fue la Convención sobre la Esclavitud, adoptada en Ginebra el 25 de septiembre de 1926, bajo los auspicios de la Liga de Naciones, la cual prescribió que: </w:t>
      </w:r>
    </w:p>
    <w:p w14:paraId="63619ECE" w14:textId="77777777" w:rsidR="00207197" w:rsidRPr="00470C7C" w:rsidRDefault="00207197" w:rsidP="00140440">
      <w:pPr>
        <w:jc w:val="both"/>
      </w:pPr>
    </w:p>
    <w:p w14:paraId="33162E09" w14:textId="77777777" w:rsidR="00207197" w:rsidRPr="00470C7C" w:rsidRDefault="00207197" w:rsidP="00F37DC4">
      <w:pPr>
        <w:tabs>
          <w:tab w:val="clear" w:pos="4419"/>
          <w:tab w:val="clear" w:pos="8838"/>
          <w:tab w:val="center" w:pos="709"/>
        </w:tabs>
        <w:ind w:left="709" w:right="758"/>
        <w:jc w:val="both"/>
        <w:rPr>
          <w:sz w:val="16"/>
          <w:szCs w:val="16"/>
        </w:rPr>
      </w:pPr>
      <w:r w:rsidRPr="00470C7C">
        <w:rPr>
          <w:sz w:val="16"/>
          <w:szCs w:val="16"/>
        </w:rPr>
        <w:t>Artículo 1</w:t>
      </w:r>
    </w:p>
    <w:p w14:paraId="74F0EA01" w14:textId="77777777" w:rsidR="00207197" w:rsidRPr="00470C7C" w:rsidRDefault="00207197" w:rsidP="00F37DC4">
      <w:pPr>
        <w:tabs>
          <w:tab w:val="clear" w:pos="4419"/>
          <w:tab w:val="clear" w:pos="8838"/>
          <w:tab w:val="center" w:pos="709"/>
        </w:tabs>
        <w:ind w:left="709" w:right="758"/>
        <w:jc w:val="both"/>
        <w:rPr>
          <w:sz w:val="16"/>
          <w:szCs w:val="16"/>
        </w:rPr>
      </w:pPr>
      <w:r w:rsidRPr="00470C7C">
        <w:rPr>
          <w:sz w:val="16"/>
          <w:szCs w:val="16"/>
        </w:rPr>
        <w:t>A los fines de la presente Convención se entiende que:</w:t>
      </w:r>
    </w:p>
    <w:p w14:paraId="594E274A" w14:textId="77777777" w:rsidR="00207197" w:rsidRPr="00470C7C" w:rsidRDefault="00207197" w:rsidP="00F37DC4">
      <w:pPr>
        <w:tabs>
          <w:tab w:val="clear" w:pos="4419"/>
          <w:tab w:val="clear" w:pos="8838"/>
          <w:tab w:val="center" w:pos="709"/>
        </w:tabs>
        <w:ind w:left="709" w:right="758"/>
        <w:jc w:val="both"/>
        <w:rPr>
          <w:sz w:val="16"/>
          <w:szCs w:val="16"/>
        </w:rPr>
      </w:pPr>
      <w:r w:rsidRPr="00470C7C">
        <w:rPr>
          <w:sz w:val="16"/>
          <w:szCs w:val="16"/>
        </w:rPr>
        <w:t>1. La esclavitud es el estado o condición de un individuo sobre el cual se ejercitan los atributos del derecho de propiedad o algunos de ellos.</w:t>
      </w:r>
    </w:p>
    <w:p w14:paraId="264636B3" w14:textId="77777777" w:rsidR="00207197" w:rsidRPr="00470C7C" w:rsidRDefault="00207197" w:rsidP="00F37DC4">
      <w:pPr>
        <w:tabs>
          <w:tab w:val="clear" w:pos="4419"/>
          <w:tab w:val="clear" w:pos="8838"/>
          <w:tab w:val="center" w:pos="709"/>
        </w:tabs>
        <w:ind w:left="709" w:right="758"/>
        <w:jc w:val="both"/>
        <w:rPr>
          <w:sz w:val="16"/>
          <w:szCs w:val="16"/>
        </w:rPr>
      </w:pPr>
      <w:r w:rsidRPr="00470C7C">
        <w:rPr>
          <w:sz w:val="16"/>
          <w:szCs w:val="16"/>
        </w:rPr>
        <w:t>2. La trata de esclavos comprende todo acto de captura, adquisición o cesión de un individuo para venderle o cambiarle; todo acto de cesión por venta o cambio de un esclavo, adquirido para venderle o cambiarle, y en general todo acto de comercio o de transporte de esclavos.</w:t>
      </w:r>
    </w:p>
    <w:p w14:paraId="6EAD2B52" w14:textId="77777777" w:rsidR="00207197" w:rsidRPr="00470C7C" w:rsidRDefault="00207197" w:rsidP="00F37DC4">
      <w:pPr>
        <w:tabs>
          <w:tab w:val="clear" w:pos="4419"/>
          <w:tab w:val="clear" w:pos="8838"/>
          <w:tab w:val="center" w:pos="709"/>
        </w:tabs>
        <w:ind w:left="709" w:right="758"/>
        <w:jc w:val="both"/>
        <w:rPr>
          <w:sz w:val="16"/>
          <w:szCs w:val="16"/>
        </w:rPr>
      </w:pPr>
    </w:p>
    <w:p w14:paraId="0463CEC5" w14:textId="77777777" w:rsidR="00207197" w:rsidRPr="00470C7C" w:rsidRDefault="00207197" w:rsidP="00F37DC4">
      <w:pPr>
        <w:tabs>
          <w:tab w:val="clear" w:pos="4419"/>
          <w:tab w:val="clear" w:pos="8838"/>
          <w:tab w:val="center" w:pos="709"/>
        </w:tabs>
        <w:ind w:left="709" w:right="758"/>
        <w:jc w:val="both"/>
        <w:rPr>
          <w:sz w:val="16"/>
          <w:szCs w:val="16"/>
        </w:rPr>
      </w:pPr>
      <w:r w:rsidRPr="00470C7C">
        <w:rPr>
          <w:sz w:val="16"/>
          <w:szCs w:val="16"/>
        </w:rPr>
        <w:t>Artículo 2</w:t>
      </w:r>
    </w:p>
    <w:p w14:paraId="0400174A" w14:textId="77777777" w:rsidR="00F37DC4" w:rsidRPr="00470C7C" w:rsidRDefault="00207197" w:rsidP="00F37DC4">
      <w:pPr>
        <w:tabs>
          <w:tab w:val="clear" w:pos="4419"/>
          <w:tab w:val="clear" w:pos="8838"/>
          <w:tab w:val="center" w:pos="709"/>
        </w:tabs>
        <w:ind w:left="709" w:right="758"/>
        <w:jc w:val="both"/>
        <w:rPr>
          <w:sz w:val="16"/>
          <w:szCs w:val="16"/>
        </w:rPr>
      </w:pPr>
      <w:r w:rsidRPr="00470C7C">
        <w:rPr>
          <w:sz w:val="16"/>
          <w:szCs w:val="16"/>
        </w:rPr>
        <w:t xml:space="preserve">Las Altas Partes contratantes se obligan, en tanto no hayan tomado ya las medidas necesarias, y cada una en lo que concierne a los territorios colocados bajo su soberanía, jurisdicción, protección, </w:t>
      </w:r>
      <w:r w:rsidR="00F37DC4" w:rsidRPr="00470C7C">
        <w:rPr>
          <w:sz w:val="16"/>
          <w:szCs w:val="16"/>
        </w:rPr>
        <w:t>dominio (</w:t>
      </w:r>
      <w:proofErr w:type="spellStart"/>
      <w:r w:rsidR="00F37DC4" w:rsidRPr="00470C7C">
        <w:rPr>
          <w:i/>
          <w:sz w:val="16"/>
          <w:szCs w:val="16"/>
        </w:rPr>
        <w:t>suzeraineté</w:t>
      </w:r>
      <w:proofErr w:type="spellEnd"/>
      <w:r w:rsidR="00F37DC4" w:rsidRPr="00470C7C">
        <w:rPr>
          <w:sz w:val="16"/>
          <w:szCs w:val="16"/>
        </w:rPr>
        <w:t>) o tutela:</w:t>
      </w:r>
    </w:p>
    <w:p w14:paraId="128A1C72" w14:textId="77777777" w:rsidR="00207197" w:rsidRPr="00470C7C" w:rsidRDefault="00F37DC4" w:rsidP="00F37DC4">
      <w:pPr>
        <w:tabs>
          <w:tab w:val="clear" w:pos="4419"/>
          <w:tab w:val="clear" w:pos="8838"/>
          <w:tab w:val="right" w:pos="567"/>
          <w:tab w:val="center" w:pos="709"/>
        </w:tabs>
        <w:ind w:left="709" w:right="758"/>
        <w:jc w:val="both"/>
        <w:rPr>
          <w:sz w:val="16"/>
          <w:szCs w:val="16"/>
        </w:rPr>
      </w:pPr>
      <w:r w:rsidRPr="00470C7C">
        <w:rPr>
          <w:sz w:val="16"/>
          <w:szCs w:val="16"/>
        </w:rPr>
        <w:t xml:space="preserve">  </w:t>
      </w:r>
      <w:r w:rsidR="00207197" w:rsidRPr="00470C7C">
        <w:rPr>
          <w:sz w:val="16"/>
          <w:szCs w:val="16"/>
        </w:rPr>
        <w:t>a) A prevenir y reprimir la trata de esclavos;</w:t>
      </w:r>
    </w:p>
    <w:p w14:paraId="5771FB7B" w14:textId="77777777" w:rsidR="00207197" w:rsidRPr="00470C7C" w:rsidRDefault="00F37DC4" w:rsidP="00F37DC4">
      <w:pPr>
        <w:tabs>
          <w:tab w:val="clear" w:pos="4419"/>
          <w:tab w:val="clear" w:pos="8838"/>
          <w:tab w:val="center" w:pos="709"/>
        </w:tabs>
        <w:ind w:left="709" w:right="758"/>
        <w:jc w:val="both"/>
        <w:rPr>
          <w:sz w:val="16"/>
          <w:szCs w:val="16"/>
        </w:rPr>
      </w:pPr>
      <w:r w:rsidRPr="00470C7C">
        <w:rPr>
          <w:sz w:val="16"/>
          <w:szCs w:val="16"/>
        </w:rPr>
        <w:t xml:space="preserve">  </w:t>
      </w:r>
      <w:r w:rsidR="00207197" w:rsidRPr="00470C7C">
        <w:rPr>
          <w:sz w:val="16"/>
          <w:szCs w:val="16"/>
        </w:rPr>
        <w:t>b) A procurar de una manera progresiva, y tan pronto como sea posible, la supresión</w:t>
      </w:r>
      <w:r w:rsidR="002C7B8C" w:rsidRPr="00470C7C">
        <w:rPr>
          <w:sz w:val="16"/>
          <w:szCs w:val="16"/>
        </w:rPr>
        <w:t xml:space="preserve"> </w:t>
      </w:r>
      <w:r w:rsidR="00207197" w:rsidRPr="00470C7C">
        <w:rPr>
          <w:sz w:val="16"/>
          <w:szCs w:val="16"/>
        </w:rPr>
        <w:t>completa de la esclavitud en todas sus formas.</w:t>
      </w:r>
    </w:p>
    <w:p w14:paraId="4AC9951E" w14:textId="77777777" w:rsidR="00207197" w:rsidRPr="00470C7C" w:rsidRDefault="00207197" w:rsidP="00140440">
      <w:pPr>
        <w:jc w:val="both"/>
        <w:rPr>
          <w:szCs w:val="20"/>
        </w:rPr>
      </w:pPr>
    </w:p>
    <w:p w14:paraId="326A8E45" w14:textId="77777777" w:rsidR="00207197" w:rsidRPr="00470C7C" w:rsidRDefault="00207197" w:rsidP="00F37DC4">
      <w:pPr>
        <w:pStyle w:val="Prrafodelista"/>
        <w:numPr>
          <w:ilvl w:val="0"/>
          <w:numId w:val="1"/>
        </w:numPr>
        <w:contextualSpacing w:val="0"/>
      </w:pPr>
      <w:r w:rsidRPr="00470C7C">
        <w:t>A partir de entonces varios tratados internacionales han reiterado la prohibición de la esclavitud</w:t>
      </w:r>
      <w:r w:rsidRPr="00470C7C">
        <w:rPr>
          <w:rStyle w:val="Refdenotaalpie"/>
        </w:rPr>
        <w:footnoteReference w:id="364"/>
      </w:r>
      <w:r w:rsidRPr="00470C7C">
        <w:t>, la cual es considerada una norma imperativa del derecho internacional (</w:t>
      </w:r>
      <w:proofErr w:type="spellStart"/>
      <w:r w:rsidRPr="00470C7C">
        <w:rPr>
          <w:i/>
        </w:rPr>
        <w:t>jus</w:t>
      </w:r>
      <w:proofErr w:type="spellEnd"/>
      <w:r w:rsidRPr="00470C7C">
        <w:rPr>
          <w:i/>
        </w:rPr>
        <w:t xml:space="preserve"> cogens</w:t>
      </w:r>
      <w:r w:rsidRPr="00470C7C">
        <w:t>)</w:t>
      </w:r>
      <w:r w:rsidRPr="00470C7C">
        <w:rPr>
          <w:rStyle w:val="Refdenotaalpie"/>
        </w:rPr>
        <w:footnoteReference w:id="365"/>
      </w:r>
      <w:r w:rsidRPr="00470C7C">
        <w:t xml:space="preserve">, y conlleva obligaciones </w:t>
      </w:r>
      <w:r w:rsidRPr="00470C7C">
        <w:rPr>
          <w:i/>
        </w:rPr>
        <w:t>erga omnes</w:t>
      </w:r>
      <w:r w:rsidRPr="00470C7C">
        <w:t xml:space="preserve"> según la Corte Internacional de Justicia</w:t>
      </w:r>
      <w:r w:rsidRPr="00470C7C">
        <w:rPr>
          <w:rStyle w:val="Refdenotaalpie"/>
        </w:rPr>
        <w:footnoteReference w:id="366"/>
      </w:r>
      <w:r w:rsidRPr="00470C7C">
        <w:t>. En el presente caso todas las partes han reconocido expresamente ese estatus jurídico internacional de la prohibición de la esclavitud.</w:t>
      </w:r>
      <w:r w:rsidR="00BB4320" w:rsidRPr="00470C7C">
        <w:t xml:space="preserve"> Asimismo, tanto Brasil como la mayoría de los estados de la región</w:t>
      </w:r>
      <w:r w:rsidR="00302931" w:rsidRPr="00470C7C">
        <w:rPr>
          <w:rStyle w:val="Refdenotaalpie"/>
        </w:rPr>
        <w:footnoteReference w:id="367"/>
      </w:r>
      <w:r w:rsidR="00BB4320" w:rsidRPr="00470C7C">
        <w:t xml:space="preserve"> </w:t>
      </w:r>
      <w:r w:rsidR="00A60D61" w:rsidRPr="00470C7C">
        <w:t>son parte de</w:t>
      </w:r>
      <w:r w:rsidR="00A60D61" w:rsidRPr="00470C7C">
        <w:rPr>
          <w:b/>
        </w:rPr>
        <w:t xml:space="preserve"> </w:t>
      </w:r>
      <w:r w:rsidR="00BB4320" w:rsidRPr="00470C7C">
        <w:t>la Convención sobre la Esclavitud de 1926</w:t>
      </w:r>
      <w:r w:rsidRPr="00470C7C">
        <w:t xml:space="preserve"> </w:t>
      </w:r>
      <w:r w:rsidR="00BB4320" w:rsidRPr="00470C7C">
        <w:t>y la Convención suplementaria sobre la abolición de la esclavitud de 1956.</w:t>
      </w:r>
    </w:p>
    <w:p w14:paraId="3CE0B5E6" w14:textId="77777777" w:rsidR="00207197" w:rsidRPr="00470C7C" w:rsidRDefault="00207197" w:rsidP="00140440">
      <w:pPr>
        <w:jc w:val="both"/>
      </w:pPr>
    </w:p>
    <w:p w14:paraId="13AF0150" w14:textId="77777777" w:rsidR="00207197" w:rsidRPr="00470C7C" w:rsidRDefault="00207197" w:rsidP="00F37DC4">
      <w:pPr>
        <w:pStyle w:val="Prrafodelista"/>
        <w:numPr>
          <w:ilvl w:val="0"/>
          <w:numId w:val="1"/>
        </w:numPr>
        <w:contextualSpacing w:val="0"/>
      </w:pPr>
      <w:r w:rsidRPr="00470C7C">
        <w:t>La Convención suplementaria sobre la abolición de la esclavitud de 1956</w:t>
      </w:r>
      <w:r w:rsidR="00D15AA9" w:rsidRPr="00470C7C">
        <w:rPr>
          <w:rStyle w:val="Refdenotaalpie"/>
        </w:rPr>
        <w:footnoteReference w:id="368"/>
      </w:r>
      <w:r w:rsidRPr="00470C7C">
        <w:t>, amplió la definición de esclavitud al recoger dentro de la prohibición absoluta otorgada a la esclavitud también a “instituciones y prácticas análogas a la esclavitud”, como la servidumbre</w:t>
      </w:r>
      <w:r w:rsidR="00AE4701" w:rsidRPr="00470C7C">
        <w:t xml:space="preserve"> por deudas y servidumbre de la gleba</w:t>
      </w:r>
      <w:r w:rsidRPr="00470C7C">
        <w:t>, entre otras</w:t>
      </w:r>
      <w:r w:rsidRPr="00470C7C">
        <w:rPr>
          <w:rStyle w:val="Refdenotaalpie"/>
        </w:rPr>
        <w:footnoteReference w:id="369"/>
      </w:r>
      <w:r w:rsidRPr="00470C7C">
        <w:t>.</w:t>
      </w:r>
    </w:p>
    <w:p w14:paraId="3BD21BDA" w14:textId="77777777" w:rsidR="00207197" w:rsidRPr="00470C7C" w:rsidRDefault="00207197" w:rsidP="00140440">
      <w:pPr>
        <w:jc w:val="both"/>
      </w:pPr>
    </w:p>
    <w:p w14:paraId="0683401B" w14:textId="77777777" w:rsidR="00207197" w:rsidRPr="00470C7C" w:rsidRDefault="00207197" w:rsidP="00F37DC4">
      <w:pPr>
        <w:pStyle w:val="Prrafodelista"/>
        <w:numPr>
          <w:ilvl w:val="0"/>
          <w:numId w:val="1"/>
        </w:numPr>
        <w:contextualSpacing w:val="0"/>
      </w:pPr>
      <w:r w:rsidRPr="00470C7C">
        <w:t xml:space="preserve">En el ámbito del derecho internacional de los derechos humanos, la Declaración Universal de Derechos Humanos, de 1948, dispone </w:t>
      </w:r>
      <w:r w:rsidRPr="00470C7C">
        <w:rPr>
          <w:lang w:val="es-AR"/>
        </w:rPr>
        <w:t xml:space="preserve">en su artículo 4 que </w:t>
      </w:r>
      <w:bookmarkStart w:id="350" w:name="a4"/>
      <w:bookmarkEnd w:id="350"/>
      <w:r w:rsidRPr="00470C7C">
        <w:t>“</w:t>
      </w:r>
      <w:r w:rsidR="00155B0D" w:rsidRPr="00470C7C">
        <w:t>[</w:t>
      </w:r>
      <w:r w:rsidRPr="00470C7C">
        <w:t>n</w:t>
      </w:r>
      <w:r w:rsidR="00155B0D" w:rsidRPr="00470C7C">
        <w:t>]</w:t>
      </w:r>
      <w:proofErr w:type="spellStart"/>
      <w:r w:rsidRPr="00470C7C">
        <w:t>adie</w:t>
      </w:r>
      <w:proofErr w:type="spellEnd"/>
      <w:r w:rsidRPr="00470C7C">
        <w:t xml:space="preserve"> estará sometido a esclavitud ni a servidumbre” y que “la esclavitud y la trata de esclavos están prohibidas en todas sus formas”</w:t>
      </w:r>
      <w:r w:rsidRPr="00470C7C">
        <w:rPr>
          <w:rStyle w:val="Refdenotaalpie"/>
        </w:rPr>
        <w:footnoteReference w:id="370"/>
      </w:r>
      <w:r w:rsidRPr="00470C7C">
        <w:t>. El Pacto Internacional de Derechos Civiles y Políticos, de 1966, dispone en su artículo 8.1 y 8.2 que “</w:t>
      </w:r>
      <w:r w:rsidR="00155B0D" w:rsidRPr="00470C7C">
        <w:t>[</w:t>
      </w:r>
      <w:r w:rsidRPr="00470C7C">
        <w:t>n</w:t>
      </w:r>
      <w:r w:rsidR="00155B0D" w:rsidRPr="00470C7C">
        <w:t>]</w:t>
      </w:r>
      <w:proofErr w:type="spellStart"/>
      <w:r w:rsidRPr="00470C7C">
        <w:t>adie</w:t>
      </w:r>
      <w:proofErr w:type="spellEnd"/>
      <w:r w:rsidRPr="00470C7C">
        <w:t xml:space="preserve"> estará sometido a esclavitud”, que “la esclavitud y la trata de esclavos estarán prohibidas en todas sus formas”, y que “</w:t>
      </w:r>
      <w:r w:rsidR="00155B0D" w:rsidRPr="00470C7C">
        <w:t>[</w:t>
      </w:r>
      <w:r w:rsidRPr="00470C7C">
        <w:t>n</w:t>
      </w:r>
      <w:r w:rsidR="00155B0D" w:rsidRPr="00470C7C">
        <w:t>]</w:t>
      </w:r>
      <w:proofErr w:type="spellStart"/>
      <w:r w:rsidRPr="00470C7C">
        <w:t>adie</w:t>
      </w:r>
      <w:proofErr w:type="spellEnd"/>
      <w:r w:rsidRPr="00470C7C">
        <w:t xml:space="preserve"> estará sometido a servidumbre”</w:t>
      </w:r>
      <w:r w:rsidRPr="00470C7C">
        <w:rPr>
          <w:rStyle w:val="Refdenotaalpie"/>
        </w:rPr>
        <w:footnoteReference w:id="371"/>
      </w:r>
      <w:r w:rsidRPr="00470C7C">
        <w:t xml:space="preserve">. </w:t>
      </w:r>
    </w:p>
    <w:p w14:paraId="743F1157" w14:textId="77777777" w:rsidR="00207197" w:rsidRPr="00470C7C" w:rsidRDefault="00207197" w:rsidP="00140440">
      <w:pPr>
        <w:jc w:val="both"/>
      </w:pPr>
    </w:p>
    <w:p w14:paraId="32892606" w14:textId="77777777" w:rsidR="00207197" w:rsidRPr="00470C7C" w:rsidRDefault="00207197" w:rsidP="00F37DC4">
      <w:pPr>
        <w:pStyle w:val="Prrafodelista"/>
        <w:numPr>
          <w:ilvl w:val="0"/>
          <w:numId w:val="1"/>
        </w:numPr>
        <w:contextualSpacing w:val="0"/>
      </w:pPr>
      <w:r w:rsidRPr="00470C7C">
        <w:t xml:space="preserve">En el ámbito regional, el Convenio Europeo de Derechos Humanos, de 1950, dispone la prohibición de la esclavitud, de la servidumbre y del </w:t>
      </w:r>
      <w:r w:rsidR="001B63D0" w:rsidRPr="00470C7C">
        <w:t>trabajo forzoso</w:t>
      </w:r>
      <w:r w:rsidRPr="00470C7C">
        <w:t xml:space="preserve"> de manera genérica en su artículo 4</w:t>
      </w:r>
      <w:r w:rsidRPr="00470C7C">
        <w:rPr>
          <w:rStyle w:val="Refdenotaalpie"/>
        </w:rPr>
        <w:footnoteReference w:id="372"/>
      </w:r>
      <w:r w:rsidRPr="00470C7C">
        <w:t xml:space="preserve">. A su vez, la Carta Africana de Derechos Humanos y de los Pueblos, de 1981, prohíbe la esclavitud </w:t>
      </w:r>
      <w:r w:rsidR="0032139C" w:rsidRPr="00470C7C">
        <w:t xml:space="preserve">en conjunto </w:t>
      </w:r>
      <w:r w:rsidRPr="00470C7C">
        <w:t>con otras formas de explotación y degradación del hombre, como el comercio de esclavos, la tortura, el castigo y el trato cruel, inhumano o degradante</w:t>
      </w:r>
      <w:r w:rsidRPr="00470C7C">
        <w:rPr>
          <w:rStyle w:val="Refdenotaalpie"/>
        </w:rPr>
        <w:footnoteReference w:id="373"/>
      </w:r>
      <w:r w:rsidRPr="00470C7C">
        <w:t xml:space="preserve">. </w:t>
      </w:r>
    </w:p>
    <w:p w14:paraId="528491EA" w14:textId="77777777" w:rsidR="00207197" w:rsidRPr="00470C7C" w:rsidRDefault="00207197" w:rsidP="00140440">
      <w:pPr>
        <w:jc w:val="both"/>
        <w:rPr>
          <w:lang w:val="es-AR"/>
        </w:rPr>
      </w:pPr>
    </w:p>
    <w:p w14:paraId="42DEA0C3" w14:textId="77777777" w:rsidR="00207197" w:rsidRPr="00470C7C" w:rsidRDefault="00207197" w:rsidP="00F37DC4">
      <w:pPr>
        <w:pStyle w:val="Prrafodelista"/>
        <w:numPr>
          <w:ilvl w:val="0"/>
          <w:numId w:val="1"/>
        </w:numPr>
        <w:contextualSpacing w:val="0"/>
        <w:rPr>
          <w:lang w:val="es-ES_tradnl"/>
        </w:rPr>
      </w:pPr>
      <w:r w:rsidRPr="00470C7C">
        <w:rPr>
          <w:lang w:val="es-AR"/>
        </w:rPr>
        <w:t xml:space="preserve">La Organización Internacional del Trabajo </w:t>
      </w:r>
      <w:r w:rsidR="00155B0D" w:rsidRPr="00470C7C">
        <w:rPr>
          <w:lang w:val="es-AR"/>
        </w:rPr>
        <w:t xml:space="preserve">(OIT) </w:t>
      </w:r>
      <w:r w:rsidRPr="00470C7C">
        <w:rPr>
          <w:lang w:val="es-AR"/>
        </w:rPr>
        <w:t>también se refirió a la prohibición de la esclavitud y sus prácticas análogas a través de su Convenio No. 182, de 1999, sobre la Prohibición de las Peores Formas de Trabajo Infantil y la Acción Inmediata para su Eliminación</w:t>
      </w:r>
      <w:r w:rsidRPr="00470C7C">
        <w:rPr>
          <w:rStyle w:val="Refdenotaalpie"/>
          <w:lang w:val="es-AR"/>
        </w:rPr>
        <w:footnoteReference w:id="374"/>
      </w:r>
      <w:r w:rsidR="005821D9" w:rsidRPr="00470C7C">
        <w:rPr>
          <w:lang w:val="es-AR"/>
        </w:rPr>
        <w:t>.</w:t>
      </w:r>
      <w:r w:rsidR="00A87AF5" w:rsidRPr="00470C7C">
        <w:rPr>
          <w:lang w:val="es-AR"/>
        </w:rPr>
        <w:t xml:space="preserve"> Además, la OIT </w:t>
      </w:r>
      <w:r w:rsidR="00A760C9" w:rsidRPr="00470C7C">
        <w:rPr>
          <w:lang w:val="es-AR"/>
        </w:rPr>
        <w:t>se refirió expresamente a la Convención suplementaria de 1956</w:t>
      </w:r>
      <w:r w:rsidR="00155B0D" w:rsidRPr="00470C7C">
        <w:rPr>
          <w:lang w:val="es-AR"/>
        </w:rPr>
        <w:t>,</w:t>
      </w:r>
      <w:r w:rsidR="00A760C9" w:rsidRPr="00470C7C">
        <w:rPr>
          <w:lang w:val="es-AR"/>
        </w:rPr>
        <w:t xml:space="preserve"> al considerar que “el trabajo obligatorio o forzoso pueda dar lugar a condiciones análogas a la esclavitud”</w:t>
      </w:r>
      <w:r w:rsidR="00155B0D" w:rsidRPr="00470C7C">
        <w:rPr>
          <w:lang w:val="es-AR"/>
        </w:rPr>
        <w:t>,</w:t>
      </w:r>
      <w:r w:rsidR="00A760C9" w:rsidRPr="00470C7C">
        <w:rPr>
          <w:lang w:val="es-AR"/>
        </w:rPr>
        <w:t xml:space="preserve"> al momento de </w:t>
      </w:r>
      <w:r w:rsidR="00C143A1" w:rsidRPr="00470C7C">
        <w:rPr>
          <w:lang w:val="es-AR"/>
        </w:rPr>
        <w:t xml:space="preserve">obligar a suprimir el trabajo </w:t>
      </w:r>
      <w:r w:rsidR="00A87AF5" w:rsidRPr="00470C7C">
        <w:rPr>
          <w:lang w:val="es-AR"/>
        </w:rPr>
        <w:t>forzoso</w:t>
      </w:r>
      <w:r w:rsidR="00A87AF5" w:rsidRPr="00470C7C">
        <w:rPr>
          <w:rStyle w:val="Refdenotaalpie"/>
          <w:lang w:val="es-AR"/>
        </w:rPr>
        <w:footnoteReference w:id="375"/>
      </w:r>
      <w:r w:rsidR="00A87AF5" w:rsidRPr="00470C7C">
        <w:rPr>
          <w:lang w:val="es-AR"/>
        </w:rPr>
        <w:t>.</w:t>
      </w:r>
    </w:p>
    <w:p w14:paraId="71CA421D" w14:textId="77777777" w:rsidR="00207197" w:rsidRPr="00470C7C" w:rsidRDefault="00207197" w:rsidP="00140440">
      <w:pPr>
        <w:jc w:val="both"/>
        <w:rPr>
          <w:lang w:val="es-ES"/>
        </w:rPr>
      </w:pPr>
    </w:p>
    <w:p w14:paraId="7757343D" w14:textId="77777777" w:rsidR="00207197" w:rsidRPr="00470C7C" w:rsidRDefault="00207197" w:rsidP="00F37DC4">
      <w:pPr>
        <w:pStyle w:val="Prrafodelista"/>
        <w:numPr>
          <w:ilvl w:val="0"/>
          <w:numId w:val="1"/>
        </w:numPr>
        <w:contextualSpacing w:val="0"/>
      </w:pPr>
      <w:r w:rsidRPr="00470C7C">
        <w:t xml:space="preserve">Además de los tratados de ámbito regional y universal antes mencionados, otros documentos jurídicos relevantes </w:t>
      </w:r>
      <w:r w:rsidR="00FD1A90" w:rsidRPr="00470C7C">
        <w:t xml:space="preserve">de diferentes ramas del derecho internacional </w:t>
      </w:r>
      <w:r w:rsidRPr="00470C7C">
        <w:t xml:space="preserve">reflejan la prohibición de la esclavitud y sus formas análogas. Respecto </w:t>
      </w:r>
      <w:r w:rsidR="00155B0D" w:rsidRPr="00470C7C">
        <w:t>de</w:t>
      </w:r>
      <w:r w:rsidRPr="00470C7C">
        <w:t xml:space="preserve"> los tribunales internacionales del </w:t>
      </w:r>
      <w:proofErr w:type="spellStart"/>
      <w:r w:rsidRPr="00470C7C">
        <w:t>post-guerra</w:t>
      </w:r>
      <w:proofErr w:type="spellEnd"/>
      <w:r w:rsidRPr="00470C7C">
        <w:t xml:space="preserve">, el Estatuto del Tribunal Militar Internacional de Núremberg, </w:t>
      </w:r>
      <w:r w:rsidR="00155B0D" w:rsidRPr="00470C7C">
        <w:t xml:space="preserve">de </w:t>
      </w:r>
      <w:r w:rsidRPr="00470C7C">
        <w:t>1945</w:t>
      </w:r>
      <w:r w:rsidRPr="00470C7C">
        <w:rPr>
          <w:rStyle w:val="Refdenotaalpie"/>
        </w:rPr>
        <w:footnoteReference w:id="376"/>
      </w:r>
      <w:r w:rsidRPr="00470C7C">
        <w:t>, y del Tribunal Militar Internacional de Tokio</w:t>
      </w:r>
      <w:r w:rsidR="00155B0D" w:rsidRPr="00470C7C">
        <w:t>, de 1946</w:t>
      </w:r>
      <w:r w:rsidRPr="00470C7C">
        <w:rPr>
          <w:rStyle w:val="Refdenotaalpie"/>
        </w:rPr>
        <w:footnoteReference w:id="377"/>
      </w:r>
      <w:r w:rsidRPr="00470C7C">
        <w:t xml:space="preserve"> prohíben la esclavitud como crimen contra la humanidad.</w:t>
      </w:r>
    </w:p>
    <w:p w14:paraId="677C02F7" w14:textId="77777777" w:rsidR="00207197" w:rsidRPr="00470C7C" w:rsidRDefault="00207197" w:rsidP="00140440">
      <w:pPr>
        <w:jc w:val="both"/>
      </w:pPr>
    </w:p>
    <w:p w14:paraId="1B8AB2D9" w14:textId="77777777" w:rsidR="00207197" w:rsidRPr="00470C7C" w:rsidRDefault="00207197" w:rsidP="00F37DC4">
      <w:pPr>
        <w:pStyle w:val="Prrafodelista"/>
        <w:numPr>
          <w:ilvl w:val="0"/>
          <w:numId w:val="1"/>
        </w:numPr>
        <w:contextualSpacing w:val="0"/>
      </w:pPr>
      <w:r w:rsidRPr="00470C7C">
        <w:t xml:space="preserve">También en la esfera del </w:t>
      </w:r>
      <w:r w:rsidR="00363C55" w:rsidRPr="00470C7C">
        <w:t>d</w:t>
      </w:r>
      <w:r w:rsidRPr="00470C7C">
        <w:t xml:space="preserve">erecho </w:t>
      </w:r>
      <w:r w:rsidR="00363C55" w:rsidRPr="00470C7C">
        <w:t>i</w:t>
      </w:r>
      <w:r w:rsidRPr="00470C7C">
        <w:t xml:space="preserve">nternacional </w:t>
      </w:r>
      <w:r w:rsidR="00363C55" w:rsidRPr="00470C7C">
        <w:t>h</w:t>
      </w:r>
      <w:r w:rsidRPr="00470C7C">
        <w:t>umanitario, el Protocolo Adicional II a los Convenios de Ginebra declara la prohibición “en todo tiempo y lugar” de “la esclavitud y la trata de esclavos en todas sus formas”</w:t>
      </w:r>
      <w:r w:rsidRPr="00470C7C">
        <w:rPr>
          <w:rStyle w:val="Refdenotaalpie"/>
        </w:rPr>
        <w:footnoteReference w:id="378"/>
      </w:r>
      <w:r w:rsidRPr="00470C7C">
        <w:t xml:space="preserve">. </w:t>
      </w:r>
    </w:p>
    <w:p w14:paraId="32FBDEA3" w14:textId="77777777" w:rsidR="00207197" w:rsidRPr="00470C7C" w:rsidRDefault="00207197" w:rsidP="00140440">
      <w:pPr>
        <w:jc w:val="both"/>
      </w:pPr>
    </w:p>
    <w:p w14:paraId="0398E8B6" w14:textId="77777777" w:rsidR="00207197" w:rsidRPr="00470C7C" w:rsidRDefault="00363C55" w:rsidP="00F37DC4">
      <w:pPr>
        <w:pStyle w:val="Prrafodelista"/>
        <w:numPr>
          <w:ilvl w:val="0"/>
          <w:numId w:val="1"/>
        </w:numPr>
        <w:contextualSpacing w:val="0"/>
        <w:rPr>
          <w:lang w:val="es-AR"/>
        </w:rPr>
      </w:pPr>
      <w:r w:rsidRPr="00470C7C">
        <w:t xml:space="preserve">Además, </w:t>
      </w:r>
      <w:r w:rsidR="00EF5CD4" w:rsidRPr="00470C7C">
        <w:t xml:space="preserve">se </w:t>
      </w:r>
      <w:r w:rsidR="00207197" w:rsidRPr="00470C7C">
        <w:t xml:space="preserve">ha incluido la esclavitud como delito de lesa humanidad respecto de los cuales </w:t>
      </w:r>
      <w:r w:rsidR="00EF5CD4" w:rsidRPr="00470C7C">
        <w:t xml:space="preserve">los tribunales penales internacionales </w:t>
      </w:r>
      <w:r w:rsidR="00207197" w:rsidRPr="00470C7C">
        <w:t>tienen competencia. Así, el Estatuto del Tribunal Internacional para juzgar a los presuntos responsables de graves violaciones del derecho internacional humanitario cometidas en el territorio de la ex-Yugoslavia (en adelante “</w:t>
      </w:r>
      <w:r w:rsidR="007A680A" w:rsidRPr="00470C7C">
        <w:rPr>
          <w:lang w:val="es-AR"/>
        </w:rPr>
        <w:t>Tribunal Penal Internacional Ad Hoc para la ex-Yugoslavia</w:t>
      </w:r>
      <w:r w:rsidR="00207197" w:rsidRPr="00470C7C">
        <w:t>”</w:t>
      </w:r>
      <w:r w:rsidR="007A680A" w:rsidRPr="00470C7C">
        <w:t xml:space="preserve"> o “TPIY”</w:t>
      </w:r>
      <w:r w:rsidR="00207197" w:rsidRPr="00470C7C">
        <w:t>), de 1993, establece la “esclavitud” (</w:t>
      </w:r>
      <w:proofErr w:type="spellStart"/>
      <w:r w:rsidR="00207197" w:rsidRPr="00470C7C">
        <w:rPr>
          <w:i/>
        </w:rPr>
        <w:t>enslavement</w:t>
      </w:r>
      <w:proofErr w:type="spellEnd"/>
      <w:r w:rsidR="00207197" w:rsidRPr="00470C7C">
        <w:t>) como un crimen contra la humanidad (artículo 5.c)</w:t>
      </w:r>
      <w:r w:rsidR="00207197" w:rsidRPr="00470C7C">
        <w:rPr>
          <w:rStyle w:val="Refdenotaalpie"/>
        </w:rPr>
        <w:footnoteReference w:id="379"/>
      </w:r>
      <w:r w:rsidR="00207197" w:rsidRPr="00470C7C">
        <w:t>. Los Estatutos</w:t>
      </w:r>
      <w:r w:rsidRPr="00470C7C">
        <w:t>,</w:t>
      </w:r>
      <w:r w:rsidR="00207197" w:rsidRPr="00470C7C">
        <w:t xml:space="preserve"> tanto del Tribunal Internacional para Ruanda, de 1994, como del Tribunal Especial para Sierra Leona</w:t>
      </w:r>
      <w:r w:rsidRPr="00470C7C">
        <w:t>, de 2000,</w:t>
      </w:r>
      <w:r w:rsidR="00207197" w:rsidRPr="00470C7C">
        <w:t xml:space="preserve"> incluyen a la “esclavitud” como delito de lesa humanidad en sus artículos 3.c y 2.c, respectivamente</w:t>
      </w:r>
      <w:r w:rsidR="00207197" w:rsidRPr="00470C7C">
        <w:rPr>
          <w:rStyle w:val="Refdenotaalpie"/>
        </w:rPr>
        <w:footnoteReference w:id="380"/>
      </w:r>
      <w:r w:rsidR="00207197" w:rsidRPr="00470C7C">
        <w:t xml:space="preserve">. Finalmente, el Estatuto de Roma de la Corte </w:t>
      </w:r>
      <w:r w:rsidR="00207197" w:rsidRPr="00470C7C">
        <w:rPr>
          <w:lang w:val="es-ES_tradnl"/>
        </w:rPr>
        <w:t xml:space="preserve">Penal Internacional, </w:t>
      </w:r>
      <w:r w:rsidRPr="00470C7C">
        <w:rPr>
          <w:lang w:val="es-ES_tradnl"/>
        </w:rPr>
        <w:t>de</w:t>
      </w:r>
      <w:r w:rsidR="00207197" w:rsidRPr="00470C7C">
        <w:rPr>
          <w:lang w:val="es-ES_tradnl"/>
        </w:rPr>
        <w:t xml:space="preserve"> 1998, tipificó la esclavitud como crimen de lesa humanidad y definió la esclavitud como “</w:t>
      </w:r>
      <w:r w:rsidR="00207197" w:rsidRPr="00470C7C">
        <w:rPr>
          <w:lang w:val="es-AR"/>
        </w:rPr>
        <w:t>el ejercicio de los atributos del derecho de propiedad sobre una persona, o de algunos de ellos, incluido el ejercicio de esos atributos en el tráfico de personas, en particular mujeres y niños”</w:t>
      </w:r>
      <w:r w:rsidR="00207197" w:rsidRPr="00470C7C">
        <w:rPr>
          <w:rStyle w:val="Refdenotaalpie"/>
          <w:lang w:val="es-AR"/>
        </w:rPr>
        <w:footnoteReference w:id="381"/>
      </w:r>
      <w:r w:rsidR="00207197" w:rsidRPr="00470C7C">
        <w:rPr>
          <w:lang w:val="es-AR"/>
        </w:rPr>
        <w:t xml:space="preserve">. </w:t>
      </w:r>
    </w:p>
    <w:p w14:paraId="1C244B43" w14:textId="77777777" w:rsidR="00207197" w:rsidRPr="00470C7C" w:rsidRDefault="00207197" w:rsidP="00140440">
      <w:pPr>
        <w:jc w:val="both"/>
        <w:rPr>
          <w:lang w:val="es-AR"/>
        </w:rPr>
      </w:pPr>
    </w:p>
    <w:p w14:paraId="37680535" w14:textId="77777777" w:rsidR="00207197" w:rsidRPr="00470C7C" w:rsidRDefault="00207197" w:rsidP="00F37DC4">
      <w:pPr>
        <w:pStyle w:val="Prrafodelista"/>
        <w:numPr>
          <w:ilvl w:val="0"/>
          <w:numId w:val="1"/>
        </w:numPr>
        <w:contextualSpacing w:val="0"/>
        <w:rPr>
          <w:lang w:val="es-ES"/>
        </w:rPr>
      </w:pPr>
      <w:r w:rsidRPr="00470C7C">
        <w:t>Más recientemente, tanto el Proyecto de código de crímenes contra la paz y la seguridad de la humanidad, aprobado en 1996 por la Comisión de Derecho Internacional</w:t>
      </w:r>
      <w:r w:rsidR="000C1F0D" w:rsidRPr="00470C7C">
        <w:t xml:space="preserve"> </w:t>
      </w:r>
      <w:r w:rsidRPr="00470C7C">
        <w:t>(artículo 18.d)</w:t>
      </w:r>
      <w:r w:rsidRPr="00470C7C">
        <w:rPr>
          <w:rStyle w:val="Refdenotaalpie"/>
        </w:rPr>
        <w:footnoteReference w:id="382"/>
      </w:r>
      <w:r w:rsidRPr="00470C7C">
        <w:t xml:space="preserve">, como el posterior Texto de los </w:t>
      </w:r>
      <w:r w:rsidR="00B502F2" w:rsidRPr="00470C7C">
        <w:t>P</w:t>
      </w:r>
      <w:r w:rsidRPr="00470C7C">
        <w:t>royectos de artículo sobre los crímenes de lesa humanidad, aprobados provisionalmente en 2015</w:t>
      </w:r>
      <w:r w:rsidR="00B502F2" w:rsidRPr="00470C7C">
        <w:t>,</w:t>
      </w:r>
      <w:r w:rsidRPr="00470C7C">
        <w:t xml:space="preserve"> también por la Comisión de Derecho Internacional, establecen que la esclavitud es un delito contra la humanidad (artículo 3.1.c), el cual es definido en el último documento como “el ejercicio de los atributos del derecho de propiedad sobre una persona, o de algunos de ellos, incluido el ejercicio de esos atributos en el tráfico de personas, en particular mujeres y niños” (artículo 3.2.c)</w:t>
      </w:r>
      <w:r w:rsidRPr="00470C7C">
        <w:rPr>
          <w:rStyle w:val="Refdenotaalpie"/>
        </w:rPr>
        <w:footnoteReference w:id="383"/>
      </w:r>
      <w:r w:rsidRPr="00470C7C">
        <w:t>.</w:t>
      </w:r>
    </w:p>
    <w:p w14:paraId="2C9CA11D" w14:textId="77777777" w:rsidR="00207197" w:rsidRPr="00470C7C" w:rsidRDefault="00207197" w:rsidP="00140440">
      <w:pPr>
        <w:jc w:val="both"/>
      </w:pPr>
    </w:p>
    <w:p w14:paraId="0FDDADBB" w14:textId="77777777" w:rsidR="00207197" w:rsidRPr="00470C7C" w:rsidRDefault="00207197" w:rsidP="00F37DC4">
      <w:pPr>
        <w:pStyle w:val="Prrafodelista"/>
        <w:numPr>
          <w:ilvl w:val="0"/>
          <w:numId w:val="1"/>
        </w:numPr>
        <w:contextualSpacing w:val="0"/>
      </w:pPr>
      <w:r w:rsidRPr="00470C7C">
        <w:t>A continuación</w:t>
      </w:r>
      <w:r w:rsidR="00B502F2" w:rsidRPr="00470C7C">
        <w:t>,</w:t>
      </w:r>
      <w:r w:rsidRPr="00470C7C">
        <w:t xml:space="preserve"> la Corte reseñará la interpretación de la definición de esclavitud y sus formas análogas</w:t>
      </w:r>
      <w:r w:rsidR="00B502F2" w:rsidRPr="00470C7C">
        <w:t>,</w:t>
      </w:r>
      <w:r w:rsidRPr="00470C7C">
        <w:t xml:space="preserve"> realizada por diversos tribunales internacionales que han tenido la oportunidad de pronunciarse sobre ese delito</w:t>
      </w:r>
      <w:r w:rsidR="00B502F2" w:rsidRPr="00470C7C">
        <w:t>;</w:t>
      </w:r>
      <w:r w:rsidRPr="00470C7C">
        <w:t xml:space="preserve"> así como el desarrollo por parte de la Organización Internacional del Trabajo y de órganos especializados de Naciones Unidas sobre la materia. </w:t>
      </w:r>
    </w:p>
    <w:p w14:paraId="465E8A64" w14:textId="77777777" w:rsidR="008B22F5" w:rsidRPr="00470C7C" w:rsidRDefault="008B22F5" w:rsidP="008B5D60">
      <w:pPr>
        <w:pStyle w:val="Ttulo3"/>
      </w:pPr>
    </w:p>
    <w:p w14:paraId="33F005A8" w14:textId="77777777" w:rsidR="00207197" w:rsidRPr="00470C7C" w:rsidRDefault="008B5D60" w:rsidP="008B5D60">
      <w:pPr>
        <w:pStyle w:val="Ttulo3"/>
      </w:pPr>
      <w:bookmarkStart w:id="351" w:name="_Toc464813960"/>
      <w:r w:rsidRPr="00470C7C">
        <w:t>B.2</w:t>
      </w:r>
      <w:r w:rsidR="00DC2886" w:rsidRPr="00470C7C">
        <w:t>.</w:t>
      </w:r>
      <w:r w:rsidR="00207197" w:rsidRPr="00470C7C">
        <w:t xml:space="preserve"> Tribunales Internacionales y Órganos Cuasi-Judiciales</w:t>
      </w:r>
      <w:bookmarkEnd w:id="351"/>
    </w:p>
    <w:p w14:paraId="1A15C404" w14:textId="77777777" w:rsidR="00207197" w:rsidRPr="00470C7C" w:rsidRDefault="00207197" w:rsidP="00AB60EE">
      <w:pPr>
        <w:jc w:val="both"/>
      </w:pPr>
    </w:p>
    <w:p w14:paraId="500D99F4" w14:textId="77777777" w:rsidR="00207197" w:rsidRPr="00470C7C" w:rsidRDefault="00207197" w:rsidP="00F37DC4">
      <w:pPr>
        <w:pStyle w:val="Prrafodelista"/>
        <w:numPr>
          <w:ilvl w:val="0"/>
          <w:numId w:val="1"/>
        </w:numPr>
        <w:contextualSpacing w:val="0"/>
      </w:pPr>
      <w:r w:rsidRPr="00470C7C">
        <w:rPr>
          <w:lang w:val="es-AR"/>
        </w:rPr>
        <w:t xml:space="preserve">En su histórica decisión del </w:t>
      </w:r>
      <w:r w:rsidRPr="00470C7C">
        <w:rPr>
          <w:i/>
          <w:lang w:val="es-AR"/>
        </w:rPr>
        <w:t xml:space="preserve">Caso Fiscal </w:t>
      </w:r>
      <w:r w:rsidR="00122B46" w:rsidRPr="00470C7C">
        <w:rPr>
          <w:i/>
          <w:lang w:val="es-AR"/>
        </w:rPr>
        <w:t>V</w:t>
      </w:r>
      <w:r w:rsidRPr="00470C7C">
        <w:rPr>
          <w:i/>
          <w:lang w:val="es-AR"/>
        </w:rPr>
        <w:t xml:space="preserve">s. </w:t>
      </w:r>
      <w:proofErr w:type="spellStart"/>
      <w:r w:rsidRPr="00470C7C">
        <w:rPr>
          <w:i/>
          <w:lang w:val="es-AR"/>
        </w:rPr>
        <w:t>Kunarac</w:t>
      </w:r>
      <w:proofErr w:type="spellEnd"/>
      <w:r w:rsidRPr="00470C7C">
        <w:rPr>
          <w:vertAlign w:val="superscript"/>
          <w:lang w:val="es-AR"/>
        </w:rPr>
        <w:footnoteReference w:id="384"/>
      </w:r>
      <w:r w:rsidRPr="00470C7C">
        <w:rPr>
          <w:lang w:val="es-AR"/>
        </w:rPr>
        <w:t>, la Cámara de Apelaciones del Tribunal Penal Internacional</w:t>
      </w:r>
      <w:r w:rsidR="00B502F2" w:rsidRPr="00470C7C">
        <w:rPr>
          <w:lang w:val="es-AR"/>
        </w:rPr>
        <w:t xml:space="preserve"> Ad-Hoc</w:t>
      </w:r>
      <w:r w:rsidRPr="00470C7C">
        <w:rPr>
          <w:lang w:val="es-AR"/>
        </w:rPr>
        <w:t xml:space="preserve"> para la ex-Yugoslavia definió la esclavitud como “el ejercicio de alguno o de todos los poderes que se desprenden del derecho de propiedad sobre una persona”. Es importante notar que el </w:t>
      </w:r>
      <w:r w:rsidR="007A680A" w:rsidRPr="00470C7C">
        <w:rPr>
          <w:lang w:val="es-AR"/>
        </w:rPr>
        <w:t>Tribunal Penal Internacional Ad Hoc para la ex-Yugoslavia</w:t>
      </w:r>
      <w:r w:rsidR="007F692E" w:rsidRPr="00470C7C">
        <w:rPr>
          <w:lang w:val="es-AR"/>
        </w:rPr>
        <w:t>, en su sentencia de primera instancia,</w:t>
      </w:r>
      <w:r w:rsidRPr="00470C7C">
        <w:rPr>
          <w:lang w:val="es-AR"/>
        </w:rPr>
        <w:t xml:space="preserve"> estableció los siguientes criterios para determinar la existencia de una situación de esclavitud o reducción a la servidumbre: a) restricción o control de la autonomía individual</w:t>
      </w:r>
      <w:r w:rsidR="00B502F2" w:rsidRPr="00470C7C">
        <w:rPr>
          <w:lang w:val="es-AR"/>
        </w:rPr>
        <w:t>,</w:t>
      </w:r>
      <w:r w:rsidRPr="00470C7C">
        <w:rPr>
          <w:lang w:val="es-AR"/>
        </w:rPr>
        <w:t xml:space="preserve"> la libertad de elección o la libertad de movimiento de una persona; </w:t>
      </w:r>
      <w:r w:rsidR="00B502F2" w:rsidRPr="00470C7C">
        <w:rPr>
          <w:lang w:val="es-AR"/>
        </w:rPr>
        <w:t>b</w:t>
      </w:r>
      <w:r w:rsidRPr="00470C7C">
        <w:rPr>
          <w:lang w:val="es-AR"/>
        </w:rPr>
        <w:t xml:space="preserve">) la obtención de un provecho por parte del perpetrador; </w:t>
      </w:r>
      <w:r w:rsidR="00B502F2" w:rsidRPr="00470C7C">
        <w:rPr>
          <w:lang w:val="es-AR"/>
        </w:rPr>
        <w:t>c</w:t>
      </w:r>
      <w:r w:rsidRPr="00470C7C">
        <w:rPr>
          <w:lang w:val="es-AR"/>
        </w:rPr>
        <w:t xml:space="preserve">) la ausencia de consentimiento o de libre albedrío de la víctima, o su imposibilidad o irrelevancia debido a la amenaza de uso de la violencia u otras formas de coerción, el miedo de violencia, el engaño o las falsas promesas; </w:t>
      </w:r>
      <w:r w:rsidR="00B502F2" w:rsidRPr="00470C7C">
        <w:rPr>
          <w:lang w:val="es-AR"/>
        </w:rPr>
        <w:t>d</w:t>
      </w:r>
      <w:r w:rsidRPr="00470C7C">
        <w:rPr>
          <w:lang w:val="es-AR"/>
        </w:rPr>
        <w:t xml:space="preserve">) el abuso de poder; </w:t>
      </w:r>
      <w:r w:rsidR="00B502F2" w:rsidRPr="00470C7C">
        <w:rPr>
          <w:lang w:val="es-AR"/>
        </w:rPr>
        <w:t>e</w:t>
      </w:r>
      <w:r w:rsidRPr="00470C7C">
        <w:rPr>
          <w:lang w:val="es-AR"/>
        </w:rPr>
        <w:t xml:space="preserve">) la posición de vulnerabilidad de la víctima; </w:t>
      </w:r>
      <w:r w:rsidR="00B502F2" w:rsidRPr="00470C7C">
        <w:rPr>
          <w:lang w:val="es-AR"/>
        </w:rPr>
        <w:t>f</w:t>
      </w:r>
      <w:r w:rsidRPr="00470C7C">
        <w:rPr>
          <w:lang w:val="es-AR"/>
        </w:rPr>
        <w:t xml:space="preserve">) la detención o cautiverio, y </w:t>
      </w:r>
      <w:r w:rsidR="00B502F2" w:rsidRPr="00470C7C">
        <w:rPr>
          <w:lang w:val="es-AR"/>
        </w:rPr>
        <w:t>g</w:t>
      </w:r>
      <w:r w:rsidRPr="00470C7C">
        <w:rPr>
          <w:lang w:val="es-AR"/>
        </w:rPr>
        <w:t xml:space="preserve">) la opresión psicológica por las condiciones socio-económicas. Otros indicadores de esclavitud serían: </w:t>
      </w:r>
      <w:r w:rsidR="00B502F2" w:rsidRPr="00470C7C">
        <w:rPr>
          <w:lang w:val="es-AR"/>
        </w:rPr>
        <w:t>h</w:t>
      </w:r>
      <w:r w:rsidRPr="00470C7C">
        <w:rPr>
          <w:lang w:val="es-AR"/>
        </w:rPr>
        <w:t xml:space="preserve">) la explotación; </w:t>
      </w:r>
      <w:r w:rsidR="00B502F2" w:rsidRPr="00470C7C">
        <w:rPr>
          <w:lang w:val="es-AR"/>
        </w:rPr>
        <w:t>i</w:t>
      </w:r>
      <w:r w:rsidRPr="00470C7C">
        <w:rPr>
          <w:lang w:val="es-AR"/>
        </w:rPr>
        <w:t>) la exacción de trabajo o servicios forzosos u obligatorios, por lo general sin remuneración y ligados frecuentemente –aunque no necesariamente– a la penuria física, el sexo, la prostitución y la trata de personas</w:t>
      </w:r>
      <w:r w:rsidRPr="00470C7C">
        <w:rPr>
          <w:rStyle w:val="Refdenotaalpie"/>
          <w:lang w:val="es-AR"/>
        </w:rPr>
        <w:footnoteReference w:id="385"/>
      </w:r>
      <w:r w:rsidRPr="00470C7C">
        <w:rPr>
          <w:lang w:val="es-AR"/>
        </w:rPr>
        <w:t>. En la Sentencia de la Cámara de Apelaciones se destaca la interpretación evolutiva del concepto de esclavitud, al considerar que lo importante actualmente no es la existencia de un título de propiedad sobre el esclavo, sino el ejercicio de poderes vinculados con la propiedad que se traducen en la destrucción o anulación de la personalidad jurídica del ser humano</w:t>
      </w:r>
      <w:r w:rsidRPr="00470C7C">
        <w:rPr>
          <w:rStyle w:val="Refdenotaalpie"/>
          <w:lang w:val="es-AR"/>
        </w:rPr>
        <w:footnoteReference w:id="386"/>
      </w:r>
      <w:r w:rsidRPr="00470C7C">
        <w:rPr>
          <w:lang w:val="es-AR"/>
        </w:rPr>
        <w:t xml:space="preserve">. El </w:t>
      </w:r>
      <w:r w:rsidR="005856BF" w:rsidRPr="00470C7C" w:rsidDel="007A680A">
        <w:t xml:space="preserve"> </w:t>
      </w:r>
      <w:r w:rsidR="005856BF" w:rsidRPr="00470C7C">
        <w:t>Tribunal Penal Internacional Ad Hoc para la ex-Yugoslavia</w:t>
      </w:r>
      <w:r w:rsidRPr="00470C7C">
        <w:rPr>
          <w:lang w:val="es-AR"/>
        </w:rPr>
        <w:t xml:space="preserve"> consideró que al momento de los hechos del caso (ocurridos en 1992)</w:t>
      </w:r>
      <w:r w:rsidR="00416F35" w:rsidRPr="00470C7C">
        <w:rPr>
          <w:lang w:val="es-AR"/>
        </w:rPr>
        <w:t>,</w:t>
      </w:r>
      <w:r w:rsidRPr="00470C7C">
        <w:rPr>
          <w:lang w:val="es-AR"/>
        </w:rPr>
        <w:t xml:space="preserve"> las formas contemporáneas de esclavitud identificadas en dicha Sentencia eran parte de la esclavitud como delito de lesa humanidad bajo el derecho internacional consuetudinario (</w:t>
      </w:r>
      <w:proofErr w:type="spellStart"/>
      <w:r w:rsidRPr="00470C7C">
        <w:rPr>
          <w:i/>
        </w:rPr>
        <w:t>customary</w:t>
      </w:r>
      <w:proofErr w:type="spellEnd"/>
      <w:r w:rsidRPr="00470C7C">
        <w:rPr>
          <w:i/>
        </w:rPr>
        <w:t xml:space="preserve"> </w:t>
      </w:r>
      <w:proofErr w:type="spellStart"/>
      <w:r w:rsidRPr="00470C7C">
        <w:rPr>
          <w:i/>
        </w:rPr>
        <w:t>international</w:t>
      </w:r>
      <w:proofErr w:type="spellEnd"/>
      <w:r w:rsidRPr="00470C7C">
        <w:rPr>
          <w:i/>
        </w:rPr>
        <w:t xml:space="preserve"> </w:t>
      </w:r>
      <w:proofErr w:type="spellStart"/>
      <w:r w:rsidRPr="00470C7C">
        <w:rPr>
          <w:i/>
        </w:rPr>
        <w:t>law</w:t>
      </w:r>
      <w:proofErr w:type="spellEnd"/>
      <w:r w:rsidRPr="00470C7C">
        <w:t>)</w:t>
      </w:r>
      <w:r w:rsidRPr="00470C7C">
        <w:rPr>
          <w:rStyle w:val="Refdenotaalpie"/>
        </w:rPr>
        <w:footnoteReference w:id="387"/>
      </w:r>
      <w:r w:rsidRPr="00470C7C">
        <w:t>.</w:t>
      </w:r>
    </w:p>
    <w:p w14:paraId="34D810F0" w14:textId="77777777" w:rsidR="00207197" w:rsidRPr="00470C7C" w:rsidRDefault="00207197" w:rsidP="00140440">
      <w:pPr>
        <w:jc w:val="both"/>
      </w:pPr>
    </w:p>
    <w:p w14:paraId="600EA539" w14:textId="77777777" w:rsidR="00207197" w:rsidRPr="00470C7C" w:rsidRDefault="00207197" w:rsidP="00F37DC4">
      <w:pPr>
        <w:pStyle w:val="Prrafodelista"/>
        <w:numPr>
          <w:ilvl w:val="0"/>
          <w:numId w:val="1"/>
        </w:numPr>
        <w:contextualSpacing w:val="0"/>
      </w:pPr>
      <w:r w:rsidRPr="00470C7C">
        <w:t xml:space="preserve">Posteriormente, en el </w:t>
      </w:r>
      <w:r w:rsidR="00122B46" w:rsidRPr="00470C7C">
        <w:rPr>
          <w:i/>
        </w:rPr>
        <w:t>C</w:t>
      </w:r>
      <w:r w:rsidRPr="00470C7C">
        <w:rPr>
          <w:i/>
        </w:rPr>
        <w:t xml:space="preserve">aso </w:t>
      </w:r>
      <w:proofErr w:type="spellStart"/>
      <w:r w:rsidRPr="00470C7C">
        <w:rPr>
          <w:i/>
        </w:rPr>
        <w:t>Krnojelac</w:t>
      </w:r>
      <w:proofErr w:type="spellEnd"/>
      <w:r w:rsidRPr="00470C7C">
        <w:t xml:space="preserve">, el </w:t>
      </w:r>
      <w:r w:rsidR="007A680A" w:rsidRPr="00470C7C">
        <w:t>Tribunal Penal Internacional Ad Hoc para la ex-Yugoslavia</w:t>
      </w:r>
      <w:r w:rsidRPr="00470C7C">
        <w:t xml:space="preserve"> confirmó los criterios establecidos en </w:t>
      </w:r>
      <w:r w:rsidR="00B502F2" w:rsidRPr="00470C7C">
        <w:t xml:space="preserve">el </w:t>
      </w:r>
      <w:r w:rsidR="00122B46" w:rsidRPr="00470C7C">
        <w:rPr>
          <w:i/>
        </w:rPr>
        <w:t>C</w:t>
      </w:r>
      <w:r w:rsidR="00B502F2" w:rsidRPr="00470C7C">
        <w:rPr>
          <w:i/>
        </w:rPr>
        <w:t xml:space="preserve">aso </w:t>
      </w:r>
      <w:proofErr w:type="spellStart"/>
      <w:r w:rsidRPr="00470C7C">
        <w:rPr>
          <w:i/>
        </w:rPr>
        <w:t>Kunarac</w:t>
      </w:r>
      <w:proofErr w:type="spellEnd"/>
      <w:r w:rsidRPr="00470C7C">
        <w:t xml:space="preserve"> y señaló que en ese caso la esclavitud estaba relacionada al propósito de trabajo forzoso</w:t>
      </w:r>
      <w:r w:rsidRPr="00470C7C">
        <w:rPr>
          <w:rStyle w:val="Refdenotaalpie"/>
        </w:rPr>
        <w:footnoteReference w:id="388"/>
      </w:r>
      <w:r w:rsidRPr="00470C7C">
        <w:t xml:space="preserve">. </w:t>
      </w:r>
    </w:p>
    <w:p w14:paraId="2CE553F9" w14:textId="77777777" w:rsidR="00207197" w:rsidRPr="00470C7C" w:rsidRDefault="00207197" w:rsidP="00140440">
      <w:pPr>
        <w:jc w:val="both"/>
      </w:pPr>
    </w:p>
    <w:p w14:paraId="74D3503F" w14:textId="77777777" w:rsidR="00207197" w:rsidRPr="00470C7C" w:rsidRDefault="00207197" w:rsidP="00F37DC4">
      <w:pPr>
        <w:pStyle w:val="Prrafodelista"/>
        <w:numPr>
          <w:ilvl w:val="0"/>
          <w:numId w:val="1"/>
        </w:numPr>
        <w:contextualSpacing w:val="0"/>
      </w:pPr>
      <w:r w:rsidRPr="00470C7C">
        <w:t xml:space="preserve">El Tribunal Especial para Sierra Leona (en adelante </w:t>
      </w:r>
      <w:r w:rsidR="00B2396C" w:rsidRPr="00470C7C">
        <w:t xml:space="preserve">también </w:t>
      </w:r>
      <w:r w:rsidRPr="00470C7C">
        <w:t>“</w:t>
      </w:r>
      <w:r w:rsidR="00416F35" w:rsidRPr="00470C7C">
        <w:t>TESL</w:t>
      </w:r>
      <w:r w:rsidRPr="00470C7C">
        <w:t xml:space="preserve">”), en las Sentencias de los </w:t>
      </w:r>
      <w:r w:rsidRPr="00470C7C">
        <w:rPr>
          <w:i/>
        </w:rPr>
        <w:t xml:space="preserve">Casos </w:t>
      </w:r>
      <w:r w:rsidRPr="00470C7C">
        <w:rPr>
          <w:i/>
          <w:iCs/>
        </w:rPr>
        <w:t xml:space="preserve">Sesay, </w:t>
      </w:r>
      <w:proofErr w:type="spellStart"/>
      <w:r w:rsidRPr="00470C7C">
        <w:rPr>
          <w:i/>
          <w:iCs/>
        </w:rPr>
        <w:t>Kallon</w:t>
      </w:r>
      <w:proofErr w:type="spellEnd"/>
      <w:r w:rsidRPr="00470C7C">
        <w:rPr>
          <w:i/>
          <w:iCs/>
        </w:rPr>
        <w:t xml:space="preserve"> and </w:t>
      </w:r>
      <w:proofErr w:type="spellStart"/>
      <w:r w:rsidRPr="00470C7C">
        <w:rPr>
          <w:i/>
          <w:iCs/>
        </w:rPr>
        <w:t>Gbao</w:t>
      </w:r>
      <w:proofErr w:type="spellEnd"/>
      <w:r w:rsidRPr="00470C7C">
        <w:rPr>
          <w:rStyle w:val="Refdenotaalpie"/>
        </w:rPr>
        <w:footnoteReference w:id="389"/>
      </w:r>
      <w:r w:rsidRPr="00470C7C">
        <w:t xml:space="preserve"> y </w:t>
      </w:r>
      <w:proofErr w:type="spellStart"/>
      <w:r w:rsidRPr="00470C7C">
        <w:rPr>
          <w:i/>
        </w:rPr>
        <w:t>Brima</w:t>
      </w:r>
      <w:proofErr w:type="spellEnd"/>
      <w:r w:rsidRPr="00470C7C">
        <w:rPr>
          <w:i/>
        </w:rPr>
        <w:t xml:space="preserve">, </w:t>
      </w:r>
      <w:proofErr w:type="spellStart"/>
      <w:r w:rsidRPr="00470C7C">
        <w:rPr>
          <w:i/>
        </w:rPr>
        <w:t>Kamara</w:t>
      </w:r>
      <w:proofErr w:type="spellEnd"/>
      <w:r w:rsidRPr="00470C7C">
        <w:rPr>
          <w:i/>
        </w:rPr>
        <w:t>, Kanu</w:t>
      </w:r>
      <w:r w:rsidRPr="00470C7C">
        <w:t xml:space="preserve">, de 2007, reafirmó los criterios establecidos por el </w:t>
      </w:r>
      <w:r w:rsidR="007A680A" w:rsidRPr="00470C7C">
        <w:t>Tribunal Penal Internacional Ad Hoc para la ex-Yugoslavia</w:t>
      </w:r>
      <w:r w:rsidRPr="00470C7C">
        <w:t xml:space="preserve"> en </w:t>
      </w:r>
      <w:r w:rsidR="00231EE9" w:rsidRPr="00470C7C">
        <w:t xml:space="preserve">los casos </w:t>
      </w:r>
      <w:proofErr w:type="spellStart"/>
      <w:r w:rsidRPr="00470C7C">
        <w:rPr>
          <w:i/>
        </w:rPr>
        <w:t>Kunarac</w:t>
      </w:r>
      <w:proofErr w:type="spellEnd"/>
      <w:r w:rsidRPr="00470C7C">
        <w:t xml:space="preserve"> y</w:t>
      </w:r>
      <w:r w:rsidRPr="00470C7C">
        <w:rPr>
          <w:i/>
        </w:rPr>
        <w:t xml:space="preserve"> </w:t>
      </w:r>
      <w:proofErr w:type="spellStart"/>
      <w:r w:rsidRPr="00470C7C">
        <w:rPr>
          <w:i/>
        </w:rPr>
        <w:t>Krnojelac</w:t>
      </w:r>
      <w:proofErr w:type="spellEnd"/>
      <w:r w:rsidRPr="00470C7C">
        <w:rPr>
          <w:rStyle w:val="Refdenotaalpie"/>
        </w:rPr>
        <w:footnoteReference w:id="390"/>
      </w:r>
      <w:r w:rsidRPr="00470C7C">
        <w:t xml:space="preserve">. El </w:t>
      </w:r>
      <w:r w:rsidR="005856BF" w:rsidRPr="00470C7C">
        <w:t>Tribunal Especial para Sierra Leona</w:t>
      </w:r>
      <w:r w:rsidRPr="00470C7C">
        <w:t xml:space="preserve"> también consideró el trabajo forzoso como una forma de esclavitud, entre otros, en el </w:t>
      </w:r>
      <w:r w:rsidRPr="00470C7C">
        <w:rPr>
          <w:i/>
        </w:rPr>
        <w:t>Caso Charles Taylor</w:t>
      </w:r>
      <w:r w:rsidRPr="00470C7C">
        <w:t>. Al respecto, afirmó que “para considerar trabajo forzoso como esclavitud, lo relevante es considerar si ‘las personas en cuestión no tenían opción sobre donde trabajarían’, lo que es una determinación factual” objetiva, y no basada en la perspectiva subjetiva de las víctimas</w:t>
      </w:r>
      <w:r w:rsidRPr="00470C7C">
        <w:rPr>
          <w:rStyle w:val="Refdenotaalpie"/>
        </w:rPr>
        <w:footnoteReference w:id="391"/>
      </w:r>
      <w:r w:rsidRPr="00470C7C">
        <w:t xml:space="preserve">. </w:t>
      </w:r>
    </w:p>
    <w:p w14:paraId="69BA6417" w14:textId="77777777" w:rsidR="00207197" w:rsidRPr="00470C7C" w:rsidRDefault="00207197" w:rsidP="00140440">
      <w:pPr>
        <w:jc w:val="both"/>
      </w:pPr>
    </w:p>
    <w:p w14:paraId="2E9EB314" w14:textId="77777777" w:rsidR="00207197" w:rsidRPr="00470C7C" w:rsidRDefault="00207197" w:rsidP="00F37DC4">
      <w:pPr>
        <w:pStyle w:val="Prrafodelista"/>
        <w:numPr>
          <w:ilvl w:val="0"/>
          <w:numId w:val="1"/>
        </w:numPr>
        <w:contextualSpacing w:val="0"/>
      </w:pPr>
      <w:r w:rsidRPr="00470C7C">
        <w:t>El Tribunal de Justicia de la Comunidad Económica </w:t>
      </w:r>
      <w:r w:rsidRPr="00470C7C">
        <w:rPr>
          <w:bCs/>
        </w:rPr>
        <w:t>de</w:t>
      </w:r>
      <w:r w:rsidRPr="00470C7C">
        <w:t> Estados </w:t>
      </w:r>
      <w:r w:rsidRPr="00470C7C">
        <w:rPr>
          <w:bCs/>
        </w:rPr>
        <w:t>de</w:t>
      </w:r>
      <w:r w:rsidRPr="00470C7C">
        <w:t xml:space="preserve"> África Occidental (en adelante </w:t>
      </w:r>
      <w:r w:rsidR="00B2396C" w:rsidRPr="00470C7C">
        <w:t xml:space="preserve">también </w:t>
      </w:r>
      <w:r w:rsidRPr="00470C7C">
        <w:t>“</w:t>
      </w:r>
      <w:r w:rsidR="002F6AD8" w:rsidRPr="00470C7C">
        <w:t>Tribunal de Justicia de</w:t>
      </w:r>
      <w:r w:rsidR="00B2396C" w:rsidRPr="00470C7C">
        <w:t xml:space="preserve"> </w:t>
      </w:r>
      <w:r w:rsidR="007A680A" w:rsidRPr="00470C7C">
        <w:t>CEEAO</w:t>
      </w:r>
      <w:r w:rsidRPr="00470C7C">
        <w:t xml:space="preserve">”), en el </w:t>
      </w:r>
      <w:r w:rsidR="00122B46" w:rsidRPr="00470C7C">
        <w:rPr>
          <w:i/>
        </w:rPr>
        <w:t>C</w:t>
      </w:r>
      <w:r w:rsidRPr="00470C7C">
        <w:rPr>
          <w:i/>
        </w:rPr>
        <w:t xml:space="preserve">aso </w:t>
      </w:r>
      <w:proofErr w:type="spellStart"/>
      <w:r w:rsidRPr="00470C7C">
        <w:rPr>
          <w:i/>
        </w:rPr>
        <w:t>Adijatou</w:t>
      </w:r>
      <w:proofErr w:type="spellEnd"/>
      <w:r w:rsidRPr="00470C7C">
        <w:rPr>
          <w:i/>
        </w:rPr>
        <w:t xml:space="preserve"> </w:t>
      </w:r>
      <w:proofErr w:type="spellStart"/>
      <w:r w:rsidRPr="00470C7C">
        <w:rPr>
          <w:i/>
        </w:rPr>
        <w:t>Mani</w:t>
      </w:r>
      <w:proofErr w:type="spellEnd"/>
      <w:r w:rsidRPr="00470C7C">
        <w:rPr>
          <w:i/>
        </w:rPr>
        <w:t xml:space="preserve"> </w:t>
      </w:r>
      <w:proofErr w:type="spellStart"/>
      <w:r w:rsidRPr="00470C7C">
        <w:rPr>
          <w:i/>
        </w:rPr>
        <w:t>Koraou</w:t>
      </w:r>
      <w:proofErr w:type="spellEnd"/>
      <w:r w:rsidRPr="00470C7C">
        <w:rPr>
          <w:i/>
        </w:rPr>
        <w:t xml:space="preserve"> Vs. </w:t>
      </w:r>
      <w:proofErr w:type="spellStart"/>
      <w:r w:rsidRPr="00470C7C">
        <w:rPr>
          <w:i/>
        </w:rPr>
        <w:t>Niger</w:t>
      </w:r>
      <w:proofErr w:type="spellEnd"/>
      <w:r w:rsidRPr="00470C7C">
        <w:rPr>
          <w:rStyle w:val="Refdenotaalpie"/>
          <w:lang w:val="en-US"/>
        </w:rPr>
        <w:footnoteReference w:id="392"/>
      </w:r>
      <w:r w:rsidRPr="00470C7C">
        <w:t xml:space="preserve">, reafirmó la prohibición absoluta de la esclavitud en el derecho internacional y los desarrollos reseñados </w:t>
      </w:r>
      <w:r w:rsidRPr="00470C7C">
        <w:rPr>
          <w:i/>
        </w:rPr>
        <w:t>supra</w:t>
      </w:r>
      <w:r w:rsidRPr="00470C7C">
        <w:t xml:space="preserve">, para afirmar que el delito de esclavitud se caracteriza dependiendo de la noción de los “atributos relacionados a la propiedad”, considerando como elemento fundamental el grado de poder o control ejercido sobre un individuo. </w:t>
      </w:r>
      <w:r w:rsidR="004242F3" w:rsidRPr="00470C7C">
        <w:t xml:space="preserve">El Tribunal de Justicia </w:t>
      </w:r>
      <w:r w:rsidRPr="00470C7C">
        <w:t xml:space="preserve">de </w:t>
      </w:r>
      <w:r w:rsidR="007A680A" w:rsidRPr="00470C7C">
        <w:t>CEEAO</w:t>
      </w:r>
      <w:r w:rsidRPr="00470C7C">
        <w:t xml:space="preserve"> coincidió con el </w:t>
      </w:r>
      <w:r w:rsidR="007A680A" w:rsidRPr="00470C7C">
        <w:t>Tribunal Penal Internacional Ad Hoc para la ex-Yugoslavia</w:t>
      </w:r>
      <w:r w:rsidRPr="00470C7C">
        <w:t xml:space="preserve"> (</w:t>
      </w:r>
      <w:r w:rsidRPr="00470C7C">
        <w:rPr>
          <w:i/>
        </w:rPr>
        <w:t xml:space="preserve">Fiscal Vs. </w:t>
      </w:r>
      <w:proofErr w:type="spellStart"/>
      <w:r w:rsidRPr="00470C7C">
        <w:rPr>
          <w:i/>
        </w:rPr>
        <w:t>Kunarac</w:t>
      </w:r>
      <w:proofErr w:type="spellEnd"/>
      <w:r w:rsidRPr="00470C7C">
        <w:t xml:space="preserve">) en el sentido de que la esclavitud depende de la ocurrencia de factores o indicios de servidumbre como el control de los movimientos de una persona, el control del ambiente físico, control sicológico, medidas tomadas para prevenir o impedir la fuga, el uso de la fuerza, amenaza o coerción, la duración, el sometimiento a tratos crueles y abuso, el control de la sexualidad y </w:t>
      </w:r>
      <w:r w:rsidR="00231EE9" w:rsidRPr="00470C7C">
        <w:t xml:space="preserve">los </w:t>
      </w:r>
      <w:r w:rsidRPr="00470C7C">
        <w:t>trabajos forzados</w:t>
      </w:r>
      <w:r w:rsidRPr="00470C7C">
        <w:rPr>
          <w:rStyle w:val="Refdenotaalpie"/>
        </w:rPr>
        <w:footnoteReference w:id="393"/>
      </w:r>
      <w:r w:rsidRPr="00470C7C">
        <w:t xml:space="preserve">. </w:t>
      </w:r>
    </w:p>
    <w:p w14:paraId="1948CF40" w14:textId="77777777" w:rsidR="00207197" w:rsidRPr="00470C7C" w:rsidRDefault="00207197" w:rsidP="00140440">
      <w:pPr>
        <w:jc w:val="both"/>
      </w:pPr>
    </w:p>
    <w:p w14:paraId="19437A95" w14:textId="77777777" w:rsidR="00207197" w:rsidRPr="00470C7C" w:rsidRDefault="00207197" w:rsidP="00F37DC4">
      <w:pPr>
        <w:pStyle w:val="Prrafodelista"/>
        <w:numPr>
          <w:ilvl w:val="0"/>
          <w:numId w:val="1"/>
        </w:numPr>
        <w:contextualSpacing w:val="0"/>
        <w:rPr>
          <w:lang w:val="es-AR"/>
        </w:rPr>
      </w:pPr>
      <w:r w:rsidRPr="00470C7C">
        <w:rPr>
          <w:lang w:val="es-AR"/>
        </w:rPr>
        <w:t xml:space="preserve">Por su parte, en 2005 el Tribunal Europeo de Derechos Humanos tuvo la oportunidad de considerar por primera vez el fenómeno de la esclavitud y servidumbre en el </w:t>
      </w:r>
      <w:r w:rsidR="000348FA" w:rsidRPr="00470C7C">
        <w:rPr>
          <w:i/>
          <w:lang w:val="es-AR"/>
        </w:rPr>
        <w:t>C</w:t>
      </w:r>
      <w:r w:rsidRPr="00470C7C">
        <w:rPr>
          <w:i/>
          <w:lang w:val="es-AR"/>
        </w:rPr>
        <w:t>aso</w:t>
      </w:r>
      <w:r w:rsidRPr="00470C7C">
        <w:rPr>
          <w:lang w:val="es-AR"/>
        </w:rPr>
        <w:t xml:space="preserve"> </w:t>
      </w:r>
      <w:proofErr w:type="spellStart"/>
      <w:r w:rsidRPr="00470C7C">
        <w:rPr>
          <w:i/>
          <w:lang w:val="es-AR"/>
        </w:rPr>
        <w:t>Siliadin</w:t>
      </w:r>
      <w:proofErr w:type="spellEnd"/>
      <w:r w:rsidRPr="00470C7C">
        <w:rPr>
          <w:i/>
          <w:lang w:val="es-AR"/>
        </w:rPr>
        <w:t xml:space="preserve"> Vs. Francia</w:t>
      </w:r>
      <w:r w:rsidRPr="00470C7C">
        <w:rPr>
          <w:vertAlign w:val="superscript"/>
          <w:lang w:val="es-AR"/>
        </w:rPr>
        <w:footnoteReference w:id="394"/>
      </w:r>
      <w:r w:rsidRPr="00470C7C">
        <w:rPr>
          <w:lang w:val="es-AR"/>
        </w:rPr>
        <w:t xml:space="preserve">. </w:t>
      </w:r>
      <w:r w:rsidR="000471F5" w:rsidRPr="00470C7C">
        <w:rPr>
          <w:lang w:val="es-AR"/>
        </w:rPr>
        <w:t>Aun</w:t>
      </w:r>
      <w:r w:rsidRPr="00470C7C">
        <w:rPr>
          <w:lang w:val="es-AR"/>
        </w:rPr>
        <w:t xml:space="preserve"> cuando el TEDH no calificó la situación específica en li</w:t>
      </w:r>
      <w:r w:rsidR="004242F3" w:rsidRPr="00470C7C">
        <w:rPr>
          <w:lang w:val="es-AR"/>
        </w:rPr>
        <w:t>tigio como esclavitud (entendida en ese momento</w:t>
      </w:r>
      <w:r w:rsidRPr="00470C7C">
        <w:rPr>
          <w:lang w:val="es-AR"/>
        </w:rPr>
        <w:t xml:space="preserve"> en el sentido de la definición clásica de la Convención de 1926), consideró que la situación de la señora </w:t>
      </w:r>
      <w:proofErr w:type="spellStart"/>
      <w:r w:rsidRPr="00470C7C">
        <w:rPr>
          <w:lang w:val="es-AR"/>
        </w:rPr>
        <w:t>Siliadin</w:t>
      </w:r>
      <w:proofErr w:type="spellEnd"/>
      <w:r w:rsidRPr="00470C7C">
        <w:rPr>
          <w:lang w:val="es-AR"/>
        </w:rPr>
        <w:t xml:space="preserve"> constituía servidumbre. En ese sentido, hizo mención, entre otros, </w:t>
      </w:r>
      <w:r w:rsidRPr="00470C7C">
        <w:rPr>
          <w:lang w:val="es-MX"/>
        </w:rPr>
        <w:t xml:space="preserve">a la </w:t>
      </w:r>
      <w:r w:rsidRPr="00470C7C">
        <w:rPr>
          <w:lang w:val="es-AR"/>
        </w:rPr>
        <w:t>Convención suplementaria de 1956. Así, concluyó que la servidumbre representa la “obligación de proveer servicios a otro, a través de coerción, y está vinculada a la esclavitud”. Asimismo, el “siervo” está obligado a vivir en la propiedad del otro y no tiene posibilidad de cambiar su condición</w:t>
      </w:r>
      <w:r w:rsidRPr="00470C7C">
        <w:rPr>
          <w:rStyle w:val="Refdenotaalpie"/>
          <w:lang w:val="es-AR"/>
        </w:rPr>
        <w:footnoteReference w:id="395"/>
      </w:r>
      <w:r w:rsidRPr="00470C7C">
        <w:rPr>
          <w:lang w:val="es-AR"/>
        </w:rPr>
        <w:t xml:space="preserve">. Otros factores relevantes para la determinación de la condición de servidumbre fueron el hecho de que la víctima era menor de edad </w:t>
      </w:r>
      <w:r w:rsidR="000348FA" w:rsidRPr="00470C7C">
        <w:rPr>
          <w:lang w:val="es-AR"/>
        </w:rPr>
        <w:t xml:space="preserve">y </w:t>
      </w:r>
      <w:r w:rsidRPr="00470C7C">
        <w:rPr>
          <w:lang w:val="es-AR"/>
        </w:rPr>
        <w:t>sin recursos, así como la vulnerabilidad y aislamiento por no poder vivir en otro lugar y la dependencia completa de sus atormentadores, sin libertad de movimiento o tiempo libre</w:t>
      </w:r>
      <w:r w:rsidRPr="00470C7C">
        <w:rPr>
          <w:rStyle w:val="Refdenotaalpie"/>
          <w:lang w:val="es-AR"/>
        </w:rPr>
        <w:footnoteReference w:id="396"/>
      </w:r>
      <w:r w:rsidRPr="00470C7C">
        <w:rPr>
          <w:lang w:val="es-AR"/>
        </w:rPr>
        <w:t xml:space="preserve">.   </w:t>
      </w:r>
    </w:p>
    <w:p w14:paraId="4CC25FAC" w14:textId="77777777" w:rsidR="00207197" w:rsidRPr="00470C7C" w:rsidRDefault="00207197" w:rsidP="00140440">
      <w:pPr>
        <w:jc w:val="both"/>
        <w:rPr>
          <w:lang w:val="es-AR"/>
        </w:rPr>
      </w:pPr>
    </w:p>
    <w:p w14:paraId="57DD3681" w14:textId="77777777" w:rsidR="00207197" w:rsidRPr="00470C7C" w:rsidRDefault="00207197" w:rsidP="00F37DC4">
      <w:pPr>
        <w:pStyle w:val="Prrafodelista"/>
        <w:numPr>
          <w:ilvl w:val="0"/>
          <w:numId w:val="1"/>
        </w:numPr>
        <w:contextualSpacing w:val="0"/>
        <w:rPr>
          <w:lang w:val="es-ES"/>
        </w:rPr>
      </w:pPr>
      <w:r w:rsidRPr="00470C7C">
        <w:rPr>
          <w:lang w:val="es-AR"/>
        </w:rPr>
        <w:t xml:space="preserve">Por otro lado, en una </w:t>
      </w:r>
      <w:r w:rsidR="000348FA" w:rsidRPr="00470C7C">
        <w:rPr>
          <w:lang w:val="es-AR"/>
        </w:rPr>
        <w:t>s</w:t>
      </w:r>
      <w:r w:rsidRPr="00470C7C">
        <w:rPr>
          <w:lang w:val="es-AR"/>
        </w:rPr>
        <w:t xml:space="preserve">entencia más reciente, en 2010, el Tribunal Europeo se apartó de la definición “clásica” de esclavitud mencionada en </w:t>
      </w:r>
      <w:r w:rsidR="000348FA" w:rsidRPr="00470C7C">
        <w:rPr>
          <w:lang w:val="es-AR"/>
        </w:rPr>
        <w:t xml:space="preserve">el </w:t>
      </w:r>
      <w:r w:rsidR="000348FA" w:rsidRPr="00470C7C">
        <w:rPr>
          <w:i/>
          <w:lang w:val="es-AR"/>
        </w:rPr>
        <w:t xml:space="preserve">Caso </w:t>
      </w:r>
      <w:proofErr w:type="spellStart"/>
      <w:r w:rsidRPr="00470C7C">
        <w:rPr>
          <w:i/>
          <w:lang w:val="es-AR"/>
        </w:rPr>
        <w:t>Siliadin</w:t>
      </w:r>
      <w:proofErr w:type="spellEnd"/>
      <w:r w:rsidRPr="00470C7C">
        <w:rPr>
          <w:lang w:val="es-AR"/>
        </w:rPr>
        <w:t xml:space="preserve">, para reconocer, como ha hecho el </w:t>
      </w:r>
      <w:r w:rsidR="007A680A" w:rsidRPr="00470C7C">
        <w:rPr>
          <w:lang w:val="es-AR"/>
        </w:rPr>
        <w:t>Tribunal Penal Internacional Ad Hoc para la ex-Yugoslavia</w:t>
      </w:r>
      <w:r w:rsidRPr="00470C7C">
        <w:rPr>
          <w:lang w:val="es-AR"/>
        </w:rPr>
        <w:t xml:space="preserve"> en el </w:t>
      </w:r>
      <w:r w:rsidR="000348FA" w:rsidRPr="00470C7C">
        <w:rPr>
          <w:i/>
          <w:lang w:val="es-AR"/>
        </w:rPr>
        <w:t>C</w:t>
      </w:r>
      <w:r w:rsidRPr="00470C7C">
        <w:rPr>
          <w:i/>
          <w:lang w:val="es-AR"/>
        </w:rPr>
        <w:t xml:space="preserve">aso </w:t>
      </w:r>
      <w:proofErr w:type="spellStart"/>
      <w:r w:rsidRPr="00470C7C">
        <w:rPr>
          <w:i/>
          <w:lang w:val="es-AR"/>
        </w:rPr>
        <w:t>Kunarac</w:t>
      </w:r>
      <w:proofErr w:type="spellEnd"/>
      <w:r w:rsidRPr="00470C7C">
        <w:rPr>
          <w:lang w:val="es-AR"/>
        </w:rPr>
        <w:t xml:space="preserve">, que </w:t>
      </w:r>
      <w:r w:rsidRPr="00470C7C">
        <w:t xml:space="preserve">el concepto tradicional de esclavitud ha evolucionado para englobar distintas formas de esclavitud basadas en el ejercicio de alguno o todos de los atributos del derecho de propiedad, reiterando los factores relevantes listados por el </w:t>
      </w:r>
      <w:r w:rsidR="007A680A" w:rsidRPr="00470C7C">
        <w:t>Tribunal Penal Internacional Ad Hoc para la ex-Yugoslavia</w:t>
      </w:r>
      <w:r w:rsidRPr="00470C7C">
        <w:t xml:space="preserve"> para determinar si la situación en cuestión representaría una forma contemporánea de esclavitud</w:t>
      </w:r>
      <w:r w:rsidRPr="00470C7C">
        <w:rPr>
          <w:rStyle w:val="Refdenotaalpie"/>
          <w:lang w:val="es-AR"/>
        </w:rPr>
        <w:footnoteReference w:id="397"/>
      </w:r>
      <w:r w:rsidRPr="00470C7C">
        <w:t xml:space="preserve">. </w:t>
      </w:r>
    </w:p>
    <w:p w14:paraId="5C80D7B7" w14:textId="77777777" w:rsidR="0065579B" w:rsidRPr="00470C7C" w:rsidRDefault="0065579B" w:rsidP="0065579B">
      <w:pPr>
        <w:pStyle w:val="Prrafodelista"/>
        <w:rPr>
          <w:lang w:val="es-ES"/>
        </w:rPr>
      </w:pPr>
    </w:p>
    <w:p w14:paraId="55E0740D" w14:textId="77777777" w:rsidR="0065579B" w:rsidRPr="00470C7C" w:rsidRDefault="0065579B" w:rsidP="00F37DC4">
      <w:pPr>
        <w:pStyle w:val="Prrafodelista"/>
        <w:numPr>
          <w:ilvl w:val="0"/>
          <w:numId w:val="1"/>
        </w:numPr>
        <w:contextualSpacing w:val="0"/>
        <w:rPr>
          <w:lang w:val="es-ES"/>
        </w:rPr>
      </w:pPr>
      <w:r w:rsidRPr="00470C7C">
        <w:rPr>
          <w:lang w:val="es-ES"/>
        </w:rPr>
        <w:t xml:space="preserve">Recientemente, también las </w:t>
      </w:r>
      <w:r w:rsidRPr="00470C7C">
        <w:t xml:space="preserve">Salas Extraordinarias de las Cortes de Camboya, en </w:t>
      </w:r>
      <w:r w:rsidR="00577388" w:rsidRPr="00470C7C">
        <w:t>la sentencia del</w:t>
      </w:r>
      <w:r w:rsidRPr="00470C7C">
        <w:t xml:space="preserve"> </w:t>
      </w:r>
      <w:r w:rsidR="000348FA" w:rsidRPr="00470C7C">
        <w:rPr>
          <w:i/>
        </w:rPr>
        <w:t>C</w:t>
      </w:r>
      <w:r w:rsidRPr="00470C7C">
        <w:rPr>
          <w:i/>
        </w:rPr>
        <w:t xml:space="preserve">aso </w:t>
      </w:r>
      <w:proofErr w:type="spellStart"/>
      <w:r w:rsidRPr="00470C7C">
        <w:rPr>
          <w:i/>
        </w:rPr>
        <w:t>Duch</w:t>
      </w:r>
      <w:proofErr w:type="spellEnd"/>
      <w:r w:rsidRPr="00470C7C">
        <w:rPr>
          <w:rStyle w:val="Refdenotaalpie"/>
        </w:rPr>
        <w:footnoteReference w:id="398"/>
      </w:r>
      <w:r w:rsidRPr="00470C7C">
        <w:t xml:space="preserve">, </w:t>
      </w:r>
      <w:r w:rsidR="00577388" w:rsidRPr="00470C7C">
        <w:t>hi</w:t>
      </w:r>
      <w:r w:rsidR="000348FA" w:rsidRPr="00470C7C">
        <w:t>cieron</w:t>
      </w:r>
      <w:r w:rsidR="00577388" w:rsidRPr="00470C7C">
        <w:t xml:space="preserve"> uso del desarrollo del concepto de esclavitud para establecer su definición en el mismo sentido </w:t>
      </w:r>
      <w:r w:rsidR="000348FA" w:rsidRPr="00470C7C">
        <w:t xml:space="preserve">que el </w:t>
      </w:r>
      <w:r w:rsidR="00577388" w:rsidRPr="00470C7C">
        <w:t xml:space="preserve">expresado por el </w:t>
      </w:r>
      <w:r w:rsidR="007A680A" w:rsidRPr="00470C7C">
        <w:t>Tribunal Penal Internacional Ad Hoc para la ex-Yugoslavia</w:t>
      </w:r>
      <w:r w:rsidR="00577388" w:rsidRPr="00470C7C">
        <w:t xml:space="preserve"> en </w:t>
      </w:r>
      <w:proofErr w:type="spellStart"/>
      <w:r w:rsidR="00577388" w:rsidRPr="00470C7C">
        <w:rPr>
          <w:i/>
        </w:rPr>
        <w:t>Kunarac</w:t>
      </w:r>
      <w:proofErr w:type="spellEnd"/>
      <w:r w:rsidR="00577388" w:rsidRPr="00470C7C">
        <w:t xml:space="preserve"> y los tribunales internacionales </w:t>
      </w:r>
      <w:r w:rsidR="007F203E" w:rsidRPr="00470C7C">
        <w:t xml:space="preserve">indicados </w:t>
      </w:r>
      <w:r w:rsidR="007F203E" w:rsidRPr="00470C7C">
        <w:rPr>
          <w:i/>
        </w:rPr>
        <w:t>supra</w:t>
      </w:r>
      <w:r w:rsidR="00577388" w:rsidRPr="00470C7C">
        <w:t xml:space="preserve">. </w:t>
      </w:r>
    </w:p>
    <w:p w14:paraId="1ED0F822" w14:textId="77777777" w:rsidR="00207197" w:rsidRPr="00470C7C" w:rsidRDefault="00207197" w:rsidP="00140440">
      <w:pPr>
        <w:jc w:val="both"/>
      </w:pPr>
    </w:p>
    <w:p w14:paraId="51CBE8EC" w14:textId="77777777" w:rsidR="00207197" w:rsidRPr="00470C7C" w:rsidRDefault="00207197" w:rsidP="00F37DC4">
      <w:pPr>
        <w:pStyle w:val="Prrafodelista"/>
        <w:numPr>
          <w:ilvl w:val="0"/>
          <w:numId w:val="1"/>
        </w:numPr>
        <w:contextualSpacing w:val="0"/>
        <w:rPr>
          <w:bCs/>
          <w:lang w:val="es-MX"/>
        </w:rPr>
      </w:pPr>
      <w:r w:rsidRPr="00470C7C">
        <w:rPr>
          <w:lang w:val="es-MX"/>
        </w:rPr>
        <w:t xml:space="preserve">La Comisión Africana de Derechos Humanos y de los Pueblos, en el caso </w:t>
      </w:r>
      <w:r w:rsidRPr="00470C7C">
        <w:rPr>
          <w:i/>
          <w:lang w:val="es-MX"/>
        </w:rPr>
        <w:t xml:space="preserve">Malawi </w:t>
      </w:r>
      <w:proofErr w:type="spellStart"/>
      <w:r w:rsidRPr="00470C7C">
        <w:rPr>
          <w:i/>
          <w:lang w:val="es-MX"/>
        </w:rPr>
        <w:t>African</w:t>
      </w:r>
      <w:proofErr w:type="spellEnd"/>
      <w:r w:rsidRPr="00470C7C">
        <w:rPr>
          <w:i/>
          <w:lang w:val="es-MX"/>
        </w:rPr>
        <w:t xml:space="preserve"> </w:t>
      </w:r>
      <w:proofErr w:type="spellStart"/>
      <w:r w:rsidRPr="00470C7C">
        <w:rPr>
          <w:i/>
          <w:lang w:val="es-MX"/>
        </w:rPr>
        <w:t>Association</w:t>
      </w:r>
      <w:proofErr w:type="spellEnd"/>
      <w:r w:rsidRPr="00470C7C">
        <w:rPr>
          <w:lang w:val="es-MX"/>
        </w:rPr>
        <w:t xml:space="preserve"> </w:t>
      </w:r>
      <w:r w:rsidRPr="00470C7C">
        <w:rPr>
          <w:i/>
          <w:lang w:val="es-MX"/>
        </w:rPr>
        <w:t xml:space="preserve">y otros </w:t>
      </w:r>
      <w:r w:rsidR="000348FA" w:rsidRPr="00470C7C">
        <w:rPr>
          <w:i/>
          <w:lang w:val="es-MX"/>
        </w:rPr>
        <w:t>Vs</w:t>
      </w:r>
      <w:r w:rsidRPr="00470C7C">
        <w:rPr>
          <w:i/>
          <w:lang w:val="es-MX"/>
        </w:rPr>
        <w:t>. Mauritania</w:t>
      </w:r>
      <w:r w:rsidRPr="00470C7C">
        <w:rPr>
          <w:bCs/>
          <w:vertAlign w:val="superscript"/>
          <w:lang w:val="es-ES_tradnl"/>
        </w:rPr>
        <w:footnoteReference w:id="399"/>
      </w:r>
      <w:r w:rsidR="00EB33A4" w:rsidRPr="00470C7C">
        <w:rPr>
          <w:lang w:val="es-MX"/>
        </w:rPr>
        <w:t xml:space="preserve"> sobre </w:t>
      </w:r>
      <w:r w:rsidR="0025091B" w:rsidRPr="00470C7C">
        <w:rPr>
          <w:lang w:val="es-MX"/>
        </w:rPr>
        <w:t>prácticas análogas a la esclavitud y discriminación racial contra grupos étnicos negros</w:t>
      </w:r>
      <w:r w:rsidRPr="00470C7C">
        <w:rPr>
          <w:lang w:val="es-MX"/>
        </w:rPr>
        <w:t>, consideró violado el artículo 5 de la Carta Africana de Derechos Humanos y de los Pueblos</w:t>
      </w:r>
      <w:r w:rsidRPr="00470C7C">
        <w:rPr>
          <w:rStyle w:val="Refdenotaalpie"/>
          <w:iCs/>
          <w:lang w:val="es-MX"/>
        </w:rPr>
        <w:footnoteReference w:id="400"/>
      </w:r>
      <w:r w:rsidRPr="00470C7C">
        <w:rPr>
          <w:lang w:val="es-MX"/>
        </w:rPr>
        <w:t xml:space="preserve">, </w:t>
      </w:r>
      <w:r w:rsidRPr="00470C7C">
        <w:rPr>
          <w:bCs/>
          <w:lang w:val="es-MX"/>
        </w:rPr>
        <w:t xml:space="preserve">en razón de la falta de actuación del Estado para impedir prácticas análogas a la esclavitud en su territorio. </w:t>
      </w:r>
    </w:p>
    <w:p w14:paraId="16B384E5" w14:textId="77777777" w:rsidR="00207197" w:rsidRPr="00470C7C" w:rsidRDefault="00207197" w:rsidP="00140440">
      <w:pPr>
        <w:jc w:val="both"/>
        <w:rPr>
          <w:lang w:val="es-MX"/>
        </w:rPr>
      </w:pPr>
    </w:p>
    <w:p w14:paraId="7FFE12E3" w14:textId="77777777" w:rsidR="00207197" w:rsidRPr="00470C7C" w:rsidRDefault="00207197" w:rsidP="00F4422D">
      <w:pPr>
        <w:pStyle w:val="Prrafodelista"/>
        <w:numPr>
          <w:ilvl w:val="0"/>
          <w:numId w:val="1"/>
        </w:numPr>
        <w:contextualSpacing w:val="0"/>
      </w:pPr>
      <w:r w:rsidRPr="00470C7C">
        <w:rPr>
          <w:lang w:val="es-MX"/>
        </w:rPr>
        <w:t>Además de esos tribunales internacionales, otros órganos internacionales se han manifestado en similar sentido, dando contenido al fenómeno de esclavitud en los días actuales para incluir formas análogas o contemporáneas. En ese sentido, la Corte destaca los pronunciamientos del Comité CEDAW de Naciones Unidas</w:t>
      </w:r>
      <w:r w:rsidRPr="00470C7C">
        <w:rPr>
          <w:rStyle w:val="Refdenotaalpie"/>
          <w:bCs/>
          <w:iCs/>
          <w:lang w:val="es-MX"/>
        </w:rPr>
        <w:footnoteReference w:id="401"/>
      </w:r>
      <w:r w:rsidRPr="00470C7C">
        <w:rPr>
          <w:lang w:val="es-MX"/>
        </w:rPr>
        <w:t>, del Comité de Derechos Humanos de Naciones Unidas</w:t>
      </w:r>
      <w:r w:rsidRPr="00470C7C">
        <w:rPr>
          <w:rStyle w:val="Refdenotaalpie"/>
          <w:bCs/>
          <w:iCs/>
          <w:lang w:val="es-MX"/>
        </w:rPr>
        <w:footnoteReference w:id="402"/>
      </w:r>
      <w:r w:rsidRPr="00470C7C">
        <w:rPr>
          <w:lang w:val="es-MX"/>
        </w:rPr>
        <w:t xml:space="preserve">, </w:t>
      </w:r>
      <w:r w:rsidR="000348FA" w:rsidRPr="00470C7C">
        <w:rPr>
          <w:lang w:val="es-MX"/>
        </w:rPr>
        <w:t>d</w:t>
      </w:r>
      <w:r w:rsidRPr="00470C7C">
        <w:rPr>
          <w:lang w:val="es-MX"/>
        </w:rPr>
        <w:t>el Grupo de Trabajo de Naciones Unidas sobre Formas Contemporáneas de Esclavitud</w:t>
      </w:r>
      <w:r w:rsidRPr="00470C7C">
        <w:rPr>
          <w:rStyle w:val="Refdenotaalpie"/>
          <w:bCs/>
          <w:iCs/>
          <w:lang w:val="es-MX"/>
        </w:rPr>
        <w:footnoteReference w:id="403"/>
      </w:r>
      <w:r w:rsidRPr="00470C7C">
        <w:rPr>
          <w:lang w:val="es-MX"/>
        </w:rPr>
        <w:t xml:space="preserve">, </w:t>
      </w:r>
      <w:r w:rsidR="000348FA" w:rsidRPr="00470C7C">
        <w:rPr>
          <w:lang w:val="es-MX"/>
        </w:rPr>
        <w:t xml:space="preserve">de </w:t>
      </w:r>
      <w:r w:rsidRPr="00470C7C">
        <w:rPr>
          <w:lang w:val="es-MX"/>
        </w:rPr>
        <w:t xml:space="preserve">la Relatora Especial de </w:t>
      </w:r>
      <w:r w:rsidR="000348FA" w:rsidRPr="00470C7C">
        <w:rPr>
          <w:lang w:val="es-MX"/>
        </w:rPr>
        <w:t>Naciones Unidas</w:t>
      </w:r>
      <w:r w:rsidRPr="00470C7C">
        <w:rPr>
          <w:lang w:val="es-MX"/>
        </w:rPr>
        <w:t xml:space="preserve"> sobre tráfico de personas</w:t>
      </w:r>
      <w:r w:rsidRPr="00470C7C">
        <w:rPr>
          <w:rStyle w:val="Refdenotaalpie"/>
          <w:bCs/>
          <w:iCs/>
          <w:lang w:val="es-MX"/>
        </w:rPr>
        <w:footnoteReference w:id="404"/>
      </w:r>
      <w:r w:rsidRPr="00470C7C">
        <w:rPr>
          <w:lang w:val="es-MX"/>
        </w:rPr>
        <w:t xml:space="preserve">, </w:t>
      </w:r>
      <w:r w:rsidR="000348FA" w:rsidRPr="00470C7C">
        <w:rPr>
          <w:lang w:val="es-MX"/>
        </w:rPr>
        <w:t xml:space="preserve">de </w:t>
      </w:r>
      <w:r w:rsidRPr="00470C7C">
        <w:rPr>
          <w:lang w:val="es-MX"/>
        </w:rPr>
        <w:t>la Oficina del Alto Comisionado de los Derechos Humanos de Naciones Unidas</w:t>
      </w:r>
      <w:r w:rsidRPr="00470C7C">
        <w:rPr>
          <w:rStyle w:val="Refdenotaalpie"/>
          <w:bCs/>
          <w:iCs/>
          <w:lang w:val="es-MX"/>
        </w:rPr>
        <w:footnoteReference w:id="405"/>
      </w:r>
      <w:r w:rsidRPr="00470C7C">
        <w:rPr>
          <w:lang w:val="es-MX"/>
        </w:rPr>
        <w:t xml:space="preserve"> y de la Comisión Interamericana de Derechos Humanos</w:t>
      </w:r>
      <w:r w:rsidRPr="00470C7C">
        <w:rPr>
          <w:rStyle w:val="Refdenotaalpie"/>
          <w:bCs/>
          <w:iCs/>
          <w:lang w:val="es-MX"/>
        </w:rPr>
        <w:footnoteReference w:id="406"/>
      </w:r>
      <w:r w:rsidRPr="00470C7C">
        <w:rPr>
          <w:lang w:val="es-MX"/>
        </w:rPr>
        <w:t>.</w:t>
      </w:r>
    </w:p>
    <w:p w14:paraId="51279C87" w14:textId="77777777" w:rsidR="00207197" w:rsidRPr="00470C7C" w:rsidRDefault="00207197" w:rsidP="00140440">
      <w:pPr>
        <w:jc w:val="both"/>
      </w:pPr>
    </w:p>
    <w:p w14:paraId="77ACCFDD" w14:textId="77777777" w:rsidR="00207197" w:rsidRPr="00470C7C" w:rsidRDefault="00207197" w:rsidP="00F37DC4">
      <w:pPr>
        <w:pStyle w:val="Prrafodelista"/>
        <w:numPr>
          <w:ilvl w:val="0"/>
          <w:numId w:val="1"/>
        </w:numPr>
        <w:contextualSpacing w:val="0"/>
      </w:pPr>
      <w:r w:rsidRPr="00470C7C">
        <w:t>A partir del resumen de instrumentos internacionales vinculantes y las decisiones de tribunales internacionales listados anteriormente, se observa que la prohibición absoluta y universal de la esclavitud está consolidada en el derecho internacional, y la definición de ese concepto no ha variado sustancialmente desde la Convención de 1926:</w:t>
      </w:r>
      <w:r w:rsidR="008C4E2D" w:rsidRPr="00470C7C">
        <w:t xml:space="preserve"> </w:t>
      </w:r>
      <w:r w:rsidRPr="00470C7C">
        <w:t xml:space="preserve">“La esclavitud es el estado o condición de un individuo sobre el cual se ejercitan los atributos del derecho de propiedad o algunos de ellos”. </w:t>
      </w:r>
      <w:r w:rsidR="00E90FA0" w:rsidRPr="00470C7C">
        <w:t xml:space="preserve">En relación con </w:t>
      </w:r>
      <w:r w:rsidRPr="00470C7C">
        <w:t xml:space="preserve">los dos elementos de la definición de esclavitud tradicional, o </w:t>
      </w:r>
      <w:proofErr w:type="spellStart"/>
      <w:r w:rsidRPr="00470C7C">
        <w:rPr>
          <w:i/>
        </w:rPr>
        <w:t>chattel</w:t>
      </w:r>
      <w:proofErr w:type="spellEnd"/>
      <w:r w:rsidRPr="00470C7C">
        <w:rPr>
          <w:rStyle w:val="Refdenotaalpie"/>
        </w:rPr>
        <w:footnoteReference w:id="407"/>
      </w:r>
      <w:r w:rsidRPr="00470C7C">
        <w:t xml:space="preserve"> (estado o condición de un individuo; ejercicio de uno o más atributos del derecho de propiedad) se verifica que: i) desde la Convención de 1926 la trata de esclavos es equiparada a la esclavitud para efectos de la prohibición y su eliminación; </w:t>
      </w:r>
      <w:proofErr w:type="spellStart"/>
      <w:r w:rsidRPr="00470C7C">
        <w:t>ii</w:t>
      </w:r>
      <w:proofErr w:type="spellEnd"/>
      <w:r w:rsidRPr="00470C7C">
        <w:t>) la Convención suplementaria de 1956 extendió la protección contra la esclavitud también para “instituciones y prácticas análogas a la esclavitud”, como la servidumbre por deudas, la servidumbre de la gleba, entre otras,</w:t>
      </w:r>
      <w:r w:rsidRPr="00470C7C">
        <w:rPr>
          <w:rStyle w:val="Refdenotaalpie"/>
        </w:rPr>
        <w:footnoteReference w:id="408"/>
      </w:r>
      <w:r w:rsidRPr="00470C7C">
        <w:t xml:space="preserve"> además de precisar la prohibición y las obligaciones de </w:t>
      </w:r>
      <w:r w:rsidR="00EC100E" w:rsidRPr="00470C7C">
        <w:t>los Estados respecto a la trata, y</w:t>
      </w:r>
      <w:r w:rsidRPr="00470C7C">
        <w:t xml:space="preserve"> </w:t>
      </w:r>
      <w:proofErr w:type="spellStart"/>
      <w:r w:rsidRPr="00470C7C">
        <w:t>iii</w:t>
      </w:r>
      <w:proofErr w:type="spellEnd"/>
      <w:r w:rsidRPr="00470C7C">
        <w:t xml:space="preserve">) el Estatuto de Roma y la Comisión de Derecho Internacional agregaron el “ejercicio de los atributos del derecho de propiedad en el tráfico de personas” a la definición de esclavitud. </w:t>
      </w:r>
    </w:p>
    <w:p w14:paraId="3BAF55E9" w14:textId="77777777" w:rsidR="00207197" w:rsidRPr="00470C7C" w:rsidRDefault="00207197" w:rsidP="00140440">
      <w:pPr>
        <w:jc w:val="both"/>
      </w:pPr>
    </w:p>
    <w:p w14:paraId="507F929A" w14:textId="77777777" w:rsidR="00207197" w:rsidRPr="00470C7C" w:rsidRDefault="005D2CE2" w:rsidP="005D2CE2">
      <w:pPr>
        <w:pStyle w:val="Ttulo3"/>
      </w:pPr>
      <w:bookmarkStart w:id="352" w:name="_Toc464813961"/>
      <w:r w:rsidRPr="00470C7C">
        <w:t>B.3</w:t>
      </w:r>
      <w:r w:rsidR="00DC2886" w:rsidRPr="00470C7C">
        <w:t>.</w:t>
      </w:r>
      <w:r w:rsidR="00207197" w:rsidRPr="00470C7C">
        <w:t xml:space="preserve"> Elementos</w:t>
      </w:r>
      <w:r w:rsidR="007F203E" w:rsidRPr="00470C7C">
        <w:t xml:space="preserve"> del concepto de esclavitud</w:t>
      </w:r>
      <w:bookmarkEnd w:id="352"/>
    </w:p>
    <w:p w14:paraId="4927F84F" w14:textId="77777777" w:rsidR="00207197" w:rsidRPr="00470C7C" w:rsidRDefault="00207197" w:rsidP="00140440">
      <w:pPr>
        <w:jc w:val="both"/>
      </w:pPr>
    </w:p>
    <w:p w14:paraId="1D6DCACA" w14:textId="77777777" w:rsidR="00207197" w:rsidRPr="00470C7C" w:rsidRDefault="00207197" w:rsidP="00F37DC4">
      <w:pPr>
        <w:pStyle w:val="Prrafodelista"/>
        <w:numPr>
          <w:ilvl w:val="0"/>
          <w:numId w:val="1"/>
        </w:numPr>
        <w:contextualSpacing w:val="0"/>
      </w:pPr>
      <w:r w:rsidRPr="00470C7C">
        <w:t>A partir del desarrollo del concepto de esclavitud en el derecho internacional y de la prohibición establecida en el artículo 6 de la Convención Americana sobre Derechos Humanos,</w:t>
      </w:r>
      <w:r w:rsidR="00DD3E22" w:rsidRPr="00470C7C">
        <w:t xml:space="preserve"> la Corte observa que e</w:t>
      </w:r>
      <w:r w:rsidR="00592688" w:rsidRPr="00470C7C">
        <w:t>ste</w:t>
      </w:r>
      <w:r w:rsidR="00DD3E22" w:rsidRPr="00470C7C">
        <w:t xml:space="preserve"> concepto ha evolucionado y ya no se limita a la propiedad sobre la persona</w:t>
      </w:r>
      <w:r w:rsidR="00770BC5" w:rsidRPr="00470C7C">
        <w:t>.</w:t>
      </w:r>
      <w:r w:rsidRPr="00470C7C">
        <w:t xml:space="preserve"> </w:t>
      </w:r>
      <w:r w:rsidR="00770BC5" w:rsidRPr="00470C7C">
        <w:t xml:space="preserve">Al respecto, </w:t>
      </w:r>
      <w:r w:rsidRPr="00470C7C">
        <w:t>la Corte considera que</w:t>
      </w:r>
      <w:r w:rsidR="00107DA8" w:rsidRPr="00470C7C">
        <w:t xml:space="preserve"> </w:t>
      </w:r>
      <w:r w:rsidRPr="00470C7C">
        <w:t>los dos elementos fundamentales para definir una situación como esclavitud son</w:t>
      </w:r>
      <w:r w:rsidR="0077111B" w:rsidRPr="00470C7C">
        <w:t>:</w:t>
      </w:r>
      <w:r w:rsidRPr="00470C7C">
        <w:t xml:space="preserve"> i) el estado o condición de un individuo y </w:t>
      </w:r>
      <w:proofErr w:type="spellStart"/>
      <w:r w:rsidRPr="00470C7C">
        <w:t>ii</w:t>
      </w:r>
      <w:proofErr w:type="spellEnd"/>
      <w:r w:rsidRPr="00470C7C">
        <w:t xml:space="preserve">) el ejercicio de alguno de los atributos del derecho de propiedad, es decir, que el esclavizador ejerza poder o control sobre la persona esclavizada al punto de anular la personalidad de la víctima. Las características de cada uno de esos elementos son entendidas de acuerdo con los criterios o factores identificados a continuación. </w:t>
      </w:r>
    </w:p>
    <w:p w14:paraId="180963ED" w14:textId="77777777" w:rsidR="00207197" w:rsidRPr="00470C7C" w:rsidRDefault="00207197" w:rsidP="00140440">
      <w:pPr>
        <w:jc w:val="both"/>
      </w:pPr>
    </w:p>
    <w:p w14:paraId="3B4B4BF2" w14:textId="77777777" w:rsidR="00207197" w:rsidRPr="00470C7C" w:rsidRDefault="00207197" w:rsidP="00F37DC4">
      <w:pPr>
        <w:pStyle w:val="Prrafodelista"/>
        <w:numPr>
          <w:ilvl w:val="0"/>
          <w:numId w:val="1"/>
        </w:numPr>
        <w:contextualSpacing w:val="0"/>
      </w:pPr>
      <w:r w:rsidRPr="00470C7C">
        <w:t xml:space="preserve">El primer elemento (estado o condición) se refiere tanto a la </w:t>
      </w:r>
      <w:r w:rsidR="00C44C4F" w:rsidRPr="00470C7C">
        <w:t xml:space="preserve">situación </w:t>
      </w:r>
      <w:r w:rsidRPr="00470C7C">
        <w:rPr>
          <w:i/>
        </w:rPr>
        <w:t>de jure</w:t>
      </w:r>
      <w:r w:rsidRPr="00470C7C">
        <w:t xml:space="preserve"> como </w:t>
      </w:r>
      <w:r w:rsidRPr="00470C7C">
        <w:rPr>
          <w:i/>
        </w:rPr>
        <w:t>de facto</w:t>
      </w:r>
      <w:r w:rsidRPr="00470C7C">
        <w:t xml:space="preserve">, es decir que no es esencial la existencia de un documento formal o una norma legal para la </w:t>
      </w:r>
      <w:r w:rsidR="007F203E" w:rsidRPr="00470C7C">
        <w:t xml:space="preserve">caracterización </w:t>
      </w:r>
      <w:r w:rsidRPr="00470C7C">
        <w:t>de ese fenómeno</w:t>
      </w:r>
      <w:r w:rsidR="00C44C4F" w:rsidRPr="00470C7C">
        <w:t xml:space="preserve">, como en el caso de la esclavitud </w:t>
      </w:r>
      <w:proofErr w:type="spellStart"/>
      <w:r w:rsidR="00C44C4F" w:rsidRPr="00470C7C">
        <w:rPr>
          <w:i/>
        </w:rPr>
        <w:t>cha</w:t>
      </w:r>
      <w:r w:rsidR="00692D4A" w:rsidRPr="00470C7C">
        <w:rPr>
          <w:i/>
        </w:rPr>
        <w:t>t</w:t>
      </w:r>
      <w:r w:rsidR="00C44C4F" w:rsidRPr="00470C7C">
        <w:rPr>
          <w:i/>
        </w:rPr>
        <w:t>tel</w:t>
      </w:r>
      <w:proofErr w:type="spellEnd"/>
      <w:r w:rsidR="00C44C4F" w:rsidRPr="00470C7C">
        <w:rPr>
          <w:i/>
        </w:rPr>
        <w:t xml:space="preserve"> </w:t>
      </w:r>
      <w:r w:rsidR="00C44C4F" w:rsidRPr="00470C7C">
        <w:t>o tradicional</w:t>
      </w:r>
      <w:r w:rsidRPr="00470C7C">
        <w:t xml:space="preserve">. </w:t>
      </w:r>
    </w:p>
    <w:p w14:paraId="52AD5C61" w14:textId="77777777" w:rsidR="00207197" w:rsidRPr="00470C7C" w:rsidRDefault="00207197" w:rsidP="00140440">
      <w:pPr>
        <w:jc w:val="both"/>
      </w:pPr>
    </w:p>
    <w:p w14:paraId="5FBDCA6E" w14:textId="77777777" w:rsidR="00C44C4F" w:rsidRPr="00470C7C" w:rsidRDefault="00207197" w:rsidP="00F37DC4">
      <w:pPr>
        <w:pStyle w:val="Prrafodelista"/>
        <w:numPr>
          <w:ilvl w:val="0"/>
          <w:numId w:val="1"/>
        </w:numPr>
        <w:contextualSpacing w:val="0"/>
      </w:pPr>
      <w:r w:rsidRPr="00470C7C">
        <w:t>Respecto del elemento de “propiedad”, este debe ser comprendido en el fenómeno de esclavitud como “posesión”, es decir la demostración de control de una persona sobre otra. Por lo tanto, “a la hora de determinar el nivel de control requerido para considerar un acto como esclavitud, […] se podría equiparar a la pérdida de la propia voluntad o a una disminución considerable de la autonomía personal”</w:t>
      </w:r>
      <w:r w:rsidR="00C44C4F" w:rsidRPr="00470C7C">
        <w:rPr>
          <w:rStyle w:val="Refdenotaalpie"/>
        </w:rPr>
        <w:footnoteReference w:id="409"/>
      </w:r>
      <w:r w:rsidRPr="00470C7C">
        <w:t xml:space="preserve">. En ese sentido, el llamado “ejercicio de atributos de la propiedad” debe ser entendido en los días actuales como el control ejercido sobre una persona que le </w:t>
      </w:r>
      <w:r w:rsidR="00C44C4F" w:rsidRPr="00470C7C">
        <w:t xml:space="preserve">restrinja o </w:t>
      </w:r>
      <w:r w:rsidRPr="00470C7C">
        <w:t>prive significativamente de su libertad individual</w:t>
      </w:r>
      <w:r w:rsidRPr="00470C7C">
        <w:rPr>
          <w:rStyle w:val="Refdenotaalpie"/>
        </w:rPr>
        <w:footnoteReference w:id="410"/>
      </w:r>
      <w:r w:rsidRPr="00470C7C">
        <w:t>, con intención de explotación mediante el uso, la gestión, el beneficio, la transferencia o el despojarse de una persona. Por lo general, este ejercicio se apoyará y se obtendrá a través de medios tales como la violencia, el engaño y/o la coacción</w:t>
      </w:r>
      <w:r w:rsidRPr="00470C7C">
        <w:rPr>
          <w:rStyle w:val="Refdenotaalpie"/>
        </w:rPr>
        <w:footnoteReference w:id="411"/>
      </w:r>
      <w:r w:rsidRPr="00470C7C">
        <w:t xml:space="preserve">. </w:t>
      </w:r>
    </w:p>
    <w:p w14:paraId="0F0BCBF5" w14:textId="77777777" w:rsidR="00C44C4F" w:rsidRPr="00470C7C" w:rsidRDefault="00C44C4F" w:rsidP="00C44C4F">
      <w:pPr>
        <w:pStyle w:val="Prrafodelista"/>
      </w:pPr>
    </w:p>
    <w:p w14:paraId="529C425B" w14:textId="77777777" w:rsidR="00207197" w:rsidRPr="00470C7C" w:rsidRDefault="00207197" w:rsidP="00F37DC4">
      <w:pPr>
        <w:pStyle w:val="Prrafodelista"/>
        <w:numPr>
          <w:ilvl w:val="0"/>
          <w:numId w:val="1"/>
        </w:numPr>
        <w:contextualSpacing w:val="0"/>
      </w:pPr>
      <w:r w:rsidRPr="00470C7C">
        <w:t xml:space="preserve">La Corte comparte ese criterio y lo considera </w:t>
      </w:r>
      <w:r w:rsidR="00687E8E" w:rsidRPr="00470C7C">
        <w:t xml:space="preserve">concordante </w:t>
      </w:r>
      <w:r w:rsidRPr="00470C7C">
        <w:t xml:space="preserve">con lo decidido por el </w:t>
      </w:r>
      <w:r w:rsidR="007A680A" w:rsidRPr="00470C7C">
        <w:t>Tribunal Penal Internacional Ad Hoc para la ex-Yugoslavia</w:t>
      </w:r>
      <w:r w:rsidRPr="00470C7C">
        <w:rPr>
          <w:b/>
        </w:rPr>
        <w:t xml:space="preserve">, </w:t>
      </w:r>
      <w:r w:rsidR="00665818" w:rsidRPr="00470C7C">
        <w:t>el Tribunal Especial para Sierra Leona</w:t>
      </w:r>
      <w:r w:rsidRPr="00470C7C">
        <w:t xml:space="preserve">, y </w:t>
      </w:r>
      <w:r w:rsidR="00687E8E" w:rsidRPr="00470C7C">
        <w:t xml:space="preserve">la </w:t>
      </w:r>
      <w:r w:rsidRPr="00470C7C">
        <w:t>Corte de Justicia de</w:t>
      </w:r>
      <w:r w:rsidR="00665818" w:rsidRPr="00470C7C">
        <w:t xml:space="preserve"> la Comunidad Económica de África Occidental </w:t>
      </w:r>
      <w:r w:rsidRPr="00470C7C">
        <w:t>(</w:t>
      </w:r>
      <w:r w:rsidRPr="00470C7C">
        <w:rPr>
          <w:i/>
        </w:rPr>
        <w:t xml:space="preserve">supra </w:t>
      </w:r>
      <w:proofErr w:type="spellStart"/>
      <w:r w:rsidRPr="00470C7C">
        <w:t>párr</w:t>
      </w:r>
      <w:r w:rsidR="00A05771" w:rsidRPr="00470C7C">
        <w:t>s</w:t>
      </w:r>
      <w:proofErr w:type="spellEnd"/>
      <w:r w:rsidRPr="00470C7C">
        <w:t xml:space="preserve">. </w:t>
      </w:r>
      <w:r w:rsidR="00A05771" w:rsidRPr="00470C7C">
        <w:t>259 a 262</w:t>
      </w:r>
      <w:r w:rsidRPr="00470C7C">
        <w:t>), de modo que para determinar una situación como esclavitud</w:t>
      </w:r>
      <w:r w:rsidR="00DD1625" w:rsidRPr="00470C7C">
        <w:t xml:space="preserve"> en los días actuales</w:t>
      </w:r>
      <w:r w:rsidRPr="00470C7C">
        <w:t xml:space="preserve">, </w:t>
      </w:r>
      <w:r w:rsidR="00C44C4F" w:rsidRPr="00470C7C">
        <w:t xml:space="preserve">se </w:t>
      </w:r>
      <w:r w:rsidRPr="00470C7C">
        <w:t xml:space="preserve">deberá </w:t>
      </w:r>
      <w:r w:rsidR="00592688" w:rsidRPr="00470C7C">
        <w:t>evaluar, co</w:t>
      </w:r>
      <w:r w:rsidR="00665818" w:rsidRPr="00470C7C">
        <w:t xml:space="preserve">n base </w:t>
      </w:r>
      <w:r w:rsidR="00592688" w:rsidRPr="00470C7C">
        <w:t>en</w:t>
      </w:r>
      <w:r w:rsidR="00665818" w:rsidRPr="00470C7C">
        <w:t xml:space="preserve"> </w:t>
      </w:r>
      <w:r w:rsidR="00C44C4F" w:rsidRPr="00470C7C">
        <w:t xml:space="preserve">los </w:t>
      </w:r>
      <w:r w:rsidRPr="00470C7C">
        <w:t xml:space="preserve">siguientes </w:t>
      </w:r>
      <w:r w:rsidR="00C44C4F" w:rsidRPr="00470C7C">
        <w:t>elementos</w:t>
      </w:r>
      <w:r w:rsidR="00665818" w:rsidRPr="00470C7C">
        <w:t>,</w:t>
      </w:r>
      <w:r w:rsidR="00C44C4F" w:rsidRPr="00470C7C">
        <w:t xml:space="preserve"> </w:t>
      </w:r>
      <w:r w:rsidR="005856BF" w:rsidRPr="00470C7C">
        <w:t>l</w:t>
      </w:r>
      <w:r w:rsidR="00665818" w:rsidRPr="00470C7C">
        <w:t xml:space="preserve">a </w:t>
      </w:r>
      <w:r w:rsidRPr="00470C7C">
        <w:t xml:space="preserve">manifestación de los llamados “atributos del derecho de propiedad”: </w:t>
      </w:r>
    </w:p>
    <w:p w14:paraId="4FAA7A6B" w14:textId="77777777" w:rsidR="00207197" w:rsidRPr="00470C7C" w:rsidRDefault="00207197" w:rsidP="00140440">
      <w:pPr>
        <w:jc w:val="both"/>
      </w:pPr>
    </w:p>
    <w:p w14:paraId="5A274126" w14:textId="77777777" w:rsidR="00207197" w:rsidRPr="00470C7C" w:rsidRDefault="00207197" w:rsidP="00D152C2">
      <w:pPr>
        <w:spacing w:after="120"/>
        <w:ind w:left="851"/>
        <w:jc w:val="both"/>
        <w:rPr>
          <w:lang w:val="es-AR"/>
        </w:rPr>
      </w:pPr>
      <w:r w:rsidRPr="00470C7C">
        <w:rPr>
          <w:lang w:val="es-AR"/>
        </w:rPr>
        <w:t xml:space="preserve">a) restricción o control de la autonomía individual; </w:t>
      </w:r>
    </w:p>
    <w:p w14:paraId="2EFB2653" w14:textId="77777777" w:rsidR="00207197" w:rsidRPr="00470C7C" w:rsidRDefault="00207197" w:rsidP="00D152C2">
      <w:pPr>
        <w:spacing w:after="120"/>
        <w:ind w:left="851"/>
        <w:jc w:val="both"/>
        <w:rPr>
          <w:lang w:val="es-AR"/>
        </w:rPr>
      </w:pPr>
      <w:r w:rsidRPr="00470C7C">
        <w:rPr>
          <w:lang w:val="es-AR"/>
        </w:rPr>
        <w:t xml:space="preserve">b) pérdida o restricción de la libertad de movimiento de una persona; </w:t>
      </w:r>
    </w:p>
    <w:p w14:paraId="73F9F79F" w14:textId="77777777" w:rsidR="00207197" w:rsidRPr="00470C7C" w:rsidRDefault="00207197" w:rsidP="00D152C2">
      <w:pPr>
        <w:spacing w:after="120"/>
        <w:ind w:left="851"/>
        <w:jc w:val="both"/>
        <w:rPr>
          <w:lang w:val="es-AR"/>
        </w:rPr>
      </w:pPr>
      <w:r w:rsidRPr="00470C7C">
        <w:rPr>
          <w:lang w:val="es-AR"/>
        </w:rPr>
        <w:t xml:space="preserve">c) la obtención de un provecho por parte del perpetrador; </w:t>
      </w:r>
    </w:p>
    <w:p w14:paraId="579D74D0" w14:textId="77777777" w:rsidR="00207197" w:rsidRPr="00470C7C" w:rsidRDefault="00207197" w:rsidP="00D152C2">
      <w:pPr>
        <w:spacing w:after="120"/>
        <w:ind w:left="851"/>
        <w:jc w:val="both"/>
        <w:rPr>
          <w:lang w:val="es-AR"/>
        </w:rPr>
      </w:pPr>
      <w:r w:rsidRPr="00470C7C">
        <w:rPr>
          <w:lang w:val="es-AR"/>
        </w:rPr>
        <w:t xml:space="preserve">d) la ausencia de consentimiento o de libre albedrío de la víctima, o su imposibilidad o irrelevancia debido a la amenaza de uso de la violencia u otras formas de coerción, el miedo de violencia, el engaño o las falsas promesas; </w:t>
      </w:r>
    </w:p>
    <w:p w14:paraId="4E9738B0" w14:textId="77777777" w:rsidR="00207197" w:rsidRPr="00470C7C" w:rsidRDefault="00207197" w:rsidP="00D152C2">
      <w:pPr>
        <w:spacing w:after="120"/>
        <w:ind w:left="851"/>
        <w:jc w:val="both"/>
        <w:rPr>
          <w:lang w:val="es-AR"/>
        </w:rPr>
      </w:pPr>
      <w:r w:rsidRPr="00470C7C">
        <w:rPr>
          <w:lang w:val="es-AR"/>
        </w:rPr>
        <w:t xml:space="preserve">e) el uso de violencia física o psicológica; </w:t>
      </w:r>
    </w:p>
    <w:p w14:paraId="1A668BB6" w14:textId="77777777" w:rsidR="00207197" w:rsidRPr="00470C7C" w:rsidRDefault="00207197" w:rsidP="00D152C2">
      <w:pPr>
        <w:spacing w:after="120"/>
        <w:ind w:left="851"/>
        <w:jc w:val="both"/>
        <w:rPr>
          <w:lang w:val="es-AR"/>
        </w:rPr>
      </w:pPr>
      <w:r w:rsidRPr="00470C7C">
        <w:rPr>
          <w:lang w:val="es-AR"/>
        </w:rPr>
        <w:t xml:space="preserve">f) la posición de vulnerabilidad de la víctima; </w:t>
      </w:r>
    </w:p>
    <w:p w14:paraId="6B0A7B70" w14:textId="77777777" w:rsidR="00207197" w:rsidRPr="00470C7C" w:rsidRDefault="00207197" w:rsidP="00D152C2">
      <w:pPr>
        <w:spacing w:after="120"/>
        <w:ind w:left="851"/>
        <w:jc w:val="both"/>
        <w:rPr>
          <w:lang w:val="es-AR"/>
        </w:rPr>
      </w:pPr>
      <w:r w:rsidRPr="00470C7C">
        <w:rPr>
          <w:lang w:val="es-AR"/>
        </w:rPr>
        <w:t>g) la detención o cautiverio</w:t>
      </w:r>
      <w:r w:rsidR="00C44C4F" w:rsidRPr="00470C7C">
        <w:rPr>
          <w:lang w:val="es-AR"/>
        </w:rPr>
        <w:t xml:space="preserve">, </w:t>
      </w:r>
      <w:r w:rsidRPr="00470C7C">
        <w:rPr>
          <w:lang w:val="es-AR"/>
        </w:rPr>
        <w:t xml:space="preserve"> </w:t>
      </w:r>
    </w:p>
    <w:p w14:paraId="0C2E6BFB" w14:textId="77777777" w:rsidR="00207197" w:rsidRPr="00470C7C" w:rsidRDefault="00207197" w:rsidP="00F727E4">
      <w:pPr>
        <w:ind w:left="851"/>
        <w:jc w:val="both"/>
        <w:rPr>
          <w:lang w:val="es-AR"/>
        </w:rPr>
      </w:pPr>
      <w:r w:rsidRPr="00470C7C">
        <w:rPr>
          <w:lang w:val="es-AR"/>
        </w:rPr>
        <w:t>i) la explotación</w:t>
      </w:r>
      <w:r w:rsidR="00C44C4F" w:rsidRPr="00470C7C">
        <w:rPr>
          <w:lang w:val="es-AR"/>
        </w:rPr>
        <w:t>.</w:t>
      </w:r>
      <w:r w:rsidRPr="00470C7C">
        <w:rPr>
          <w:rStyle w:val="Refdenotaalpie"/>
          <w:sz w:val="18"/>
          <w:szCs w:val="18"/>
          <w:lang w:val="es-AR"/>
        </w:rPr>
        <w:footnoteReference w:id="412"/>
      </w:r>
      <w:r w:rsidRPr="00470C7C">
        <w:rPr>
          <w:lang w:val="es-AR"/>
        </w:rPr>
        <w:t xml:space="preserve"> </w:t>
      </w:r>
    </w:p>
    <w:p w14:paraId="6BF12C0F" w14:textId="77777777" w:rsidR="00207197" w:rsidRPr="00470C7C" w:rsidRDefault="00207197" w:rsidP="00140440">
      <w:pPr>
        <w:jc w:val="both"/>
        <w:rPr>
          <w:lang w:val="es-AR"/>
        </w:rPr>
      </w:pPr>
    </w:p>
    <w:p w14:paraId="1E343E47" w14:textId="77777777" w:rsidR="00207197" w:rsidRPr="00470C7C" w:rsidRDefault="00207197" w:rsidP="00F37DC4">
      <w:pPr>
        <w:pStyle w:val="Prrafodelista"/>
        <w:numPr>
          <w:ilvl w:val="0"/>
          <w:numId w:val="1"/>
        </w:numPr>
        <w:contextualSpacing w:val="0"/>
        <w:rPr>
          <w:lang w:val="es-ES"/>
        </w:rPr>
      </w:pPr>
      <w:r w:rsidRPr="00470C7C">
        <w:rPr>
          <w:lang w:val="es-AR"/>
        </w:rPr>
        <w:t xml:space="preserve">Es evidente de lo anterior que la constatación de una situación de esclavitud representa </w:t>
      </w:r>
      <w:r w:rsidR="00A162E1" w:rsidRPr="00470C7C">
        <w:rPr>
          <w:lang w:val="es-AR"/>
        </w:rPr>
        <w:t xml:space="preserve">una </w:t>
      </w:r>
      <w:r w:rsidR="00C44C4F" w:rsidRPr="00470C7C">
        <w:rPr>
          <w:lang w:val="es-AR"/>
        </w:rPr>
        <w:t xml:space="preserve">restricción sustancial </w:t>
      </w:r>
      <w:r w:rsidRPr="00470C7C">
        <w:rPr>
          <w:lang w:val="es-AR"/>
        </w:rPr>
        <w:t>de la personalidad jurídica del ser humano</w:t>
      </w:r>
      <w:r w:rsidRPr="00470C7C">
        <w:rPr>
          <w:rStyle w:val="Refdenotaalpie"/>
          <w:lang w:val="es-AR"/>
        </w:rPr>
        <w:footnoteReference w:id="413"/>
      </w:r>
      <w:r w:rsidRPr="00470C7C">
        <w:rPr>
          <w:lang w:val="es-AR"/>
        </w:rPr>
        <w:t xml:space="preserve"> y </w:t>
      </w:r>
      <w:r w:rsidR="00A162E1" w:rsidRPr="00470C7C">
        <w:rPr>
          <w:lang w:val="es-AR"/>
        </w:rPr>
        <w:t>podría representar</w:t>
      </w:r>
      <w:r w:rsidRPr="00470C7C">
        <w:rPr>
          <w:lang w:val="es-AR"/>
        </w:rPr>
        <w:t xml:space="preserve">, además, violaciones a los derechos a la integridad personal, a la libertad personal </w:t>
      </w:r>
      <w:r w:rsidR="00A162E1" w:rsidRPr="00470C7C">
        <w:rPr>
          <w:lang w:val="es-AR"/>
        </w:rPr>
        <w:t xml:space="preserve">y </w:t>
      </w:r>
      <w:r w:rsidRPr="00470C7C">
        <w:rPr>
          <w:lang w:val="es-AR"/>
        </w:rPr>
        <w:t xml:space="preserve">a la dignidad, </w:t>
      </w:r>
      <w:r w:rsidR="007B005F" w:rsidRPr="00470C7C">
        <w:rPr>
          <w:lang w:val="es-AR"/>
        </w:rPr>
        <w:t xml:space="preserve">entre otros, </w:t>
      </w:r>
      <w:r w:rsidRPr="00470C7C">
        <w:rPr>
          <w:lang w:val="es-AR"/>
        </w:rPr>
        <w:t xml:space="preserve">dependiendo de las circunstancias específicas de cada caso. </w:t>
      </w:r>
    </w:p>
    <w:p w14:paraId="5545E2F6" w14:textId="77777777" w:rsidR="00307914" w:rsidRPr="00470C7C" w:rsidRDefault="00307914" w:rsidP="00140440">
      <w:pPr>
        <w:pStyle w:val="Prrafodelista"/>
        <w:ind w:left="0"/>
        <w:rPr>
          <w:b/>
        </w:rPr>
      </w:pPr>
    </w:p>
    <w:p w14:paraId="7520E7E8" w14:textId="77777777" w:rsidR="00207197" w:rsidRPr="00470C7C" w:rsidRDefault="005D2CE2" w:rsidP="005D2CE2">
      <w:pPr>
        <w:pStyle w:val="Ttulo3"/>
      </w:pPr>
      <w:bookmarkStart w:id="353" w:name="_Toc464813962"/>
      <w:r w:rsidRPr="00470C7C">
        <w:t>B.4</w:t>
      </w:r>
      <w:r w:rsidR="00DC2886" w:rsidRPr="00470C7C">
        <w:t>.</w:t>
      </w:r>
      <w:r w:rsidR="00207197" w:rsidRPr="00470C7C">
        <w:t xml:space="preserve"> Prohibición y definición de servidumbre como forma análoga de esclavitud</w:t>
      </w:r>
      <w:bookmarkEnd w:id="353"/>
    </w:p>
    <w:p w14:paraId="0A6DA8BE" w14:textId="77777777" w:rsidR="00207197" w:rsidRPr="00470C7C" w:rsidRDefault="00207197" w:rsidP="00140440">
      <w:pPr>
        <w:jc w:val="both"/>
      </w:pPr>
    </w:p>
    <w:p w14:paraId="2BEF456F" w14:textId="77777777" w:rsidR="00207197" w:rsidRPr="00470C7C" w:rsidRDefault="00207197" w:rsidP="00F37DC4">
      <w:pPr>
        <w:pStyle w:val="Prrafodelista"/>
        <w:numPr>
          <w:ilvl w:val="0"/>
          <w:numId w:val="1"/>
        </w:numPr>
        <w:contextualSpacing w:val="0"/>
      </w:pPr>
      <w:r w:rsidRPr="00470C7C">
        <w:t>Antes de pasar al análisis de los hechos concretos del presente caso, la Corte considera pertinente realizar algunas consideraciones sobre la interpretación de la servidumbre</w:t>
      </w:r>
      <w:r w:rsidR="0070011D" w:rsidRPr="00470C7C">
        <w:t>, la trata de esclavos y de mujeres y el trabajo forzoso</w:t>
      </w:r>
      <w:r w:rsidR="0049429A" w:rsidRPr="00470C7C">
        <w:t xml:space="preserve"> </w:t>
      </w:r>
      <w:r w:rsidRPr="00470C7C">
        <w:t>a la luz del artículo 6 de la Convención Americana.</w:t>
      </w:r>
      <w:r w:rsidR="0070011D" w:rsidRPr="00470C7C">
        <w:t xml:space="preserve"> Para tanto la Corte hará referencia al desarrollo de dichos conceptos en el derecho internacional. </w:t>
      </w:r>
    </w:p>
    <w:p w14:paraId="154786F2" w14:textId="77777777" w:rsidR="00207197" w:rsidRPr="00470C7C" w:rsidRDefault="00207197" w:rsidP="00140440">
      <w:pPr>
        <w:pStyle w:val="Prrafodelista"/>
        <w:ind w:left="0"/>
      </w:pPr>
    </w:p>
    <w:p w14:paraId="7410C0A9" w14:textId="77777777" w:rsidR="00207197" w:rsidRPr="00470C7C" w:rsidRDefault="0070011D" w:rsidP="00F37DC4">
      <w:pPr>
        <w:pStyle w:val="Prrafodelista"/>
        <w:numPr>
          <w:ilvl w:val="0"/>
          <w:numId w:val="1"/>
        </w:numPr>
        <w:contextualSpacing w:val="0"/>
      </w:pPr>
      <w:r w:rsidRPr="00470C7C">
        <w:t xml:space="preserve">Respecto a la servidumbre, su </w:t>
      </w:r>
      <w:r w:rsidR="00207197" w:rsidRPr="00470C7C">
        <w:t>prohibición absoluta adviene de</w:t>
      </w:r>
      <w:r w:rsidR="002525C6" w:rsidRPr="00470C7C">
        <w:t>sde</w:t>
      </w:r>
      <w:r w:rsidR="00207197" w:rsidRPr="00470C7C">
        <w:t xml:space="preserve"> la Conve</w:t>
      </w:r>
      <w:r w:rsidR="002525C6" w:rsidRPr="00470C7C">
        <w:t>nción suplementaria de 1956 y de su</w:t>
      </w:r>
      <w:r w:rsidR="00207197" w:rsidRPr="00470C7C">
        <w:t xml:space="preserve"> codificación en los instrumentos subsecuentes del derecho internacional (</w:t>
      </w:r>
      <w:r w:rsidR="00207197" w:rsidRPr="00470C7C">
        <w:rPr>
          <w:i/>
        </w:rPr>
        <w:t xml:space="preserve">supra </w:t>
      </w:r>
      <w:proofErr w:type="spellStart"/>
      <w:r w:rsidR="00207197" w:rsidRPr="00470C7C">
        <w:t>párrs</w:t>
      </w:r>
      <w:proofErr w:type="spellEnd"/>
      <w:r w:rsidR="00207197" w:rsidRPr="00470C7C">
        <w:t xml:space="preserve">. </w:t>
      </w:r>
      <w:r w:rsidR="004F5957" w:rsidRPr="00470C7C">
        <w:t>249</w:t>
      </w:r>
      <w:r w:rsidR="00207197" w:rsidRPr="00470C7C">
        <w:t xml:space="preserve"> a </w:t>
      </w:r>
      <w:r w:rsidR="004F5957" w:rsidRPr="00470C7C">
        <w:t>257</w:t>
      </w:r>
      <w:r w:rsidR="00207197" w:rsidRPr="00470C7C">
        <w:t>)</w:t>
      </w:r>
      <w:r w:rsidR="004F5957" w:rsidRPr="00470C7C">
        <w:t>.</w:t>
      </w:r>
      <w:r w:rsidR="00734415" w:rsidRPr="00470C7C">
        <w:t xml:space="preserve"> Al respecto, el artículo 1 de la Convención suplementaria de 1956 señala que la servidumbre por deudas y la servidumbre por la gleba son prácticas análogas a la esclavitud que deben ser abolidas y abandonadas</w:t>
      </w:r>
      <w:r w:rsidR="00207197" w:rsidRPr="00470C7C">
        <w:t>. Todos los instrumentos regionales incluyen la prohibición de la servidumbre</w:t>
      </w:r>
      <w:r w:rsidR="004F5957" w:rsidRPr="00470C7C">
        <w:t>,</w:t>
      </w:r>
      <w:r w:rsidR="00207197" w:rsidRPr="00470C7C">
        <w:t xml:space="preserve"> y la misma fue considerada una forma análoga de esclavitud, entre otros, por el Tribunal Europeo</w:t>
      </w:r>
      <w:r w:rsidR="004F5957" w:rsidRPr="00470C7C">
        <w:t xml:space="preserve"> de Derechos Humanos</w:t>
      </w:r>
      <w:r w:rsidR="00207197" w:rsidRPr="00470C7C">
        <w:rPr>
          <w:rStyle w:val="Refdenotaalpie"/>
        </w:rPr>
        <w:footnoteReference w:id="414"/>
      </w:r>
      <w:r w:rsidR="00207197" w:rsidRPr="00470C7C">
        <w:t xml:space="preserve">, </w:t>
      </w:r>
      <w:r w:rsidR="007A680A" w:rsidRPr="00470C7C">
        <w:t>Tribunal Penal Internacional Ad Hoc para la ex-Yugoslavia</w:t>
      </w:r>
      <w:r w:rsidR="00207197" w:rsidRPr="00470C7C">
        <w:t xml:space="preserve">, </w:t>
      </w:r>
      <w:r w:rsidR="005856BF" w:rsidRPr="00470C7C">
        <w:t>Tribunal Especial para Sierra Leona</w:t>
      </w:r>
      <w:r w:rsidR="00207197" w:rsidRPr="00470C7C">
        <w:t>, y otros órganos especializados (</w:t>
      </w:r>
      <w:r w:rsidR="00207197" w:rsidRPr="00470C7C">
        <w:rPr>
          <w:i/>
        </w:rPr>
        <w:t xml:space="preserve">supra </w:t>
      </w:r>
      <w:proofErr w:type="spellStart"/>
      <w:r w:rsidR="00207197" w:rsidRPr="00470C7C">
        <w:t>párrs</w:t>
      </w:r>
      <w:proofErr w:type="spellEnd"/>
      <w:r w:rsidR="00207197" w:rsidRPr="00470C7C">
        <w:t xml:space="preserve">. </w:t>
      </w:r>
      <w:r w:rsidR="00E90245" w:rsidRPr="00470C7C">
        <w:t>259</w:t>
      </w:r>
      <w:r w:rsidR="00207197" w:rsidRPr="00470C7C">
        <w:t xml:space="preserve"> a </w:t>
      </w:r>
      <w:r w:rsidR="00E90245" w:rsidRPr="00470C7C">
        <w:t>268</w:t>
      </w:r>
      <w:r w:rsidR="00207197" w:rsidRPr="00470C7C">
        <w:t xml:space="preserve">). </w:t>
      </w:r>
    </w:p>
    <w:p w14:paraId="41BC0FED" w14:textId="77777777" w:rsidR="00207197" w:rsidRPr="00470C7C" w:rsidRDefault="00207197" w:rsidP="00140440">
      <w:pPr>
        <w:jc w:val="both"/>
      </w:pPr>
    </w:p>
    <w:p w14:paraId="66BBCCBD" w14:textId="77777777" w:rsidR="004C4889" w:rsidRPr="00470C7C" w:rsidRDefault="004C4889" w:rsidP="004C4889">
      <w:pPr>
        <w:pStyle w:val="Prrafodelista"/>
        <w:numPr>
          <w:ilvl w:val="0"/>
          <w:numId w:val="1"/>
        </w:numPr>
        <w:contextualSpacing w:val="0"/>
      </w:pPr>
      <w:r w:rsidRPr="00470C7C">
        <w:t>De lo anterior</w:t>
      </w:r>
      <w:r w:rsidR="00E90245" w:rsidRPr="00470C7C">
        <w:t>,</w:t>
      </w:r>
      <w:r w:rsidRPr="00470C7C">
        <w:t xml:space="preserve"> la Corte constata que la prohibición absoluta de la esclavitud tradicional y su interpretación han evolucionado de modo </w:t>
      </w:r>
      <w:r w:rsidR="00665818" w:rsidRPr="00470C7C">
        <w:t>que</w:t>
      </w:r>
      <w:r w:rsidRPr="00470C7C">
        <w:t xml:space="preserve"> también comprende determinadas formas análogas de ese fenómeno, el cual se manifiesta en los días actuales de diversas maneras, pero manteniendo determinadas características esenciales comunes a la esclavitud tradicional, como el ejercicio de control sobre una persona mediante coacción física o psicológica de tal manera que implique la </w:t>
      </w:r>
      <w:r w:rsidRPr="00470C7C">
        <w:rPr>
          <w:lang w:val="es-AR"/>
        </w:rPr>
        <w:t>perdida de su autonomía individual</w:t>
      </w:r>
      <w:r w:rsidRPr="00470C7C">
        <w:t xml:space="preserve"> y la explotación contra su voluntad</w:t>
      </w:r>
      <w:r w:rsidRPr="00470C7C">
        <w:rPr>
          <w:rStyle w:val="Refdenotaalpie"/>
        </w:rPr>
        <w:footnoteReference w:id="415"/>
      </w:r>
      <w:r w:rsidRPr="00470C7C">
        <w:t xml:space="preserve">. Por lo tanto, la Corte Interamericana considera que la servidumbre </w:t>
      </w:r>
      <w:r w:rsidR="00592688" w:rsidRPr="00470C7C">
        <w:t xml:space="preserve">es una forma análoga de esclavitud y </w:t>
      </w:r>
      <w:r w:rsidRPr="00470C7C">
        <w:t xml:space="preserve">debe recibir la misma protección y conlleva las mismas obligaciones </w:t>
      </w:r>
      <w:r w:rsidR="00E90245" w:rsidRPr="00470C7C">
        <w:t>que</w:t>
      </w:r>
      <w:r w:rsidRPr="00470C7C">
        <w:t xml:space="preserve"> la esclavitud tradicional.</w:t>
      </w:r>
      <w:r w:rsidR="009B2EDB" w:rsidRPr="00470C7C">
        <w:t xml:space="preserve"> </w:t>
      </w:r>
    </w:p>
    <w:p w14:paraId="4DAA601A" w14:textId="77777777" w:rsidR="004C4889" w:rsidRPr="00470C7C" w:rsidRDefault="004C4889" w:rsidP="00140440">
      <w:pPr>
        <w:jc w:val="both"/>
      </w:pPr>
    </w:p>
    <w:p w14:paraId="1C359F70" w14:textId="77777777" w:rsidR="00207197" w:rsidRPr="00470C7C" w:rsidRDefault="00DB1C1D" w:rsidP="00F37DC4">
      <w:pPr>
        <w:pStyle w:val="Prrafodelista"/>
        <w:numPr>
          <w:ilvl w:val="0"/>
          <w:numId w:val="1"/>
        </w:numPr>
        <w:contextualSpacing w:val="0"/>
        <w:rPr>
          <w:bCs/>
        </w:rPr>
      </w:pPr>
      <w:r w:rsidRPr="00470C7C">
        <w:t>Por ende</w:t>
      </w:r>
      <w:r w:rsidR="00207197" w:rsidRPr="00470C7C">
        <w:t xml:space="preserve">, la Corte </w:t>
      </w:r>
      <w:r w:rsidRPr="00470C7C">
        <w:t xml:space="preserve">precisará </w:t>
      </w:r>
      <w:r w:rsidR="00207197" w:rsidRPr="00470C7C">
        <w:t xml:space="preserve"> el alcance de dicha prohibición prevista en el </w:t>
      </w:r>
      <w:r w:rsidR="00207197" w:rsidRPr="00470C7C">
        <w:rPr>
          <w:bCs/>
          <w:lang w:val="es-ES_tradnl"/>
        </w:rPr>
        <w:t>artículo 6.1 de la Convención</w:t>
      </w:r>
      <w:r w:rsidRPr="00470C7C">
        <w:rPr>
          <w:bCs/>
          <w:lang w:val="es-ES_tradnl"/>
        </w:rPr>
        <w:t>. Para ello</w:t>
      </w:r>
      <w:r w:rsidR="00207197" w:rsidRPr="00470C7C">
        <w:rPr>
          <w:bCs/>
          <w:lang w:val="es-ES_tradnl"/>
        </w:rPr>
        <w:t xml:space="preserve">, el Tribunal considera útil y apropiado analizar el desarrollo experimentado en esta materia en el </w:t>
      </w:r>
      <w:r w:rsidR="007F32C3" w:rsidRPr="00470C7C">
        <w:rPr>
          <w:bCs/>
          <w:lang w:val="es-ES_tradnl"/>
        </w:rPr>
        <w:t>d</w:t>
      </w:r>
      <w:r w:rsidR="00207197" w:rsidRPr="00470C7C">
        <w:rPr>
          <w:bCs/>
          <w:lang w:val="es-ES_tradnl"/>
        </w:rPr>
        <w:t xml:space="preserve">erecho </w:t>
      </w:r>
      <w:r w:rsidR="007F32C3" w:rsidRPr="00470C7C">
        <w:rPr>
          <w:bCs/>
          <w:lang w:val="es-ES_tradnl"/>
        </w:rPr>
        <w:t>i</w:t>
      </w:r>
      <w:r w:rsidR="00207197" w:rsidRPr="00470C7C">
        <w:rPr>
          <w:bCs/>
          <w:lang w:val="es-ES_tradnl"/>
        </w:rPr>
        <w:t xml:space="preserve">nternacional de los </w:t>
      </w:r>
      <w:r w:rsidR="007F32C3" w:rsidRPr="00470C7C">
        <w:rPr>
          <w:bCs/>
          <w:lang w:val="es-ES_tradnl"/>
        </w:rPr>
        <w:t>d</w:t>
      </w:r>
      <w:r w:rsidR="00207197" w:rsidRPr="00470C7C">
        <w:rPr>
          <w:bCs/>
          <w:lang w:val="es-ES_tradnl"/>
        </w:rPr>
        <w:t xml:space="preserve">erechos </w:t>
      </w:r>
      <w:r w:rsidR="007F32C3" w:rsidRPr="00470C7C">
        <w:rPr>
          <w:bCs/>
          <w:lang w:val="es-ES_tradnl"/>
        </w:rPr>
        <w:t>h</w:t>
      </w:r>
      <w:r w:rsidR="00207197" w:rsidRPr="00470C7C">
        <w:rPr>
          <w:bCs/>
          <w:lang w:val="es-ES_tradnl"/>
        </w:rPr>
        <w:t>umanos.</w:t>
      </w:r>
    </w:p>
    <w:p w14:paraId="503244EF" w14:textId="77777777" w:rsidR="00207197" w:rsidRPr="00470C7C" w:rsidRDefault="00207197" w:rsidP="00140440">
      <w:pPr>
        <w:jc w:val="both"/>
      </w:pPr>
    </w:p>
    <w:p w14:paraId="338B55F9" w14:textId="77777777" w:rsidR="00207197" w:rsidRPr="00470C7C" w:rsidRDefault="00F01959" w:rsidP="00F37DC4">
      <w:pPr>
        <w:pStyle w:val="Prrafodelista"/>
        <w:numPr>
          <w:ilvl w:val="0"/>
          <w:numId w:val="1"/>
        </w:numPr>
        <w:contextualSpacing w:val="0"/>
      </w:pPr>
      <w:r w:rsidRPr="00470C7C">
        <w:t>C</w:t>
      </w:r>
      <w:r w:rsidR="00207197" w:rsidRPr="00470C7C">
        <w:t>omo ha sido afirmado anteriormente, la Convención suplementaria de 1956 definió las formas análogas a la esclavitud como servidumbre de la gleba</w:t>
      </w:r>
      <w:r w:rsidR="00207197" w:rsidRPr="00470C7C">
        <w:rPr>
          <w:rStyle w:val="Refdenotaalpie"/>
        </w:rPr>
        <w:footnoteReference w:id="416"/>
      </w:r>
      <w:r w:rsidR="00207197" w:rsidRPr="00470C7C">
        <w:t>, servidumbre por deudas</w:t>
      </w:r>
      <w:r w:rsidR="00207197" w:rsidRPr="00470C7C">
        <w:rPr>
          <w:rStyle w:val="Refdenotaalpie"/>
        </w:rPr>
        <w:footnoteReference w:id="417"/>
      </w:r>
      <w:r w:rsidR="00207197" w:rsidRPr="00470C7C">
        <w:t>, entre otras formas</w:t>
      </w:r>
      <w:r w:rsidR="00207197" w:rsidRPr="00470C7C">
        <w:rPr>
          <w:rStyle w:val="Refdenotaalpie"/>
        </w:rPr>
        <w:footnoteReference w:id="418"/>
      </w:r>
      <w:r w:rsidR="00207197" w:rsidRPr="00470C7C">
        <w:t xml:space="preserve">. </w:t>
      </w:r>
    </w:p>
    <w:p w14:paraId="036E006F" w14:textId="77777777" w:rsidR="00207197" w:rsidRPr="00470C7C" w:rsidRDefault="00207197" w:rsidP="009F4724">
      <w:pPr>
        <w:pStyle w:val="TDC1"/>
      </w:pPr>
    </w:p>
    <w:p w14:paraId="2E136709" w14:textId="77777777" w:rsidR="00207197" w:rsidRPr="00470C7C" w:rsidRDefault="00207197" w:rsidP="00F37DC4">
      <w:pPr>
        <w:pStyle w:val="Prrafodelista"/>
        <w:numPr>
          <w:ilvl w:val="0"/>
          <w:numId w:val="1"/>
        </w:numPr>
        <w:contextualSpacing w:val="0"/>
      </w:pPr>
      <w:r w:rsidRPr="00470C7C">
        <w:t>El Tribunal Europeo</w:t>
      </w:r>
      <w:r w:rsidR="007F32C3" w:rsidRPr="00470C7C">
        <w:t xml:space="preserve"> de Derechos Humanos</w:t>
      </w:r>
      <w:r w:rsidRPr="00470C7C">
        <w:t xml:space="preserve">, en el </w:t>
      </w:r>
      <w:r w:rsidR="007F32C3" w:rsidRPr="00470C7C">
        <w:rPr>
          <w:i/>
        </w:rPr>
        <w:t xml:space="preserve">Caso </w:t>
      </w:r>
      <w:proofErr w:type="spellStart"/>
      <w:r w:rsidRPr="00470C7C">
        <w:rPr>
          <w:i/>
        </w:rPr>
        <w:t>Siliadin</w:t>
      </w:r>
      <w:proofErr w:type="spellEnd"/>
      <w:r w:rsidRPr="00470C7C">
        <w:rPr>
          <w:i/>
        </w:rPr>
        <w:t xml:space="preserve"> Vs. Francia</w:t>
      </w:r>
      <w:r w:rsidRPr="00470C7C">
        <w:t xml:space="preserve"> mencionado anteriormente, determinó que la servidumbre consiste en “la obligación de realizar trabajo para otros, impuesto por medio de coerción, y la obligación de vivir en la propiedad de otra persona, sin la posibilidad de cambiar esa condición”</w:t>
      </w:r>
      <w:r w:rsidRPr="00470C7C">
        <w:rPr>
          <w:rStyle w:val="Refdenotaalpie"/>
        </w:rPr>
        <w:footnoteReference w:id="419"/>
      </w:r>
      <w:r w:rsidRPr="00470C7C">
        <w:t xml:space="preserve">. </w:t>
      </w:r>
      <w:r w:rsidR="0070011D" w:rsidRPr="00470C7C">
        <w:t xml:space="preserve">Posteriormente, </w:t>
      </w:r>
      <w:r w:rsidRPr="00470C7C">
        <w:t>el Tribunal Europeo</w:t>
      </w:r>
      <w:r w:rsidR="0070011D" w:rsidRPr="00470C7C">
        <w:t xml:space="preserve"> consider</w:t>
      </w:r>
      <w:r w:rsidR="007F32C3" w:rsidRPr="00470C7C">
        <w:t>ó</w:t>
      </w:r>
      <w:r w:rsidR="0070011D" w:rsidRPr="00470C7C">
        <w:t xml:space="preserve"> </w:t>
      </w:r>
      <w:r w:rsidRPr="00470C7C">
        <w:t xml:space="preserve">la servidumbre </w:t>
      </w:r>
      <w:r w:rsidR="0070011D" w:rsidRPr="00470C7C">
        <w:t>como</w:t>
      </w:r>
      <w:r w:rsidRPr="00470C7C">
        <w:t xml:space="preserve"> “una forma agravada de trabajo forzoso o compulsorio”</w:t>
      </w:r>
      <w:r w:rsidR="007F32C3" w:rsidRPr="00470C7C">
        <w:t>,</w:t>
      </w:r>
      <w:r w:rsidRPr="00470C7C">
        <w:t xml:space="preserve"> en el sentido de que la víctima siente que su condición es permanente y no hay posibilidad de cambios</w:t>
      </w:r>
      <w:r w:rsidRPr="00470C7C">
        <w:rPr>
          <w:rStyle w:val="Refdenotaalpie"/>
        </w:rPr>
        <w:footnoteReference w:id="420"/>
      </w:r>
      <w:r w:rsidRPr="00470C7C">
        <w:t>. Asimismo, las formas de coerción pueden ser tanto explícitas como sutiles</w:t>
      </w:r>
      <w:r w:rsidRPr="00470C7C">
        <w:rPr>
          <w:rStyle w:val="Refdenotaalpie"/>
        </w:rPr>
        <w:footnoteReference w:id="421"/>
      </w:r>
      <w:r w:rsidRPr="00470C7C">
        <w:t>.</w:t>
      </w:r>
    </w:p>
    <w:p w14:paraId="39648D66" w14:textId="77777777" w:rsidR="00207197" w:rsidRPr="00470C7C" w:rsidRDefault="00207197" w:rsidP="00140440">
      <w:pPr>
        <w:jc w:val="both"/>
      </w:pPr>
    </w:p>
    <w:p w14:paraId="619166AF" w14:textId="77777777" w:rsidR="00207197" w:rsidRPr="00470C7C" w:rsidRDefault="00207197" w:rsidP="00F37DC4">
      <w:pPr>
        <w:pStyle w:val="Prrafodelista"/>
        <w:numPr>
          <w:ilvl w:val="0"/>
          <w:numId w:val="1"/>
        </w:numPr>
        <w:contextualSpacing w:val="0"/>
      </w:pPr>
      <w:r w:rsidRPr="00470C7C">
        <w:t xml:space="preserve">Por lo anterior, la Corte coincide con la definición del Tribunal Europeo de Derechos Humanos sobre “servidumbre”, y considera que esa expresión del artículo 6.1 de la Convención debe ser interpretada como “la obligación de realizar trabajo para otros, impuesto por medio de coerción, y la obligación de vivir en la propiedad de otra persona, sin la posibilidad de cambiar esa condición”. </w:t>
      </w:r>
    </w:p>
    <w:p w14:paraId="221D1F3E" w14:textId="77777777" w:rsidR="00207197" w:rsidRPr="00470C7C" w:rsidRDefault="00207197" w:rsidP="00140440">
      <w:pPr>
        <w:jc w:val="both"/>
        <w:rPr>
          <w:szCs w:val="20"/>
        </w:rPr>
      </w:pPr>
    </w:p>
    <w:p w14:paraId="524454EE" w14:textId="77777777" w:rsidR="00F01959" w:rsidRPr="00470C7C" w:rsidRDefault="005D2CE2" w:rsidP="005D2CE2">
      <w:pPr>
        <w:pStyle w:val="Ttulo3"/>
      </w:pPr>
      <w:bookmarkStart w:id="354" w:name="_Toc464813963"/>
      <w:r w:rsidRPr="00470C7C">
        <w:t>B.5</w:t>
      </w:r>
      <w:r w:rsidR="00DC2886" w:rsidRPr="00470C7C">
        <w:t>.</w:t>
      </w:r>
      <w:r w:rsidR="00F01959" w:rsidRPr="00470C7C">
        <w:t xml:space="preserve"> </w:t>
      </w:r>
      <w:r w:rsidR="0070011D" w:rsidRPr="00470C7C">
        <w:t xml:space="preserve">Prohibición y definición de </w:t>
      </w:r>
      <w:r w:rsidR="00CF4A9B" w:rsidRPr="00470C7C">
        <w:t xml:space="preserve">la </w:t>
      </w:r>
      <w:r w:rsidR="0070011D" w:rsidRPr="00470C7C">
        <w:t xml:space="preserve">trata de esclavos y </w:t>
      </w:r>
      <w:r w:rsidR="00CF4A9B" w:rsidRPr="00470C7C">
        <w:t xml:space="preserve">la trata </w:t>
      </w:r>
      <w:r w:rsidR="0070011D" w:rsidRPr="00470C7C">
        <w:t>de mujeres</w:t>
      </w:r>
      <w:bookmarkEnd w:id="354"/>
      <w:r w:rsidR="0070011D" w:rsidRPr="00470C7C">
        <w:t xml:space="preserve"> </w:t>
      </w:r>
    </w:p>
    <w:p w14:paraId="227B0C46" w14:textId="77777777" w:rsidR="0038138B" w:rsidRPr="00470C7C" w:rsidRDefault="0038138B" w:rsidP="0038138B">
      <w:pPr>
        <w:tabs>
          <w:tab w:val="clear" w:pos="4419"/>
          <w:tab w:val="clear" w:pos="8838"/>
        </w:tabs>
        <w:jc w:val="both"/>
        <w:rPr>
          <w:rFonts w:eastAsia="Calibri" w:cs="Times New Roman"/>
          <w:szCs w:val="20"/>
        </w:rPr>
      </w:pPr>
    </w:p>
    <w:p w14:paraId="65929CCA" w14:textId="77777777" w:rsidR="0038138B" w:rsidRPr="00470C7C" w:rsidRDefault="0038138B" w:rsidP="003F32D2">
      <w:pPr>
        <w:numPr>
          <w:ilvl w:val="0"/>
          <w:numId w:val="1"/>
        </w:numPr>
        <w:tabs>
          <w:tab w:val="clear" w:pos="4419"/>
          <w:tab w:val="clear" w:pos="8838"/>
        </w:tabs>
        <w:jc w:val="both"/>
        <w:rPr>
          <w:rFonts w:eastAsia="Calibri" w:cs="Times New Roman"/>
          <w:szCs w:val="20"/>
        </w:rPr>
      </w:pPr>
      <w:r w:rsidRPr="00470C7C">
        <w:rPr>
          <w:rFonts w:eastAsia="Calibri" w:cs="Times New Roman"/>
          <w:szCs w:val="20"/>
        </w:rPr>
        <w:t>La Convención Americana prohíbe tanto la trata de esclavos como la trata de mujeres “en todas sus formas”, de manera que la Corte interpreta esa prohibición de forma amplia y sujeta a las precisiones de su definición de acuerdo con su desarrollo en el derecho internacional. La Corte pasa</w:t>
      </w:r>
      <w:r w:rsidR="00FB626B" w:rsidRPr="00470C7C">
        <w:rPr>
          <w:rFonts w:eastAsia="Calibri" w:cs="Times New Roman"/>
          <w:szCs w:val="20"/>
        </w:rPr>
        <w:t>rá</w:t>
      </w:r>
      <w:r w:rsidRPr="00470C7C">
        <w:rPr>
          <w:rFonts w:eastAsia="Calibri" w:cs="Times New Roman"/>
          <w:szCs w:val="20"/>
        </w:rPr>
        <w:t xml:space="preserve"> ahora a evaluar la evolución de la prohibición de la trata de esclavos y de mujeres en el derecho internacional </w:t>
      </w:r>
      <w:r w:rsidR="00FB626B" w:rsidRPr="00470C7C">
        <w:rPr>
          <w:rFonts w:eastAsia="Calibri" w:cs="Times New Roman"/>
          <w:szCs w:val="20"/>
        </w:rPr>
        <w:t>a</w:t>
      </w:r>
      <w:r w:rsidRPr="00470C7C">
        <w:rPr>
          <w:rFonts w:eastAsia="Calibri" w:cs="Times New Roman"/>
          <w:szCs w:val="20"/>
        </w:rPr>
        <w:t xml:space="preserve"> modo </w:t>
      </w:r>
      <w:r w:rsidR="00FB626B" w:rsidRPr="00470C7C">
        <w:rPr>
          <w:rFonts w:eastAsia="Calibri" w:cs="Times New Roman"/>
          <w:szCs w:val="20"/>
        </w:rPr>
        <w:t>de</w:t>
      </w:r>
      <w:r w:rsidRPr="00470C7C">
        <w:rPr>
          <w:rFonts w:eastAsia="Calibri" w:cs="Times New Roman"/>
          <w:szCs w:val="20"/>
        </w:rPr>
        <w:t xml:space="preserve"> definir el contenido normativo de dicha prohibición prevista en la Convención Americana.</w:t>
      </w:r>
    </w:p>
    <w:p w14:paraId="4495D689" w14:textId="77777777" w:rsidR="0038138B" w:rsidRPr="00470C7C" w:rsidRDefault="0038138B" w:rsidP="0038138B">
      <w:pPr>
        <w:tabs>
          <w:tab w:val="clear" w:pos="4419"/>
          <w:tab w:val="clear" w:pos="8838"/>
        </w:tabs>
        <w:jc w:val="both"/>
        <w:rPr>
          <w:rFonts w:eastAsia="Calibri" w:cs="Times New Roman"/>
          <w:szCs w:val="20"/>
        </w:rPr>
      </w:pPr>
    </w:p>
    <w:p w14:paraId="435427DA" w14:textId="77777777" w:rsidR="00D43A25" w:rsidRPr="00470C7C" w:rsidRDefault="00F727E4" w:rsidP="003F32D2">
      <w:pPr>
        <w:numPr>
          <w:ilvl w:val="0"/>
          <w:numId w:val="1"/>
        </w:numPr>
        <w:tabs>
          <w:tab w:val="clear" w:pos="4419"/>
          <w:tab w:val="clear" w:pos="8838"/>
        </w:tabs>
        <w:jc w:val="both"/>
        <w:rPr>
          <w:rFonts w:eastAsia="Calibri" w:cs="Times New Roman"/>
          <w:szCs w:val="20"/>
        </w:rPr>
      </w:pPr>
      <w:r w:rsidRPr="00470C7C">
        <w:rPr>
          <w:rFonts w:eastAsia="Calibri" w:cs="Times New Roman"/>
          <w:szCs w:val="20"/>
        </w:rPr>
        <w:t>En lo que respecta a la prohibición de la trata de esclavos, ella se encuentra asociada a la propia esclavitud</w:t>
      </w:r>
      <w:r w:rsidRPr="00470C7C">
        <w:rPr>
          <w:rFonts w:eastAsia="Calibri" w:cs="Times New Roman"/>
          <w:szCs w:val="20"/>
          <w:vertAlign w:val="superscript"/>
        </w:rPr>
        <w:footnoteReference w:id="422"/>
      </w:r>
      <w:r w:rsidRPr="00470C7C">
        <w:rPr>
          <w:rFonts w:eastAsia="Calibri" w:cs="Times New Roman"/>
          <w:szCs w:val="20"/>
        </w:rPr>
        <w:t xml:space="preserve"> desde la Convención de 1926 e implica obligaciones para los Estados de abolir dicha práctica</w:t>
      </w:r>
      <w:r w:rsidRPr="00470C7C">
        <w:rPr>
          <w:rFonts w:eastAsia="Calibri" w:cs="Times New Roman"/>
          <w:szCs w:val="20"/>
          <w:vertAlign w:val="superscript"/>
        </w:rPr>
        <w:footnoteReference w:id="423"/>
      </w:r>
      <w:r w:rsidRPr="00470C7C">
        <w:rPr>
          <w:rFonts w:eastAsia="Calibri" w:cs="Times New Roman"/>
          <w:szCs w:val="20"/>
        </w:rPr>
        <w:t xml:space="preserve">. Su prohibición también es absoluta y está expresa en todos los instrumentos reseñados en los acápites anteriores. </w:t>
      </w:r>
    </w:p>
    <w:p w14:paraId="0E89A71F" w14:textId="77777777" w:rsidR="00D43A25" w:rsidRPr="00470C7C" w:rsidRDefault="00D43A25" w:rsidP="00ED3AD0">
      <w:pPr>
        <w:tabs>
          <w:tab w:val="clear" w:pos="4419"/>
          <w:tab w:val="clear" w:pos="8838"/>
        </w:tabs>
        <w:jc w:val="both"/>
        <w:rPr>
          <w:rFonts w:eastAsia="Calibri" w:cs="Times New Roman"/>
          <w:szCs w:val="20"/>
        </w:rPr>
      </w:pPr>
    </w:p>
    <w:p w14:paraId="51DD0A55" w14:textId="77777777" w:rsidR="003F32D2" w:rsidRPr="00470C7C" w:rsidRDefault="00D43A25" w:rsidP="003F32D2">
      <w:pPr>
        <w:numPr>
          <w:ilvl w:val="0"/>
          <w:numId w:val="1"/>
        </w:numPr>
        <w:tabs>
          <w:tab w:val="clear" w:pos="4419"/>
          <w:tab w:val="clear" w:pos="8838"/>
        </w:tabs>
        <w:jc w:val="both"/>
        <w:rPr>
          <w:rFonts w:eastAsia="Calibri" w:cs="Times New Roman"/>
          <w:szCs w:val="20"/>
        </w:rPr>
      </w:pPr>
      <w:r w:rsidRPr="00470C7C">
        <w:rPr>
          <w:rFonts w:eastAsia="Calibri" w:cs="Times New Roman"/>
          <w:szCs w:val="20"/>
        </w:rPr>
        <w:t>La prohibición a la trata de mujeres (y de niños</w:t>
      </w:r>
      <w:r w:rsidR="00FB626B" w:rsidRPr="00470C7C">
        <w:rPr>
          <w:rFonts w:eastAsia="Calibri" w:cs="Times New Roman"/>
          <w:szCs w:val="20"/>
        </w:rPr>
        <w:t xml:space="preserve"> y niñas</w:t>
      </w:r>
      <w:r w:rsidRPr="00470C7C">
        <w:rPr>
          <w:rFonts w:eastAsia="Calibri" w:cs="Times New Roman"/>
          <w:szCs w:val="20"/>
        </w:rPr>
        <w:t>) es objeto de varios tratados internacionales aprobados durante el siglo XX</w:t>
      </w:r>
      <w:r w:rsidRPr="00470C7C">
        <w:rPr>
          <w:rStyle w:val="Refdenotaalpie"/>
          <w:rFonts w:eastAsia="Calibri"/>
        </w:rPr>
        <w:footnoteReference w:id="424"/>
      </w:r>
      <w:r w:rsidR="003F32D2" w:rsidRPr="00470C7C">
        <w:rPr>
          <w:rFonts w:eastAsia="Calibri" w:cs="Times New Roman"/>
          <w:szCs w:val="20"/>
        </w:rPr>
        <w:t xml:space="preserve">, la cual fue consolidada con el </w:t>
      </w:r>
      <w:r w:rsidRPr="00470C7C">
        <w:rPr>
          <w:rFonts w:eastAsia="Calibri" w:cs="Times New Roman"/>
          <w:szCs w:val="20"/>
          <w:lang w:val="es-CL"/>
        </w:rPr>
        <w:t>Convenio para la represión de la trata de personas y de la explotación de la prostitución ajena</w:t>
      </w:r>
      <w:r w:rsidRPr="00470C7C">
        <w:rPr>
          <w:rStyle w:val="Refdenotaalpie"/>
          <w:rFonts w:eastAsia="Calibri"/>
        </w:rPr>
        <w:footnoteReference w:id="425"/>
      </w:r>
      <w:r w:rsidRPr="00470C7C">
        <w:rPr>
          <w:rFonts w:eastAsia="Calibri" w:cs="Times New Roman"/>
          <w:szCs w:val="20"/>
        </w:rPr>
        <w:t>,</w:t>
      </w:r>
      <w:r w:rsidR="003F32D2" w:rsidRPr="00470C7C">
        <w:rPr>
          <w:rFonts w:eastAsia="Calibri" w:cs="Times New Roman"/>
          <w:szCs w:val="20"/>
        </w:rPr>
        <w:t xml:space="preserve"> de 1949. Como elemento clave de la prohibición de la prostitución</w:t>
      </w:r>
      <w:r w:rsidR="00CE5161" w:rsidRPr="00470C7C">
        <w:rPr>
          <w:rFonts w:eastAsia="Calibri" w:cs="Times New Roman"/>
          <w:szCs w:val="20"/>
        </w:rPr>
        <w:t xml:space="preserve"> y de la trata de personas para ese fin</w:t>
      </w:r>
      <w:r w:rsidR="003F32D2" w:rsidRPr="00470C7C">
        <w:rPr>
          <w:rFonts w:eastAsia="Calibri" w:cs="Times New Roman"/>
          <w:szCs w:val="20"/>
        </w:rPr>
        <w:t>, el artículo 1 de dicho Convenio se refiere al</w:t>
      </w:r>
      <w:r w:rsidR="00675111" w:rsidRPr="00470C7C">
        <w:rPr>
          <w:rFonts w:eastAsia="Calibri" w:cs="Times New Roman"/>
          <w:szCs w:val="20"/>
        </w:rPr>
        <w:t xml:space="preserve"> elemento de</w:t>
      </w:r>
      <w:r w:rsidR="003F32D2" w:rsidRPr="00470C7C">
        <w:rPr>
          <w:rFonts w:eastAsia="Calibri" w:cs="Times New Roman"/>
          <w:szCs w:val="20"/>
        </w:rPr>
        <w:t xml:space="preserve"> “consentimiento” y la explotación (de la prostitución) de otra persona. </w:t>
      </w:r>
    </w:p>
    <w:p w14:paraId="27E22FF4" w14:textId="77777777" w:rsidR="003F32D2" w:rsidRPr="00470C7C" w:rsidRDefault="003F32D2" w:rsidP="00ED3AD0">
      <w:pPr>
        <w:pStyle w:val="Prrafodelista"/>
        <w:rPr>
          <w:rFonts w:eastAsia="Calibri" w:cs="Times New Roman"/>
          <w:szCs w:val="20"/>
        </w:rPr>
      </w:pPr>
    </w:p>
    <w:p w14:paraId="2B566BA6" w14:textId="77777777" w:rsidR="00CE5161" w:rsidRPr="00470C7C" w:rsidRDefault="00CE5161" w:rsidP="00CE5161">
      <w:pPr>
        <w:numPr>
          <w:ilvl w:val="0"/>
          <w:numId w:val="1"/>
        </w:numPr>
        <w:tabs>
          <w:tab w:val="clear" w:pos="4419"/>
          <w:tab w:val="clear" w:pos="8838"/>
        </w:tabs>
        <w:jc w:val="both"/>
        <w:rPr>
          <w:rFonts w:eastAsia="Calibri" w:cs="Times New Roman"/>
          <w:szCs w:val="20"/>
        </w:rPr>
      </w:pPr>
      <w:r w:rsidRPr="00470C7C">
        <w:rPr>
          <w:rFonts w:eastAsia="Calibri" w:cs="Times New Roman"/>
          <w:szCs w:val="20"/>
        </w:rPr>
        <w:t>Por otra parte</w:t>
      </w:r>
      <w:r w:rsidR="003F32D2" w:rsidRPr="00470C7C">
        <w:rPr>
          <w:rFonts w:eastAsia="Calibri" w:cs="Times New Roman"/>
          <w:szCs w:val="20"/>
        </w:rPr>
        <w:t>, el principal tratado internacional especializado sobre la trata de personas, el Protocolo para prevenir, reprimir y sancionar la trata de personas, especialmente mujeres y niños de la Convención de las Naciones Unidas contra la Delincuencia Organizada Transnacional (en adelante “Protocolo de Palermo”), del año 2000, establece de manera clara la prohibición de la trata de personas en su artículo 4</w:t>
      </w:r>
      <w:r w:rsidR="003F32D2" w:rsidRPr="00470C7C">
        <w:rPr>
          <w:rFonts w:eastAsia="Calibri" w:cs="Times New Roman"/>
          <w:szCs w:val="20"/>
          <w:vertAlign w:val="superscript"/>
        </w:rPr>
        <w:footnoteReference w:id="426"/>
      </w:r>
      <w:r w:rsidR="003F32D2" w:rsidRPr="00470C7C">
        <w:rPr>
          <w:rFonts w:eastAsia="Calibri" w:cs="Times New Roman"/>
          <w:szCs w:val="20"/>
        </w:rPr>
        <w:t xml:space="preserve">. </w:t>
      </w:r>
      <w:r w:rsidRPr="00470C7C">
        <w:rPr>
          <w:rFonts w:eastAsia="Calibri" w:cs="Times New Roman"/>
          <w:szCs w:val="20"/>
        </w:rPr>
        <w:t>Asimismo, en su artículo 3 dicho Protocolo define la trata de seres humanos o tráfico de personas en los siguientes términos:</w:t>
      </w:r>
    </w:p>
    <w:p w14:paraId="2D6C8823" w14:textId="77777777" w:rsidR="00CE5161" w:rsidRPr="00470C7C" w:rsidRDefault="00CE5161" w:rsidP="00CE5161">
      <w:pPr>
        <w:tabs>
          <w:tab w:val="clear" w:pos="4419"/>
          <w:tab w:val="clear" w:pos="8838"/>
        </w:tabs>
        <w:jc w:val="both"/>
        <w:rPr>
          <w:rFonts w:eastAsia="Calibri" w:cs="Times New Roman"/>
          <w:szCs w:val="20"/>
        </w:rPr>
      </w:pPr>
    </w:p>
    <w:p w14:paraId="37AF6F79" w14:textId="77777777" w:rsidR="00CE5161" w:rsidRPr="00470C7C" w:rsidRDefault="00CE5161" w:rsidP="00CE5161">
      <w:pPr>
        <w:tabs>
          <w:tab w:val="clear" w:pos="4419"/>
          <w:tab w:val="clear" w:pos="8838"/>
        </w:tabs>
        <w:ind w:left="851" w:right="1182"/>
        <w:jc w:val="both"/>
        <w:rPr>
          <w:rFonts w:eastAsia="Calibri" w:cs="Times New Roman"/>
          <w:sz w:val="16"/>
          <w:szCs w:val="16"/>
        </w:rPr>
      </w:pPr>
      <w:r w:rsidRPr="00470C7C">
        <w:rPr>
          <w:rFonts w:eastAsia="Calibri" w:cs="Times New Roman"/>
          <w:sz w:val="16"/>
          <w:szCs w:val="16"/>
        </w:rPr>
        <w:t xml:space="preserve">a) Por "trata de personas" se entenderá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 </w:t>
      </w:r>
    </w:p>
    <w:p w14:paraId="605436BE" w14:textId="77777777" w:rsidR="00CE5161" w:rsidRPr="00470C7C" w:rsidRDefault="00CE5161" w:rsidP="00CE5161">
      <w:pPr>
        <w:tabs>
          <w:tab w:val="clear" w:pos="4419"/>
          <w:tab w:val="clear" w:pos="8838"/>
        </w:tabs>
        <w:ind w:left="851" w:right="1182"/>
        <w:jc w:val="both"/>
        <w:rPr>
          <w:rFonts w:eastAsia="Calibri" w:cs="Times New Roman"/>
          <w:sz w:val="16"/>
          <w:szCs w:val="16"/>
        </w:rPr>
      </w:pPr>
      <w:r w:rsidRPr="00470C7C">
        <w:rPr>
          <w:rFonts w:eastAsia="Calibri" w:cs="Times New Roman"/>
          <w:sz w:val="16"/>
          <w:szCs w:val="16"/>
        </w:rPr>
        <w:t xml:space="preserve">b) El consentimiento dado por la víctima de la trata de personas a toda forma de explotación intencional descrita en el apartado a) del presente artículo no se tendrá en cuenta cuando se haya recurrido a cualquiera de los medios enunciados en dicho apartado; </w:t>
      </w:r>
    </w:p>
    <w:p w14:paraId="19C5034C" w14:textId="77777777" w:rsidR="00CE5161" w:rsidRPr="00470C7C" w:rsidRDefault="00CE5161" w:rsidP="00CE5161">
      <w:pPr>
        <w:tabs>
          <w:tab w:val="clear" w:pos="4419"/>
          <w:tab w:val="clear" w:pos="8838"/>
        </w:tabs>
        <w:ind w:left="851" w:right="1182"/>
        <w:jc w:val="both"/>
        <w:rPr>
          <w:rFonts w:eastAsia="Calibri" w:cs="Times New Roman"/>
          <w:szCs w:val="20"/>
        </w:rPr>
      </w:pPr>
      <w:r w:rsidRPr="00470C7C">
        <w:rPr>
          <w:rFonts w:eastAsia="Calibri" w:cs="Times New Roman"/>
          <w:sz w:val="16"/>
          <w:szCs w:val="16"/>
        </w:rPr>
        <w:t>c) La captación, el transporte, el traslado, la acogida o la recepción de un niño con fines de explotación se considerará "trata de personas" incluso cuando no se recurra a ninguno de los medios enunciados en el apartado a) del presente artículo […]</w:t>
      </w:r>
    </w:p>
    <w:p w14:paraId="361C4025" w14:textId="77777777" w:rsidR="00CE5161" w:rsidRPr="00470C7C" w:rsidRDefault="00CE5161" w:rsidP="00ED3AD0">
      <w:pPr>
        <w:pStyle w:val="Prrafodelista"/>
        <w:rPr>
          <w:rFonts w:eastAsia="Calibri" w:cs="Times New Roman"/>
          <w:szCs w:val="20"/>
        </w:rPr>
      </w:pPr>
    </w:p>
    <w:p w14:paraId="74D5947E" w14:textId="77777777" w:rsidR="003F32D2" w:rsidRPr="00470C7C" w:rsidRDefault="003F32D2" w:rsidP="003F32D2">
      <w:pPr>
        <w:numPr>
          <w:ilvl w:val="0"/>
          <w:numId w:val="1"/>
        </w:numPr>
        <w:tabs>
          <w:tab w:val="clear" w:pos="4419"/>
          <w:tab w:val="clear" w:pos="8838"/>
        </w:tabs>
        <w:jc w:val="both"/>
        <w:rPr>
          <w:rFonts w:eastAsia="Calibri" w:cs="Times New Roman"/>
          <w:szCs w:val="20"/>
        </w:rPr>
      </w:pPr>
      <w:r w:rsidRPr="00470C7C">
        <w:rPr>
          <w:rFonts w:eastAsia="Calibri" w:cs="Times New Roman"/>
          <w:szCs w:val="20"/>
        </w:rPr>
        <w:t>De forma similar, el Convenio del Consejo de Europa sobre la lucha contra la trata de seres humanos, de 2005,</w:t>
      </w:r>
      <w:r w:rsidR="00CE5161" w:rsidRPr="00470C7C">
        <w:rPr>
          <w:rFonts w:eastAsia="Calibri" w:cs="Times New Roman"/>
          <w:szCs w:val="20"/>
        </w:rPr>
        <w:t xml:space="preserve"> </w:t>
      </w:r>
      <w:r w:rsidRPr="00470C7C">
        <w:rPr>
          <w:rFonts w:eastAsia="Calibri" w:cs="Times New Roman"/>
          <w:szCs w:val="20"/>
        </w:rPr>
        <w:t>establece la prohibición de la trata de seres humanos y determina las obligaciones estatales al respecto</w:t>
      </w:r>
      <w:r w:rsidR="00CE5161" w:rsidRPr="00470C7C">
        <w:rPr>
          <w:rFonts w:eastAsia="Calibri" w:cs="Times New Roman"/>
          <w:szCs w:val="20"/>
        </w:rPr>
        <w:t xml:space="preserve"> en términos similares al Protocolo de Palermo</w:t>
      </w:r>
      <w:r w:rsidRPr="00470C7C">
        <w:rPr>
          <w:rFonts w:eastAsia="Calibri" w:cs="Times New Roman"/>
          <w:szCs w:val="20"/>
          <w:vertAlign w:val="superscript"/>
        </w:rPr>
        <w:footnoteReference w:id="427"/>
      </w:r>
      <w:r w:rsidRPr="00470C7C">
        <w:rPr>
          <w:rFonts w:eastAsia="Calibri" w:cs="Times New Roman"/>
          <w:szCs w:val="20"/>
        </w:rPr>
        <w:t>.</w:t>
      </w:r>
    </w:p>
    <w:p w14:paraId="40AEA9CC" w14:textId="77777777" w:rsidR="003F32D2" w:rsidRPr="00470C7C" w:rsidRDefault="003F32D2" w:rsidP="003F32D2">
      <w:pPr>
        <w:tabs>
          <w:tab w:val="clear" w:pos="4419"/>
          <w:tab w:val="clear" w:pos="8838"/>
        </w:tabs>
        <w:ind w:left="720"/>
        <w:contextualSpacing/>
        <w:jc w:val="both"/>
        <w:rPr>
          <w:rFonts w:eastAsia="Calibri" w:cs="Times New Roman"/>
          <w:szCs w:val="20"/>
        </w:rPr>
      </w:pPr>
    </w:p>
    <w:p w14:paraId="07B4D30D" w14:textId="77777777" w:rsidR="003F32D2" w:rsidRPr="00470C7C" w:rsidRDefault="00CE5161" w:rsidP="003F32D2">
      <w:pPr>
        <w:numPr>
          <w:ilvl w:val="0"/>
          <w:numId w:val="1"/>
        </w:numPr>
        <w:tabs>
          <w:tab w:val="clear" w:pos="4419"/>
          <w:tab w:val="clear" w:pos="8838"/>
        </w:tabs>
        <w:jc w:val="both"/>
        <w:rPr>
          <w:rFonts w:eastAsia="Calibri" w:cs="Times New Roman"/>
          <w:szCs w:val="20"/>
        </w:rPr>
      </w:pPr>
      <w:r w:rsidRPr="00470C7C">
        <w:rPr>
          <w:rFonts w:eastAsia="Calibri" w:cs="Times New Roman"/>
          <w:szCs w:val="20"/>
        </w:rPr>
        <w:t>Además, l</w:t>
      </w:r>
      <w:r w:rsidR="003F32D2" w:rsidRPr="00470C7C">
        <w:rPr>
          <w:rFonts w:eastAsia="Calibri" w:cs="Times New Roman"/>
          <w:szCs w:val="20"/>
        </w:rPr>
        <w:t xml:space="preserve">a trata de personas también fue referida directamente como una forma de esclavitud por varios Mecanismos Especiales de Naciones Unidas vinculados al tema. Así, el Grupo de Trabajo sobre Formas Contemporáneas de Esclavitud </w:t>
      </w:r>
      <w:r w:rsidR="00F53C51" w:rsidRPr="00470C7C">
        <w:rPr>
          <w:rFonts w:eastAsia="Calibri" w:cs="Times New Roman"/>
          <w:szCs w:val="20"/>
        </w:rPr>
        <w:t xml:space="preserve">declaró </w:t>
      </w:r>
      <w:r w:rsidR="003F32D2" w:rsidRPr="00470C7C">
        <w:rPr>
          <w:rFonts w:eastAsia="Calibri" w:cs="Times New Roman"/>
          <w:szCs w:val="20"/>
        </w:rPr>
        <w:t xml:space="preserve">que la trata de </w:t>
      </w:r>
      <w:r w:rsidR="00F53C51" w:rsidRPr="00470C7C">
        <w:rPr>
          <w:rFonts w:eastAsia="Calibri" w:cs="Times New Roman"/>
          <w:szCs w:val="20"/>
        </w:rPr>
        <w:t>mujeres y niñas para fines de explotación es</w:t>
      </w:r>
      <w:r w:rsidR="00592688" w:rsidRPr="00470C7C">
        <w:rPr>
          <w:rFonts w:eastAsia="Calibri" w:cs="Times New Roman"/>
          <w:szCs w:val="20"/>
        </w:rPr>
        <w:t xml:space="preserve"> </w:t>
      </w:r>
      <w:r w:rsidR="003F32D2" w:rsidRPr="00470C7C">
        <w:rPr>
          <w:rFonts w:eastAsia="Calibri" w:cs="Times New Roman"/>
          <w:szCs w:val="20"/>
        </w:rPr>
        <w:t xml:space="preserve">una forma </w:t>
      </w:r>
      <w:r w:rsidR="00E775A7" w:rsidRPr="00470C7C">
        <w:rPr>
          <w:rFonts w:eastAsia="Calibri" w:cs="Times New Roman"/>
          <w:szCs w:val="20"/>
        </w:rPr>
        <w:t xml:space="preserve">contemporánea </w:t>
      </w:r>
      <w:r w:rsidR="003F32D2" w:rsidRPr="00470C7C">
        <w:rPr>
          <w:rFonts w:eastAsia="Calibri" w:cs="Times New Roman"/>
          <w:szCs w:val="20"/>
        </w:rPr>
        <w:t>de esclavitud y que los tratados internacionales contra la esclavitud incluyen la trata</w:t>
      </w:r>
      <w:r w:rsidR="003F32D2" w:rsidRPr="00470C7C">
        <w:rPr>
          <w:rFonts w:eastAsia="Calibri" w:cs="Times New Roman"/>
          <w:szCs w:val="20"/>
          <w:vertAlign w:val="superscript"/>
        </w:rPr>
        <w:footnoteReference w:id="428"/>
      </w:r>
      <w:r w:rsidR="003F32D2" w:rsidRPr="00470C7C">
        <w:rPr>
          <w:rFonts w:eastAsia="Calibri" w:cs="Times New Roman"/>
          <w:szCs w:val="20"/>
        </w:rPr>
        <w:t>. La Relatora Especial sobre Violencia contra la Mujer también adoptó una posición similar</w:t>
      </w:r>
      <w:r w:rsidR="003F32D2" w:rsidRPr="00470C7C">
        <w:rPr>
          <w:rFonts w:eastAsia="Calibri" w:cs="Times New Roman"/>
          <w:szCs w:val="20"/>
          <w:vertAlign w:val="superscript"/>
        </w:rPr>
        <w:footnoteReference w:id="429"/>
      </w:r>
      <w:r w:rsidR="003F32D2" w:rsidRPr="00470C7C">
        <w:rPr>
          <w:rFonts w:eastAsia="Calibri" w:cs="Times New Roman"/>
          <w:szCs w:val="20"/>
        </w:rPr>
        <w:t xml:space="preserve">. Por otra parte, la Relatora Especial sobre Formas Contemporáneas de Esclavitud, sus </w:t>
      </w:r>
      <w:r w:rsidR="00381860" w:rsidRPr="00470C7C">
        <w:rPr>
          <w:rFonts w:eastAsia="Calibri" w:cs="Times New Roman"/>
          <w:szCs w:val="20"/>
        </w:rPr>
        <w:t>c</w:t>
      </w:r>
      <w:r w:rsidR="003F32D2" w:rsidRPr="00470C7C">
        <w:rPr>
          <w:rFonts w:eastAsia="Calibri" w:cs="Times New Roman"/>
          <w:szCs w:val="20"/>
        </w:rPr>
        <w:t xml:space="preserve">ausas y </w:t>
      </w:r>
      <w:r w:rsidR="00381860" w:rsidRPr="00470C7C">
        <w:rPr>
          <w:rFonts w:eastAsia="Calibri" w:cs="Times New Roman"/>
          <w:szCs w:val="20"/>
        </w:rPr>
        <w:t>c</w:t>
      </w:r>
      <w:r w:rsidR="003F32D2" w:rsidRPr="00470C7C">
        <w:rPr>
          <w:rFonts w:eastAsia="Calibri" w:cs="Times New Roman"/>
          <w:szCs w:val="20"/>
        </w:rPr>
        <w:t>onsecuencias afirmó en 2009 que la trata de personas en el contexto de servidumbre (</w:t>
      </w:r>
      <w:proofErr w:type="spellStart"/>
      <w:r w:rsidR="003F32D2" w:rsidRPr="00470C7C">
        <w:rPr>
          <w:rFonts w:eastAsia="Calibri" w:cs="Times New Roman"/>
          <w:i/>
          <w:szCs w:val="20"/>
        </w:rPr>
        <w:t>bonded</w:t>
      </w:r>
      <w:proofErr w:type="spellEnd"/>
      <w:r w:rsidR="003F32D2" w:rsidRPr="00470C7C">
        <w:rPr>
          <w:rFonts w:eastAsia="Calibri" w:cs="Times New Roman"/>
          <w:i/>
          <w:szCs w:val="20"/>
        </w:rPr>
        <w:t xml:space="preserve"> </w:t>
      </w:r>
      <w:proofErr w:type="spellStart"/>
      <w:r w:rsidR="003F32D2" w:rsidRPr="00470C7C">
        <w:rPr>
          <w:rFonts w:eastAsia="Calibri" w:cs="Times New Roman"/>
          <w:i/>
          <w:szCs w:val="20"/>
        </w:rPr>
        <w:t>labour</w:t>
      </w:r>
      <w:proofErr w:type="spellEnd"/>
      <w:r w:rsidR="003F32D2" w:rsidRPr="00470C7C">
        <w:rPr>
          <w:rFonts w:eastAsia="Calibri" w:cs="Times New Roman"/>
          <w:szCs w:val="20"/>
        </w:rPr>
        <w:t>) y pagos anticipados sería una forma de esclavitud a través de la cual el traficante está en una posición dominante</w:t>
      </w:r>
      <w:r w:rsidR="003F32D2" w:rsidRPr="00470C7C">
        <w:rPr>
          <w:rFonts w:eastAsia="Calibri" w:cs="Times New Roman"/>
          <w:szCs w:val="20"/>
          <w:vertAlign w:val="superscript"/>
          <w:lang w:val="en-US"/>
        </w:rPr>
        <w:footnoteReference w:id="430"/>
      </w:r>
      <w:r w:rsidR="003F32D2" w:rsidRPr="00470C7C">
        <w:rPr>
          <w:rFonts w:eastAsia="Calibri" w:cs="Times New Roman"/>
          <w:szCs w:val="20"/>
        </w:rPr>
        <w:t>. La Relatora Especial sobre Trata de Personas, en especial de mujeres y niños, también consideró la trata de personas como “trata de esclavos de los días modernos” en una escala masiva</w:t>
      </w:r>
      <w:r w:rsidR="003F32D2" w:rsidRPr="00470C7C">
        <w:rPr>
          <w:rFonts w:eastAsia="Calibri" w:cs="Times New Roman"/>
          <w:szCs w:val="20"/>
          <w:vertAlign w:val="superscript"/>
          <w:lang w:val="en-US"/>
        </w:rPr>
        <w:footnoteReference w:id="431"/>
      </w:r>
      <w:r w:rsidR="003F32D2" w:rsidRPr="00470C7C">
        <w:rPr>
          <w:rFonts w:eastAsia="Calibri" w:cs="Times New Roman"/>
          <w:szCs w:val="20"/>
        </w:rPr>
        <w:t>. Además, la Relatora afirmó que la trata de personas es una violación de varios derechos humanos, entre ellos el derecho a no ser sometido a esclavitud o servidumbre</w:t>
      </w:r>
      <w:r w:rsidR="003F32D2" w:rsidRPr="00470C7C">
        <w:rPr>
          <w:rFonts w:eastAsia="Calibri" w:cs="Times New Roman"/>
          <w:szCs w:val="20"/>
          <w:vertAlign w:val="superscript"/>
        </w:rPr>
        <w:footnoteReference w:id="432"/>
      </w:r>
      <w:r w:rsidR="003F32D2" w:rsidRPr="00470C7C">
        <w:rPr>
          <w:rFonts w:eastAsia="Calibri" w:cs="Times New Roman"/>
          <w:szCs w:val="20"/>
        </w:rPr>
        <w:t>.</w:t>
      </w:r>
    </w:p>
    <w:p w14:paraId="3F114854" w14:textId="77777777" w:rsidR="003F32D2" w:rsidRPr="00470C7C" w:rsidRDefault="003F32D2" w:rsidP="00ED3AD0">
      <w:pPr>
        <w:tabs>
          <w:tab w:val="clear" w:pos="4419"/>
          <w:tab w:val="clear" w:pos="8838"/>
        </w:tabs>
        <w:jc w:val="both"/>
        <w:rPr>
          <w:rFonts w:eastAsia="Calibri" w:cs="Times New Roman"/>
          <w:szCs w:val="20"/>
        </w:rPr>
      </w:pPr>
    </w:p>
    <w:p w14:paraId="1510979C" w14:textId="77777777" w:rsidR="00F727E4" w:rsidRPr="00470C7C" w:rsidRDefault="00A046A2" w:rsidP="00ED3AD0">
      <w:pPr>
        <w:numPr>
          <w:ilvl w:val="0"/>
          <w:numId w:val="1"/>
        </w:numPr>
        <w:tabs>
          <w:tab w:val="clear" w:pos="4419"/>
          <w:tab w:val="clear" w:pos="8838"/>
        </w:tabs>
        <w:jc w:val="both"/>
        <w:rPr>
          <w:rFonts w:eastAsia="Calibri" w:cs="Times New Roman"/>
          <w:szCs w:val="20"/>
        </w:rPr>
      </w:pPr>
      <w:r w:rsidRPr="00470C7C">
        <w:rPr>
          <w:rFonts w:eastAsia="Calibri" w:cs="Times New Roman"/>
          <w:szCs w:val="20"/>
        </w:rPr>
        <w:t xml:space="preserve">En el ámbito </w:t>
      </w:r>
      <w:r w:rsidR="00CE5161" w:rsidRPr="00470C7C">
        <w:rPr>
          <w:rFonts w:eastAsia="Calibri" w:cs="Times New Roman"/>
          <w:szCs w:val="20"/>
        </w:rPr>
        <w:t>del sistema europeo de derechos humanos</w:t>
      </w:r>
      <w:r w:rsidRPr="00470C7C">
        <w:rPr>
          <w:rFonts w:eastAsia="Calibri" w:cs="Times New Roman"/>
          <w:szCs w:val="20"/>
        </w:rPr>
        <w:t xml:space="preserve">, </w:t>
      </w:r>
      <w:r w:rsidR="00F727E4" w:rsidRPr="00470C7C">
        <w:rPr>
          <w:rFonts w:eastAsia="Calibri" w:cs="Times New Roman"/>
          <w:szCs w:val="20"/>
        </w:rPr>
        <w:t>aún sin mención expresa a ese fenómeno en el Convenio Europeo de Derechos Humanos</w:t>
      </w:r>
      <w:r w:rsidR="00F727E4" w:rsidRPr="00470C7C">
        <w:rPr>
          <w:rFonts w:eastAsia="Calibri" w:cs="Times New Roman"/>
          <w:szCs w:val="20"/>
          <w:vertAlign w:val="superscript"/>
        </w:rPr>
        <w:footnoteReference w:id="433"/>
      </w:r>
      <w:r w:rsidR="00F727E4" w:rsidRPr="00470C7C">
        <w:rPr>
          <w:rFonts w:eastAsia="Calibri" w:cs="Times New Roman"/>
          <w:szCs w:val="20"/>
        </w:rPr>
        <w:t xml:space="preserve">, el </w:t>
      </w:r>
      <w:r w:rsidR="00CE5161" w:rsidRPr="00470C7C">
        <w:rPr>
          <w:rFonts w:eastAsia="Calibri" w:cs="Times New Roman"/>
          <w:szCs w:val="20"/>
        </w:rPr>
        <w:t xml:space="preserve">Tribunal Europeo </w:t>
      </w:r>
      <w:r w:rsidR="00F727E4" w:rsidRPr="00470C7C">
        <w:rPr>
          <w:rFonts w:eastAsia="Calibri" w:cs="Times New Roman"/>
          <w:szCs w:val="20"/>
        </w:rPr>
        <w:t>afirmó que la definición de trata de personas del Protocolo de Palermo está incluida en la prohibición de la esclavitud, servidumbre y trabajo forzoso del artículo 4 del Convenio Europeo</w:t>
      </w:r>
      <w:r w:rsidR="00F727E4" w:rsidRPr="00470C7C">
        <w:rPr>
          <w:rFonts w:eastAsia="Calibri" w:cs="Times New Roman"/>
          <w:szCs w:val="20"/>
          <w:vertAlign w:val="superscript"/>
        </w:rPr>
        <w:footnoteReference w:id="434"/>
      </w:r>
      <w:r w:rsidR="00F727E4" w:rsidRPr="00470C7C">
        <w:rPr>
          <w:rFonts w:eastAsia="Calibri" w:cs="Times New Roman"/>
          <w:szCs w:val="20"/>
        </w:rPr>
        <w:t xml:space="preserve">. En el </w:t>
      </w:r>
      <w:r w:rsidR="007E573C" w:rsidRPr="00470C7C">
        <w:rPr>
          <w:rFonts w:eastAsia="Calibri" w:cs="Times New Roman"/>
          <w:i/>
          <w:szCs w:val="20"/>
        </w:rPr>
        <w:t>C</w:t>
      </w:r>
      <w:r w:rsidR="00F727E4" w:rsidRPr="00470C7C">
        <w:rPr>
          <w:rFonts w:eastAsia="Calibri" w:cs="Times New Roman"/>
          <w:i/>
          <w:szCs w:val="20"/>
        </w:rPr>
        <w:t xml:space="preserve">aso </w:t>
      </w:r>
      <w:proofErr w:type="spellStart"/>
      <w:r w:rsidR="00F727E4" w:rsidRPr="00470C7C">
        <w:rPr>
          <w:rFonts w:eastAsia="Calibri" w:cs="Times New Roman"/>
          <w:i/>
          <w:szCs w:val="20"/>
        </w:rPr>
        <w:t>Rantsev</w:t>
      </w:r>
      <w:proofErr w:type="spellEnd"/>
      <w:r w:rsidR="00F727E4" w:rsidRPr="00470C7C">
        <w:rPr>
          <w:rFonts w:eastAsia="Calibri" w:cs="Times New Roman"/>
          <w:i/>
          <w:szCs w:val="20"/>
        </w:rPr>
        <w:t xml:space="preserve"> Vs. Chipre y Rusia</w:t>
      </w:r>
      <w:r w:rsidR="00F727E4" w:rsidRPr="00470C7C">
        <w:rPr>
          <w:rFonts w:eastAsia="Calibri" w:cs="Times New Roman"/>
          <w:szCs w:val="20"/>
        </w:rPr>
        <w:t xml:space="preserve">, el </w:t>
      </w:r>
      <w:r w:rsidR="00F727E4" w:rsidRPr="00470C7C">
        <w:rPr>
          <w:rFonts w:eastAsia="Calibri" w:cs="Times New Roman"/>
          <w:szCs w:val="20"/>
          <w:lang w:val="es-MX"/>
        </w:rPr>
        <w:t>Tribunal Europeo estableció que “la trata de personas, por su propia naturaleza y fin de explotación, está basada sobre el ejercicio de poderes vinculados con el derecho de propiedad. Considera a los seres humanos mercancía que puede ser comprada y vendida y sometida a trabajo forzoso, frecuentemente a cambio de poca o ninguna paga, habitualmente en la industria del sexo pero también en otros sectores. La trata supone una vigilancia estrecha de las actividades de las víctimas, cuyos movimientos resultan con frecuencia limitados. Involucra el uso de violencia y amenaza contra las víctimas, quienes viven y trabajan en condiciones de pobreza”</w:t>
      </w:r>
      <w:r w:rsidR="00F727E4" w:rsidRPr="00470C7C">
        <w:rPr>
          <w:rFonts w:eastAsia="Calibri" w:cs="Times New Roman"/>
          <w:szCs w:val="20"/>
          <w:vertAlign w:val="superscript"/>
          <w:lang w:val="es-MX"/>
        </w:rPr>
        <w:footnoteReference w:id="435"/>
      </w:r>
      <w:r w:rsidR="00F727E4" w:rsidRPr="00470C7C">
        <w:rPr>
          <w:rFonts w:eastAsia="Calibri" w:cs="Times New Roman"/>
          <w:szCs w:val="20"/>
          <w:lang w:val="es-MX"/>
        </w:rPr>
        <w:t>.</w:t>
      </w:r>
    </w:p>
    <w:p w14:paraId="3894EE06" w14:textId="77777777" w:rsidR="008455B0" w:rsidRPr="00470C7C" w:rsidRDefault="008455B0" w:rsidP="00ED3AD0">
      <w:pPr>
        <w:pStyle w:val="Prrafodelista"/>
        <w:rPr>
          <w:rFonts w:eastAsia="Calibri" w:cs="Times New Roman"/>
          <w:szCs w:val="20"/>
        </w:rPr>
      </w:pPr>
    </w:p>
    <w:p w14:paraId="447C386B" w14:textId="77777777" w:rsidR="00C773A0" w:rsidRPr="00470C7C" w:rsidRDefault="00F727E4" w:rsidP="00F727E4">
      <w:pPr>
        <w:numPr>
          <w:ilvl w:val="0"/>
          <w:numId w:val="1"/>
        </w:numPr>
        <w:tabs>
          <w:tab w:val="clear" w:pos="4419"/>
          <w:tab w:val="clear" w:pos="8838"/>
        </w:tabs>
        <w:jc w:val="both"/>
        <w:rPr>
          <w:rFonts w:eastAsia="Calibri" w:cs="Times New Roman"/>
          <w:szCs w:val="20"/>
          <w:u w:val="single"/>
        </w:rPr>
      </w:pPr>
      <w:r w:rsidRPr="00470C7C">
        <w:rPr>
          <w:rFonts w:eastAsia="Calibri" w:cs="Times New Roman"/>
          <w:szCs w:val="20"/>
        </w:rPr>
        <w:t xml:space="preserve">Las definiciones contenidas en los tratados internacionales anteriormente reseñados y la interpretación realizada por </w:t>
      </w:r>
      <w:r w:rsidR="00C773A0" w:rsidRPr="00470C7C">
        <w:rPr>
          <w:rFonts w:eastAsia="Calibri" w:cs="Times New Roman"/>
          <w:szCs w:val="20"/>
        </w:rPr>
        <w:t>el Tribunal Europeo</w:t>
      </w:r>
      <w:r w:rsidRPr="00470C7C">
        <w:rPr>
          <w:rFonts w:eastAsia="Calibri" w:cs="Times New Roman"/>
          <w:szCs w:val="20"/>
        </w:rPr>
        <w:t xml:space="preserve"> de Derechos Humanos en el </w:t>
      </w:r>
      <w:r w:rsidRPr="00470C7C">
        <w:rPr>
          <w:rFonts w:eastAsia="Calibri" w:cs="Times New Roman"/>
          <w:i/>
          <w:szCs w:val="20"/>
        </w:rPr>
        <w:t xml:space="preserve">Caso </w:t>
      </w:r>
      <w:proofErr w:type="spellStart"/>
      <w:r w:rsidRPr="00470C7C">
        <w:rPr>
          <w:rFonts w:eastAsia="Calibri" w:cs="Times New Roman"/>
          <w:i/>
          <w:szCs w:val="20"/>
        </w:rPr>
        <w:t>Rantsev</w:t>
      </w:r>
      <w:proofErr w:type="spellEnd"/>
      <w:r w:rsidRPr="00470C7C">
        <w:rPr>
          <w:rFonts w:eastAsia="Calibri" w:cs="Times New Roman"/>
          <w:szCs w:val="20"/>
        </w:rPr>
        <w:t xml:space="preserve">, no dejan duda </w:t>
      </w:r>
      <w:r w:rsidR="007E573C" w:rsidRPr="00470C7C">
        <w:rPr>
          <w:rFonts w:eastAsia="Calibri" w:cs="Times New Roman"/>
          <w:szCs w:val="20"/>
        </w:rPr>
        <w:t>de</w:t>
      </w:r>
      <w:r w:rsidRPr="00470C7C">
        <w:rPr>
          <w:rFonts w:eastAsia="Calibri" w:cs="Times New Roman"/>
          <w:szCs w:val="20"/>
        </w:rPr>
        <w:t xml:space="preserve"> que los conceptos </w:t>
      </w:r>
      <w:r w:rsidR="00CF3C54" w:rsidRPr="00470C7C">
        <w:rPr>
          <w:rFonts w:eastAsia="Calibri" w:cs="Times New Roman"/>
          <w:szCs w:val="20"/>
        </w:rPr>
        <w:t xml:space="preserve">de trata de esclavos y de mujeres </w:t>
      </w:r>
      <w:r w:rsidRPr="00470C7C">
        <w:rPr>
          <w:rFonts w:eastAsia="Calibri" w:cs="Times New Roman"/>
          <w:szCs w:val="20"/>
        </w:rPr>
        <w:t>han transcend</w:t>
      </w:r>
      <w:r w:rsidR="008455B0" w:rsidRPr="00470C7C">
        <w:rPr>
          <w:rFonts w:eastAsia="Calibri" w:cs="Times New Roman"/>
          <w:szCs w:val="20"/>
        </w:rPr>
        <w:t>ido</w:t>
      </w:r>
      <w:r w:rsidRPr="00470C7C">
        <w:rPr>
          <w:rFonts w:eastAsia="Calibri" w:cs="Times New Roman"/>
          <w:szCs w:val="20"/>
        </w:rPr>
        <w:t xml:space="preserve"> </w:t>
      </w:r>
      <w:r w:rsidR="00CF3C54" w:rsidRPr="00470C7C">
        <w:rPr>
          <w:rFonts w:eastAsia="Calibri" w:cs="Times New Roman"/>
          <w:szCs w:val="20"/>
        </w:rPr>
        <w:t xml:space="preserve">su sentido literal </w:t>
      </w:r>
      <w:r w:rsidR="007E573C" w:rsidRPr="00470C7C">
        <w:rPr>
          <w:rFonts w:eastAsia="Calibri" w:cs="Times New Roman"/>
          <w:szCs w:val="20"/>
        </w:rPr>
        <w:t>a</w:t>
      </w:r>
      <w:r w:rsidR="008455B0" w:rsidRPr="00470C7C">
        <w:rPr>
          <w:rFonts w:eastAsia="Calibri" w:cs="Times New Roman"/>
          <w:szCs w:val="20"/>
        </w:rPr>
        <w:t xml:space="preserve"> modo </w:t>
      </w:r>
      <w:r w:rsidR="007E573C" w:rsidRPr="00470C7C">
        <w:rPr>
          <w:rFonts w:eastAsia="Calibri" w:cs="Times New Roman"/>
          <w:szCs w:val="20"/>
        </w:rPr>
        <w:t>de</w:t>
      </w:r>
      <w:r w:rsidR="008455B0" w:rsidRPr="00470C7C">
        <w:rPr>
          <w:rFonts w:eastAsia="Calibri" w:cs="Times New Roman"/>
          <w:szCs w:val="20"/>
        </w:rPr>
        <w:t xml:space="preserve"> proteger</w:t>
      </w:r>
      <w:r w:rsidR="00CF3C54" w:rsidRPr="00470C7C">
        <w:rPr>
          <w:rFonts w:eastAsia="Calibri" w:cs="Times New Roman"/>
          <w:szCs w:val="20"/>
        </w:rPr>
        <w:t>, en la actual fase de desarrollo del derecho internacional de los derechos humanos,</w:t>
      </w:r>
      <w:r w:rsidR="008455B0" w:rsidRPr="00470C7C">
        <w:rPr>
          <w:rFonts w:eastAsia="Calibri" w:cs="Times New Roman"/>
          <w:szCs w:val="20"/>
        </w:rPr>
        <w:t xml:space="preserve"> a las “personas” </w:t>
      </w:r>
      <w:r w:rsidR="00C773A0" w:rsidRPr="00470C7C">
        <w:rPr>
          <w:rFonts w:eastAsia="Calibri" w:cs="Times New Roman"/>
          <w:szCs w:val="20"/>
        </w:rPr>
        <w:t xml:space="preserve">traficadas para sometimiento a variadas formas de </w:t>
      </w:r>
      <w:r w:rsidR="008455B0" w:rsidRPr="00470C7C">
        <w:rPr>
          <w:rFonts w:eastAsia="Calibri" w:cs="Times New Roman"/>
          <w:szCs w:val="20"/>
        </w:rPr>
        <w:t>explotación</w:t>
      </w:r>
      <w:r w:rsidR="00C21BC4" w:rsidRPr="00470C7C">
        <w:rPr>
          <w:rFonts w:eastAsia="Calibri" w:cs="Times New Roman"/>
          <w:szCs w:val="20"/>
        </w:rPr>
        <w:t xml:space="preserve"> sin su consentimiento</w:t>
      </w:r>
      <w:r w:rsidR="00C773A0" w:rsidRPr="00470C7C">
        <w:rPr>
          <w:rFonts w:eastAsia="Calibri" w:cs="Times New Roman"/>
          <w:szCs w:val="20"/>
        </w:rPr>
        <w:t xml:space="preserve">. El elemento que vincula las prohibiciones de trata de esclavos y de mujeres es el </w:t>
      </w:r>
      <w:r w:rsidR="00CF3C54" w:rsidRPr="00470C7C">
        <w:rPr>
          <w:rFonts w:eastAsia="Calibri" w:cs="Times New Roman"/>
          <w:szCs w:val="20"/>
        </w:rPr>
        <w:t xml:space="preserve">mismo, es decir, el </w:t>
      </w:r>
      <w:r w:rsidR="00C773A0" w:rsidRPr="00470C7C">
        <w:rPr>
          <w:rFonts w:eastAsia="Calibri" w:cs="Times New Roman"/>
          <w:szCs w:val="20"/>
        </w:rPr>
        <w:t xml:space="preserve">control ejercido por los perpetradores sobre las víctimas durante el transporte o traslado con fines de explotación. </w:t>
      </w:r>
      <w:r w:rsidR="0018065A" w:rsidRPr="00470C7C">
        <w:rPr>
          <w:rFonts w:eastAsia="Calibri" w:cs="Times New Roman"/>
          <w:szCs w:val="20"/>
        </w:rPr>
        <w:t>Asimismo, la Corte identifica los siguiente</w:t>
      </w:r>
      <w:r w:rsidR="00C25F96" w:rsidRPr="00470C7C">
        <w:rPr>
          <w:rFonts w:eastAsia="Calibri" w:cs="Times New Roman"/>
          <w:szCs w:val="20"/>
        </w:rPr>
        <w:t>s</w:t>
      </w:r>
      <w:r w:rsidR="0018065A" w:rsidRPr="00470C7C">
        <w:rPr>
          <w:rFonts w:eastAsia="Calibri" w:cs="Times New Roman"/>
          <w:szCs w:val="20"/>
        </w:rPr>
        <w:t xml:space="preserve"> elementos comunes a ambas formas de trata: i) el control de movimiento o del ambiente físico de la persona; </w:t>
      </w:r>
      <w:proofErr w:type="spellStart"/>
      <w:r w:rsidR="0018065A" w:rsidRPr="00470C7C">
        <w:rPr>
          <w:rFonts w:eastAsia="Calibri" w:cs="Times New Roman"/>
          <w:szCs w:val="20"/>
        </w:rPr>
        <w:t>ii</w:t>
      </w:r>
      <w:proofErr w:type="spellEnd"/>
      <w:r w:rsidR="0018065A" w:rsidRPr="00470C7C">
        <w:rPr>
          <w:rFonts w:eastAsia="Calibri" w:cs="Times New Roman"/>
          <w:szCs w:val="20"/>
        </w:rPr>
        <w:t xml:space="preserve">) </w:t>
      </w:r>
      <w:r w:rsidR="007E573C" w:rsidRPr="00470C7C">
        <w:rPr>
          <w:rFonts w:eastAsia="Calibri" w:cs="Times New Roman"/>
          <w:szCs w:val="20"/>
        </w:rPr>
        <w:t xml:space="preserve">el </w:t>
      </w:r>
      <w:r w:rsidR="0018065A" w:rsidRPr="00470C7C">
        <w:rPr>
          <w:rFonts w:eastAsia="Calibri" w:cs="Times New Roman"/>
          <w:szCs w:val="20"/>
        </w:rPr>
        <w:t xml:space="preserve">control psicológico; </w:t>
      </w:r>
      <w:proofErr w:type="spellStart"/>
      <w:r w:rsidR="0018065A" w:rsidRPr="00470C7C">
        <w:rPr>
          <w:rFonts w:eastAsia="Calibri" w:cs="Times New Roman"/>
          <w:szCs w:val="20"/>
        </w:rPr>
        <w:t>iii</w:t>
      </w:r>
      <w:proofErr w:type="spellEnd"/>
      <w:r w:rsidR="0018065A" w:rsidRPr="00470C7C">
        <w:rPr>
          <w:rFonts w:eastAsia="Calibri" w:cs="Times New Roman"/>
          <w:szCs w:val="20"/>
        </w:rPr>
        <w:t xml:space="preserve">) </w:t>
      </w:r>
      <w:r w:rsidR="007E573C" w:rsidRPr="00470C7C">
        <w:rPr>
          <w:rFonts w:eastAsia="Calibri" w:cs="Times New Roman"/>
          <w:szCs w:val="20"/>
        </w:rPr>
        <w:t xml:space="preserve">la </w:t>
      </w:r>
      <w:r w:rsidR="0018065A" w:rsidRPr="00470C7C">
        <w:rPr>
          <w:rFonts w:eastAsia="Calibri" w:cs="Times New Roman"/>
          <w:szCs w:val="20"/>
        </w:rPr>
        <w:t>adopción de medidas para impedir la fuga</w:t>
      </w:r>
      <w:r w:rsidR="007E573C" w:rsidRPr="00470C7C">
        <w:rPr>
          <w:rFonts w:eastAsia="Calibri" w:cs="Times New Roman"/>
          <w:szCs w:val="20"/>
        </w:rPr>
        <w:t>, y</w:t>
      </w:r>
      <w:r w:rsidR="0018065A" w:rsidRPr="00470C7C">
        <w:rPr>
          <w:rFonts w:eastAsia="Calibri" w:cs="Times New Roman"/>
          <w:szCs w:val="20"/>
        </w:rPr>
        <w:t xml:space="preserve"> </w:t>
      </w:r>
      <w:proofErr w:type="spellStart"/>
      <w:r w:rsidR="0018065A" w:rsidRPr="00470C7C">
        <w:rPr>
          <w:rFonts w:eastAsia="Calibri" w:cs="Times New Roman"/>
          <w:szCs w:val="20"/>
        </w:rPr>
        <w:t>iv</w:t>
      </w:r>
      <w:proofErr w:type="spellEnd"/>
      <w:r w:rsidR="0018065A" w:rsidRPr="00470C7C">
        <w:rPr>
          <w:rFonts w:eastAsia="Calibri" w:cs="Times New Roman"/>
          <w:szCs w:val="20"/>
        </w:rPr>
        <w:t xml:space="preserve">) </w:t>
      </w:r>
      <w:r w:rsidR="007E573C" w:rsidRPr="00470C7C">
        <w:rPr>
          <w:rFonts w:eastAsia="Calibri" w:cs="Times New Roman"/>
          <w:szCs w:val="20"/>
        </w:rPr>
        <w:t xml:space="preserve">el </w:t>
      </w:r>
      <w:r w:rsidR="0018065A" w:rsidRPr="00470C7C">
        <w:rPr>
          <w:rFonts w:eastAsia="Calibri" w:cs="Times New Roman"/>
          <w:szCs w:val="20"/>
        </w:rPr>
        <w:t>trabajo forzoso u obligatorio</w:t>
      </w:r>
      <w:r w:rsidR="0018065A" w:rsidRPr="00470C7C">
        <w:rPr>
          <w:rFonts w:eastAsia="Calibri" w:cs="Times New Roman"/>
          <w:szCs w:val="20"/>
          <w:vertAlign w:val="superscript"/>
        </w:rPr>
        <w:footnoteReference w:id="436"/>
      </w:r>
      <w:r w:rsidR="0018065A" w:rsidRPr="00470C7C">
        <w:rPr>
          <w:rFonts w:eastAsia="Calibri" w:cs="Times New Roman"/>
          <w:szCs w:val="20"/>
        </w:rPr>
        <w:t>, incluyendo la prostitución.</w:t>
      </w:r>
    </w:p>
    <w:p w14:paraId="6C8D2B59" w14:textId="77777777" w:rsidR="00C773A0" w:rsidRPr="00470C7C" w:rsidRDefault="00C773A0" w:rsidP="00ED3AD0">
      <w:pPr>
        <w:pStyle w:val="Prrafodelista"/>
        <w:rPr>
          <w:rFonts w:eastAsia="Calibri" w:cs="Times New Roman"/>
          <w:szCs w:val="20"/>
          <w:u w:val="single"/>
        </w:rPr>
      </w:pPr>
    </w:p>
    <w:p w14:paraId="7EC4E44C" w14:textId="77777777" w:rsidR="00F727E4" w:rsidRPr="00470C7C" w:rsidRDefault="00C773A0" w:rsidP="00F727E4">
      <w:pPr>
        <w:numPr>
          <w:ilvl w:val="0"/>
          <w:numId w:val="1"/>
        </w:numPr>
        <w:tabs>
          <w:tab w:val="clear" w:pos="4419"/>
          <w:tab w:val="clear" w:pos="8838"/>
        </w:tabs>
        <w:jc w:val="both"/>
        <w:rPr>
          <w:rFonts w:eastAsia="Calibri" w:cs="Times New Roman"/>
          <w:szCs w:val="20"/>
        </w:rPr>
      </w:pPr>
      <w:r w:rsidRPr="00470C7C">
        <w:rPr>
          <w:rFonts w:eastAsia="Calibri" w:cs="Times New Roman"/>
          <w:szCs w:val="20"/>
        </w:rPr>
        <w:t>De lo anterior</w:t>
      </w:r>
      <w:r w:rsidR="007E573C" w:rsidRPr="00470C7C">
        <w:rPr>
          <w:rFonts w:eastAsia="Calibri" w:cs="Times New Roman"/>
          <w:szCs w:val="20"/>
        </w:rPr>
        <w:t>,</w:t>
      </w:r>
      <w:r w:rsidRPr="00470C7C">
        <w:rPr>
          <w:rFonts w:eastAsia="Calibri" w:cs="Times New Roman"/>
          <w:szCs w:val="20"/>
        </w:rPr>
        <w:t xml:space="preserve"> la Corte Interamericana considera que </w:t>
      </w:r>
      <w:r w:rsidR="0018065A" w:rsidRPr="00470C7C">
        <w:rPr>
          <w:rFonts w:eastAsia="Calibri" w:cs="Times New Roman"/>
          <w:szCs w:val="20"/>
        </w:rPr>
        <w:t xml:space="preserve">a la luz del desarrollo ocurrido en el derecho internacional en las últimas décadas, </w:t>
      </w:r>
      <w:r w:rsidR="00F727E4" w:rsidRPr="00470C7C">
        <w:rPr>
          <w:rFonts w:eastAsia="Calibri" w:cs="Times New Roman"/>
          <w:szCs w:val="20"/>
        </w:rPr>
        <w:t>la expresión “trata de esclavos</w:t>
      </w:r>
      <w:r w:rsidRPr="00470C7C">
        <w:rPr>
          <w:rFonts w:eastAsia="Calibri" w:cs="Times New Roman"/>
          <w:szCs w:val="20"/>
        </w:rPr>
        <w:t xml:space="preserve"> y de mujeres</w:t>
      </w:r>
      <w:r w:rsidR="00F727E4" w:rsidRPr="00470C7C">
        <w:rPr>
          <w:rFonts w:eastAsia="Calibri" w:cs="Times New Roman"/>
          <w:szCs w:val="20"/>
        </w:rPr>
        <w:t>” de</w:t>
      </w:r>
      <w:r w:rsidR="00CF3C54" w:rsidRPr="00470C7C">
        <w:rPr>
          <w:rFonts w:eastAsia="Calibri" w:cs="Times New Roman"/>
          <w:szCs w:val="20"/>
        </w:rPr>
        <w:t>l artículo 6.1 de</w:t>
      </w:r>
      <w:r w:rsidR="00F727E4" w:rsidRPr="00470C7C">
        <w:rPr>
          <w:rFonts w:eastAsia="Calibri" w:cs="Times New Roman"/>
          <w:szCs w:val="20"/>
        </w:rPr>
        <w:t xml:space="preserve"> la</w:t>
      </w:r>
      <w:r w:rsidRPr="00470C7C">
        <w:rPr>
          <w:rFonts w:eastAsia="Calibri" w:cs="Times New Roman"/>
          <w:szCs w:val="20"/>
        </w:rPr>
        <w:t xml:space="preserve"> Convención Americana </w:t>
      </w:r>
      <w:r w:rsidR="00F727E4" w:rsidRPr="00470C7C">
        <w:rPr>
          <w:rFonts w:eastAsia="Calibri" w:cs="Times New Roman"/>
          <w:szCs w:val="20"/>
        </w:rPr>
        <w:t xml:space="preserve">debe ser </w:t>
      </w:r>
      <w:r w:rsidR="0018065A" w:rsidRPr="00470C7C">
        <w:rPr>
          <w:rFonts w:eastAsia="Calibri" w:cs="Times New Roman"/>
          <w:szCs w:val="20"/>
        </w:rPr>
        <w:t xml:space="preserve">interpretada de manera amplia para referirse a la </w:t>
      </w:r>
      <w:r w:rsidR="00F727E4" w:rsidRPr="00470C7C">
        <w:rPr>
          <w:rFonts w:eastAsia="Calibri" w:cs="Times New Roman"/>
          <w:szCs w:val="20"/>
        </w:rPr>
        <w:t xml:space="preserve">“trata de personas”. </w:t>
      </w:r>
      <w:r w:rsidR="00CF3C54" w:rsidRPr="00470C7C">
        <w:rPr>
          <w:rFonts w:eastAsia="Calibri" w:cs="Times New Roman"/>
          <w:szCs w:val="20"/>
        </w:rPr>
        <w:t xml:space="preserve">De la misma forma que la trata de esclavos y de mujeres tienen como fin la explotación del ser humano, la Corte no podría limitar </w:t>
      </w:r>
      <w:r w:rsidR="00F727E4" w:rsidRPr="00470C7C">
        <w:rPr>
          <w:rFonts w:eastAsia="Calibri" w:cs="Times New Roman"/>
          <w:szCs w:val="20"/>
        </w:rPr>
        <w:t xml:space="preserve">la protección conferida por ese artículo únicamente a las mujeres </w:t>
      </w:r>
      <w:r w:rsidR="0018065A" w:rsidRPr="00470C7C">
        <w:rPr>
          <w:rFonts w:eastAsia="Calibri" w:cs="Times New Roman"/>
          <w:szCs w:val="20"/>
        </w:rPr>
        <w:t>o a los dichos “esclavos”</w:t>
      </w:r>
      <w:r w:rsidR="007E573C" w:rsidRPr="00470C7C">
        <w:rPr>
          <w:rFonts w:eastAsia="Calibri" w:cs="Times New Roman"/>
          <w:szCs w:val="20"/>
        </w:rPr>
        <w:t>,</w:t>
      </w:r>
      <w:r w:rsidR="0018065A" w:rsidRPr="00470C7C">
        <w:rPr>
          <w:rFonts w:eastAsia="Calibri" w:cs="Times New Roman"/>
          <w:szCs w:val="20"/>
        </w:rPr>
        <w:t xml:space="preserve"> </w:t>
      </w:r>
      <w:r w:rsidR="00F727E4" w:rsidRPr="00470C7C">
        <w:rPr>
          <w:rFonts w:eastAsia="Calibri" w:cs="Times New Roman"/>
          <w:szCs w:val="20"/>
        </w:rPr>
        <w:t xml:space="preserve">bajo la óptica de la interpretación más favorable al ser humano y el principio </w:t>
      </w:r>
      <w:proofErr w:type="spellStart"/>
      <w:r w:rsidR="00F727E4" w:rsidRPr="00470C7C">
        <w:rPr>
          <w:rFonts w:eastAsia="Calibri" w:cs="Times New Roman"/>
          <w:i/>
          <w:szCs w:val="20"/>
        </w:rPr>
        <w:t>pro</w:t>
      </w:r>
      <w:proofErr w:type="spellEnd"/>
      <w:r w:rsidR="00F727E4" w:rsidRPr="00470C7C">
        <w:rPr>
          <w:rFonts w:eastAsia="Calibri" w:cs="Times New Roman"/>
          <w:i/>
          <w:szCs w:val="20"/>
        </w:rPr>
        <w:t xml:space="preserve"> persona</w:t>
      </w:r>
      <w:r w:rsidR="00F727E4" w:rsidRPr="00470C7C">
        <w:rPr>
          <w:rFonts w:eastAsia="Calibri" w:cs="Times New Roman"/>
          <w:szCs w:val="20"/>
          <w:vertAlign w:val="superscript"/>
        </w:rPr>
        <w:footnoteReference w:id="437"/>
      </w:r>
      <w:r w:rsidR="00F727E4" w:rsidRPr="00470C7C">
        <w:rPr>
          <w:rFonts w:eastAsia="Calibri" w:cs="Times New Roman"/>
          <w:szCs w:val="20"/>
        </w:rPr>
        <w:t xml:space="preserve">. Lo anterior es importante para dar efecto útil a la prohibición prevista en la Convención Americana </w:t>
      </w:r>
      <w:r w:rsidR="007E573C" w:rsidRPr="00470C7C">
        <w:rPr>
          <w:rFonts w:eastAsia="Calibri" w:cs="Times New Roman"/>
          <w:szCs w:val="20"/>
        </w:rPr>
        <w:t xml:space="preserve">de </w:t>
      </w:r>
      <w:r w:rsidR="00CF3C54" w:rsidRPr="00470C7C">
        <w:rPr>
          <w:rFonts w:eastAsia="Calibri" w:cs="Times New Roman"/>
          <w:szCs w:val="20"/>
        </w:rPr>
        <w:t xml:space="preserve">conformidad con </w:t>
      </w:r>
      <w:r w:rsidR="00F727E4" w:rsidRPr="00470C7C">
        <w:rPr>
          <w:rFonts w:eastAsia="Calibri" w:cs="Times New Roman"/>
          <w:szCs w:val="20"/>
        </w:rPr>
        <w:t>la evolución del fenómeno de la</w:t>
      </w:r>
      <w:r w:rsidR="00CF3C54" w:rsidRPr="00470C7C">
        <w:rPr>
          <w:rFonts w:eastAsia="Calibri" w:cs="Times New Roman"/>
          <w:szCs w:val="20"/>
        </w:rPr>
        <w:t xml:space="preserve"> trata de seres humanos</w:t>
      </w:r>
      <w:r w:rsidR="00F727E4" w:rsidRPr="00470C7C">
        <w:rPr>
          <w:rFonts w:eastAsia="Calibri" w:cs="Times New Roman"/>
          <w:szCs w:val="20"/>
        </w:rPr>
        <w:t xml:space="preserve"> en nuestras sociedades. </w:t>
      </w:r>
    </w:p>
    <w:p w14:paraId="62773842" w14:textId="77777777" w:rsidR="00CF3C54" w:rsidRPr="00470C7C" w:rsidRDefault="00CF3C54" w:rsidP="00ED3AD0">
      <w:pPr>
        <w:tabs>
          <w:tab w:val="clear" w:pos="4419"/>
          <w:tab w:val="clear" w:pos="8838"/>
        </w:tabs>
        <w:jc w:val="both"/>
        <w:rPr>
          <w:rFonts w:eastAsia="Calibri" w:cs="Times New Roman"/>
          <w:szCs w:val="20"/>
          <w:u w:val="single"/>
        </w:rPr>
      </w:pPr>
    </w:p>
    <w:p w14:paraId="12B63789" w14:textId="77777777" w:rsidR="00F727E4" w:rsidRPr="00470C7C" w:rsidRDefault="0018065A" w:rsidP="00F727E4">
      <w:pPr>
        <w:numPr>
          <w:ilvl w:val="0"/>
          <w:numId w:val="1"/>
        </w:numPr>
        <w:tabs>
          <w:tab w:val="clear" w:pos="4419"/>
          <w:tab w:val="clear" w:pos="8838"/>
        </w:tabs>
        <w:jc w:val="both"/>
        <w:rPr>
          <w:rFonts w:eastAsia="Calibri" w:cs="Times New Roman"/>
          <w:szCs w:val="20"/>
        </w:rPr>
      </w:pPr>
      <w:r w:rsidRPr="00470C7C">
        <w:rPr>
          <w:rFonts w:eastAsia="Calibri" w:cs="Times New Roman"/>
          <w:szCs w:val="20"/>
        </w:rPr>
        <w:t xml:space="preserve">Por lo tanto, la prohibición de </w:t>
      </w:r>
      <w:r w:rsidR="0038138B" w:rsidRPr="00470C7C">
        <w:rPr>
          <w:rFonts w:eastAsia="Calibri" w:cs="Times New Roman"/>
          <w:szCs w:val="20"/>
        </w:rPr>
        <w:t>“</w:t>
      </w:r>
      <w:r w:rsidR="008F445E" w:rsidRPr="00470C7C">
        <w:rPr>
          <w:rFonts w:eastAsia="Calibri" w:cs="Times New Roman"/>
          <w:szCs w:val="20"/>
        </w:rPr>
        <w:t xml:space="preserve">la </w:t>
      </w:r>
      <w:r w:rsidRPr="00470C7C">
        <w:rPr>
          <w:rFonts w:eastAsia="Calibri" w:cs="Times New Roman"/>
          <w:szCs w:val="20"/>
        </w:rPr>
        <w:t xml:space="preserve">trata de esclavos y </w:t>
      </w:r>
      <w:r w:rsidR="0099000B" w:rsidRPr="00470C7C">
        <w:rPr>
          <w:rFonts w:eastAsia="Calibri" w:cs="Times New Roman"/>
          <w:szCs w:val="20"/>
        </w:rPr>
        <w:t xml:space="preserve">la trata </w:t>
      </w:r>
      <w:r w:rsidRPr="00470C7C">
        <w:rPr>
          <w:rFonts w:eastAsia="Calibri" w:cs="Times New Roman"/>
          <w:szCs w:val="20"/>
        </w:rPr>
        <w:t>de mujeres</w:t>
      </w:r>
      <w:r w:rsidR="0038138B" w:rsidRPr="00470C7C">
        <w:rPr>
          <w:rFonts w:eastAsia="Calibri" w:cs="Times New Roman"/>
          <w:szCs w:val="20"/>
        </w:rPr>
        <w:t xml:space="preserve">” </w:t>
      </w:r>
      <w:r w:rsidR="00DB1C1D" w:rsidRPr="00470C7C">
        <w:rPr>
          <w:rFonts w:eastAsia="Calibri" w:cs="Times New Roman"/>
          <w:szCs w:val="20"/>
        </w:rPr>
        <w:t xml:space="preserve">contenida en el artículo 6.1 </w:t>
      </w:r>
      <w:r w:rsidRPr="00470C7C">
        <w:rPr>
          <w:rFonts w:eastAsia="Calibri" w:cs="Times New Roman"/>
          <w:szCs w:val="20"/>
        </w:rPr>
        <w:t xml:space="preserve">de la Convención Americana </w:t>
      </w:r>
      <w:r w:rsidR="00F727E4" w:rsidRPr="00470C7C">
        <w:rPr>
          <w:rFonts w:eastAsia="Calibri" w:cs="Times New Roman"/>
          <w:szCs w:val="20"/>
        </w:rPr>
        <w:t xml:space="preserve">se refiere a: </w:t>
      </w:r>
    </w:p>
    <w:p w14:paraId="737D4A66" w14:textId="77777777" w:rsidR="00F727E4" w:rsidRPr="00470C7C" w:rsidRDefault="00F727E4" w:rsidP="00F727E4">
      <w:pPr>
        <w:tabs>
          <w:tab w:val="clear" w:pos="4419"/>
          <w:tab w:val="clear" w:pos="8838"/>
        </w:tabs>
        <w:jc w:val="both"/>
        <w:rPr>
          <w:rFonts w:eastAsia="Calibri" w:cs="Times New Roman"/>
          <w:szCs w:val="20"/>
        </w:rPr>
      </w:pPr>
    </w:p>
    <w:p w14:paraId="289C1DC6" w14:textId="77777777" w:rsidR="00F727E4" w:rsidRPr="00470C7C" w:rsidRDefault="00F727E4" w:rsidP="008B0BCC">
      <w:pPr>
        <w:numPr>
          <w:ilvl w:val="0"/>
          <w:numId w:val="11"/>
        </w:numPr>
        <w:tabs>
          <w:tab w:val="clear" w:pos="4419"/>
          <w:tab w:val="clear" w:pos="8838"/>
        </w:tabs>
        <w:spacing w:after="120"/>
        <w:ind w:left="709" w:right="902" w:firstLine="0"/>
        <w:jc w:val="both"/>
        <w:rPr>
          <w:rFonts w:eastAsia="Calibri" w:cs="Times New Roman"/>
          <w:szCs w:val="20"/>
        </w:rPr>
      </w:pPr>
      <w:r w:rsidRPr="00470C7C">
        <w:rPr>
          <w:rFonts w:eastAsia="Calibri" w:cs="Times New Roman"/>
          <w:szCs w:val="20"/>
        </w:rPr>
        <w:t xml:space="preserve">la captación, el transporte, el traslado, la acogida o la recepción de personas; </w:t>
      </w:r>
    </w:p>
    <w:p w14:paraId="082EEC01" w14:textId="77777777" w:rsidR="00F727E4" w:rsidRPr="00470C7C" w:rsidRDefault="00F727E4" w:rsidP="008B0BCC">
      <w:pPr>
        <w:numPr>
          <w:ilvl w:val="0"/>
          <w:numId w:val="11"/>
        </w:numPr>
        <w:tabs>
          <w:tab w:val="clear" w:pos="4419"/>
          <w:tab w:val="clear" w:pos="8838"/>
        </w:tabs>
        <w:spacing w:after="120"/>
        <w:ind w:left="709" w:right="902" w:firstLine="0"/>
        <w:jc w:val="both"/>
        <w:rPr>
          <w:rFonts w:eastAsia="Calibri" w:cs="Times New Roman"/>
          <w:szCs w:val="20"/>
        </w:rPr>
      </w:pPr>
      <w:r w:rsidRPr="00470C7C">
        <w:rPr>
          <w:rFonts w:eastAsia="Calibri" w:cs="Times New Roman"/>
          <w:szCs w:val="20"/>
        </w:rPr>
        <w:t xml:space="preserve">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Para los menores de 18 años estos requisitos no son condición necesaria para la caracterización de trata; </w:t>
      </w:r>
    </w:p>
    <w:p w14:paraId="0B20A940" w14:textId="77777777" w:rsidR="00F727E4" w:rsidRPr="00470C7C" w:rsidRDefault="00F727E4" w:rsidP="008B0BCC">
      <w:pPr>
        <w:numPr>
          <w:ilvl w:val="0"/>
          <w:numId w:val="11"/>
        </w:numPr>
        <w:tabs>
          <w:tab w:val="clear" w:pos="4419"/>
          <w:tab w:val="clear" w:pos="8838"/>
        </w:tabs>
        <w:ind w:left="709" w:right="899" w:firstLine="0"/>
        <w:jc w:val="both"/>
        <w:rPr>
          <w:rFonts w:eastAsia="Calibri" w:cs="Times New Roman"/>
          <w:szCs w:val="20"/>
        </w:rPr>
      </w:pPr>
      <w:r w:rsidRPr="00470C7C">
        <w:rPr>
          <w:rFonts w:eastAsia="Calibri" w:cs="Times New Roman"/>
          <w:szCs w:val="20"/>
        </w:rPr>
        <w:t>con cualquier fin de explotación</w:t>
      </w:r>
      <w:r w:rsidRPr="00470C7C">
        <w:rPr>
          <w:rFonts w:eastAsia="Calibri" w:cs="Times New Roman"/>
          <w:szCs w:val="20"/>
          <w:vertAlign w:val="superscript"/>
        </w:rPr>
        <w:footnoteReference w:id="438"/>
      </w:r>
      <w:r w:rsidRPr="00470C7C">
        <w:rPr>
          <w:rFonts w:eastAsia="Calibri" w:cs="Times New Roman"/>
          <w:szCs w:val="20"/>
        </w:rPr>
        <w:t>.</w:t>
      </w:r>
    </w:p>
    <w:p w14:paraId="7F09A947" w14:textId="77777777" w:rsidR="00F727E4" w:rsidRPr="00470C7C" w:rsidRDefault="00F727E4" w:rsidP="00F727E4">
      <w:pPr>
        <w:tabs>
          <w:tab w:val="clear" w:pos="4419"/>
          <w:tab w:val="clear" w:pos="8838"/>
        </w:tabs>
        <w:jc w:val="both"/>
        <w:rPr>
          <w:rFonts w:eastAsia="Calibri" w:cs="Times New Roman"/>
          <w:szCs w:val="20"/>
        </w:rPr>
      </w:pPr>
    </w:p>
    <w:p w14:paraId="30B00F5E" w14:textId="77777777" w:rsidR="00207197" w:rsidRPr="00470C7C" w:rsidRDefault="00B21658" w:rsidP="005D2CE2">
      <w:pPr>
        <w:pStyle w:val="Ttulo3"/>
      </w:pPr>
      <w:bookmarkStart w:id="355" w:name="_Toc464813964"/>
      <w:r w:rsidRPr="00470C7C">
        <w:t>B.</w:t>
      </w:r>
      <w:r w:rsidR="005D2CE2" w:rsidRPr="00470C7C">
        <w:t>6</w:t>
      </w:r>
      <w:r w:rsidR="00DC2886" w:rsidRPr="00470C7C">
        <w:t>.</w:t>
      </w:r>
      <w:r w:rsidR="00207197" w:rsidRPr="00470C7C">
        <w:t xml:space="preserve"> Trabajo Forzoso u Obligatorio</w:t>
      </w:r>
      <w:bookmarkEnd w:id="355"/>
    </w:p>
    <w:p w14:paraId="6D4A4550" w14:textId="77777777" w:rsidR="00207197" w:rsidRPr="00470C7C" w:rsidRDefault="00207197" w:rsidP="00140440">
      <w:pPr>
        <w:jc w:val="both"/>
        <w:rPr>
          <w:szCs w:val="20"/>
        </w:rPr>
      </w:pPr>
    </w:p>
    <w:p w14:paraId="555208CB" w14:textId="77777777" w:rsidR="00207197" w:rsidRPr="00470C7C" w:rsidRDefault="00207197" w:rsidP="00F37DC4">
      <w:pPr>
        <w:pStyle w:val="Prrafodelista"/>
        <w:numPr>
          <w:ilvl w:val="0"/>
          <w:numId w:val="1"/>
        </w:numPr>
        <w:contextualSpacing w:val="0"/>
        <w:rPr>
          <w:lang w:val="es-ES_tradnl"/>
        </w:rPr>
      </w:pPr>
      <w:r w:rsidRPr="00470C7C">
        <w:rPr>
          <w:lang w:val="es-ES_tradnl"/>
        </w:rPr>
        <w:t xml:space="preserve">Con respecto al trabajo forzoso u obligatorio, prohibido en el artículo 6.2 de la Convención Americana, la Corte ya se ha pronunciado sobre el contenido y alcance de dicha norma en el </w:t>
      </w:r>
      <w:r w:rsidRPr="00470C7C">
        <w:rPr>
          <w:i/>
          <w:lang w:val="es-ES_tradnl"/>
        </w:rPr>
        <w:t xml:space="preserve">Caso </w:t>
      </w:r>
      <w:r w:rsidR="00915049" w:rsidRPr="00470C7C">
        <w:rPr>
          <w:i/>
          <w:lang w:val="es-ES_tradnl"/>
        </w:rPr>
        <w:t xml:space="preserve">de las </w:t>
      </w:r>
      <w:r w:rsidRPr="00470C7C">
        <w:rPr>
          <w:i/>
          <w:lang w:val="es-ES_tradnl"/>
        </w:rPr>
        <w:t>Masacres de Ituango Vs. Colombia</w:t>
      </w:r>
      <w:r w:rsidRPr="00470C7C">
        <w:rPr>
          <w:rStyle w:val="Refdenotaalpie"/>
          <w:lang w:val="es-ES_tradnl"/>
        </w:rPr>
        <w:footnoteReference w:id="439"/>
      </w:r>
      <w:r w:rsidRPr="00470C7C">
        <w:rPr>
          <w:lang w:val="es-ES_tradnl"/>
        </w:rPr>
        <w:t xml:space="preserve">. En esa Sentencia, la Corte aceptó la definición de trabajo forzoso contenida en el artículo 2.1 del Convenio No. 29 de la OIT, la cual dispone que:  </w:t>
      </w:r>
    </w:p>
    <w:p w14:paraId="472841F7" w14:textId="77777777" w:rsidR="00207197" w:rsidRPr="00470C7C" w:rsidRDefault="00207197" w:rsidP="00140440">
      <w:pPr>
        <w:jc w:val="both"/>
        <w:rPr>
          <w:lang w:val="es-ES_tradnl"/>
        </w:rPr>
      </w:pPr>
    </w:p>
    <w:p w14:paraId="6E7781FC" w14:textId="77777777" w:rsidR="00207197" w:rsidRPr="00470C7C" w:rsidRDefault="00207197" w:rsidP="00140440">
      <w:pPr>
        <w:pStyle w:val="Textodebloque"/>
        <w:jc w:val="both"/>
      </w:pPr>
      <w:r w:rsidRPr="00470C7C">
        <w:t>[l]a expresión “trabajo forzoso” u obligatorio designa todo trabajo o servicio exigido a un individuo bajo amenaza de una pena cualquiera y para el cual dicho individuo no se ofrece voluntariamente.</w:t>
      </w:r>
    </w:p>
    <w:p w14:paraId="79C297E8" w14:textId="77777777" w:rsidR="00207197" w:rsidRPr="00470C7C" w:rsidRDefault="00207197" w:rsidP="00140440">
      <w:pPr>
        <w:jc w:val="both"/>
        <w:rPr>
          <w:lang w:val="es-ES_tradnl"/>
        </w:rPr>
      </w:pPr>
    </w:p>
    <w:p w14:paraId="394A86C2" w14:textId="77777777" w:rsidR="00207197" w:rsidRPr="00470C7C" w:rsidRDefault="00207197" w:rsidP="00F37DC4">
      <w:pPr>
        <w:pStyle w:val="Prrafodelista"/>
        <w:numPr>
          <w:ilvl w:val="0"/>
          <w:numId w:val="1"/>
        </w:numPr>
        <w:contextualSpacing w:val="0"/>
        <w:rPr>
          <w:lang w:val="es-ES_tradnl"/>
        </w:rPr>
      </w:pPr>
      <w:r w:rsidRPr="00470C7C">
        <w:rPr>
          <w:lang w:val="es-ES_tradnl"/>
        </w:rPr>
        <w:t>En dicha Sentencia, el Tribunal consideró que la definición de trabajo forzoso u obligatorio consta de dos elementos básicos: que el trabajo o el servicio se exige “bajo amenaza de una pena”, y que estos se llevan a cabo de forma involuntaria</w:t>
      </w:r>
      <w:r w:rsidRPr="00470C7C">
        <w:rPr>
          <w:rStyle w:val="Refdenotaalpie"/>
          <w:lang w:val="es-ES_tradnl"/>
        </w:rPr>
        <w:footnoteReference w:id="440"/>
      </w:r>
      <w:r w:rsidRPr="00470C7C">
        <w:rPr>
          <w:lang w:val="es-ES_tradnl"/>
        </w:rPr>
        <w:t>.  Asimismo, ante las circunstancia</w:t>
      </w:r>
      <w:r w:rsidR="00915049" w:rsidRPr="00470C7C">
        <w:rPr>
          <w:lang w:val="es-ES_tradnl"/>
        </w:rPr>
        <w:t>s</w:t>
      </w:r>
      <w:r w:rsidRPr="00470C7C">
        <w:rPr>
          <w:lang w:val="es-ES_tradnl"/>
        </w:rPr>
        <w:t xml:space="preserve"> del caso, el Tribunal consideró que para constituir una violación del artículo 6.2 de la Convención sería necesario que la presunta violación sea atribuible a agentes del Estado, ya sea por medio de la participación directa de éstos o por su aquiescencia en los hechos</w:t>
      </w:r>
      <w:r w:rsidRPr="00470C7C">
        <w:rPr>
          <w:rStyle w:val="Refdenotaalpie"/>
          <w:lang w:val="es-ES_tradnl"/>
        </w:rPr>
        <w:footnoteReference w:id="441"/>
      </w:r>
      <w:r w:rsidRPr="00470C7C">
        <w:rPr>
          <w:lang w:val="es-ES_tradnl"/>
        </w:rPr>
        <w:t>.  La Corte procederá a analizar los hechos del presente caso a la luz de estos tres elementos de juicio.</w:t>
      </w:r>
    </w:p>
    <w:p w14:paraId="7B209478" w14:textId="77777777" w:rsidR="00207197" w:rsidRPr="00470C7C" w:rsidRDefault="00207197" w:rsidP="00140440">
      <w:pPr>
        <w:jc w:val="both"/>
        <w:rPr>
          <w:lang w:val="es-ES_tradnl"/>
        </w:rPr>
      </w:pPr>
    </w:p>
    <w:p w14:paraId="2BECB130" w14:textId="77777777" w:rsidR="00207197" w:rsidRPr="00470C7C" w:rsidRDefault="00207197" w:rsidP="00F37DC4">
      <w:pPr>
        <w:pStyle w:val="Prrafodelista"/>
        <w:numPr>
          <w:ilvl w:val="0"/>
          <w:numId w:val="1"/>
        </w:numPr>
        <w:contextualSpacing w:val="0"/>
        <w:rPr>
          <w:lang w:val="es-ES_tradnl"/>
        </w:rPr>
      </w:pPr>
      <w:r w:rsidRPr="00470C7C">
        <w:rPr>
          <w:lang w:val="es-ES_tradnl"/>
        </w:rPr>
        <w:t>Respecto a la “amenaza de una pena”, puede consistir, entre otros, en la presencia real y actual de una intimidación, que puede asumir formas y graduaciones heterogéneas, de las cuales las más extremas son aquellas que implican coacción, violencia física, aislamiento o confinación, así como la amenaza de muerte dirigida a la víctima o a sus familiares</w:t>
      </w:r>
      <w:r w:rsidRPr="00470C7C">
        <w:rPr>
          <w:vertAlign w:val="superscript"/>
          <w:lang w:val="es-ES_tradnl"/>
        </w:rPr>
        <w:footnoteReference w:id="442"/>
      </w:r>
      <w:r w:rsidRPr="00470C7C">
        <w:rPr>
          <w:lang w:val="es-ES_tradnl"/>
        </w:rPr>
        <w:t>. Y en lo que atañe a la “falta de voluntad para realizar el trabajo o servicio”, esta consiste en la ausencia de consentimiento o de libre elección en el momento del comienzo o continuación de la situación de trabajo forzoso. Esta puede darse por distintas causas, tales como la privación ilegal de libertad, el engaño o la coacción psicológica</w:t>
      </w:r>
      <w:r w:rsidRPr="00470C7C">
        <w:rPr>
          <w:rStyle w:val="Refdenotaalpie"/>
          <w:lang w:val="es-ES_tradnl"/>
        </w:rPr>
        <w:footnoteReference w:id="443"/>
      </w:r>
      <w:r w:rsidRPr="00470C7C">
        <w:rPr>
          <w:lang w:val="es-ES_tradnl"/>
        </w:rPr>
        <w:t xml:space="preserve">. En relación con el vínculo con agentes del Estado, la Corte considera que dicho criterio se restringe a la obligación de respetar la prohibición del trabajo forzoso, lo que era relevante en el </w:t>
      </w:r>
      <w:r w:rsidRPr="00470C7C">
        <w:rPr>
          <w:i/>
          <w:lang w:val="es-ES_tradnl"/>
        </w:rPr>
        <w:t xml:space="preserve">Caso </w:t>
      </w:r>
      <w:r w:rsidR="00915049" w:rsidRPr="00470C7C">
        <w:rPr>
          <w:i/>
          <w:lang w:val="es-ES_tradnl"/>
        </w:rPr>
        <w:t xml:space="preserve">de las </w:t>
      </w:r>
      <w:r w:rsidRPr="00470C7C">
        <w:rPr>
          <w:i/>
          <w:lang w:val="es-ES_tradnl"/>
        </w:rPr>
        <w:t>Masacres de Ituango</w:t>
      </w:r>
      <w:r w:rsidRPr="00470C7C">
        <w:rPr>
          <w:lang w:val="es-ES_tradnl"/>
        </w:rPr>
        <w:t xml:space="preserve"> en virtud de sus circunstancias fácticas específicas. Pero ese criterio no puede ser sostenido cuando la violación alegada se refiere a las obligaciones de prevención y garantía de un derecho humano establecido en la Convención Americana, por lo que no resulta necesaria la atribución a agentes del Estado para configurar trabajo forzoso. A ese respecto, en el próximo acápite la Corte establecerá las obligaciones del Estado en materia de prohibición de esclavitud, servidumbre, trata de personas y trabajo forzoso. </w:t>
      </w:r>
    </w:p>
    <w:p w14:paraId="32564000" w14:textId="77777777" w:rsidR="00207197" w:rsidRPr="00470C7C" w:rsidRDefault="00207197" w:rsidP="00140440">
      <w:pPr>
        <w:jc w:val="both"/>
        <w:rPr>
          <w:szCs w:val="20"/>
          <w:lang w:val="es-ES_tradnl"/>
        </w:rPr>
      </w:pPr>
    </w:p>
    <w:p w14:paraId="31E2175E" w14:textId="77777777" w:rsidR="00207197" w:rsidRPr="00470C7C" w:rsidRDefault="00B21658" w:rsidP="005D2CE2">
      <w:pPr>
        <w:pStyle w:val="Ttulo3"/>
        <w:rPr>
          <w:lang w:val="es-ES"/>
        </w:rPr>
      </w:pPr>
      <w:bookmarkStart w:id="356" w:name="_Toc464813965"/>
      <w:r w:rsidRPr="00470C7C">
        <w:t>B.</w:t>
      </w:r>
      <w:r w:rsidR="005D2CE2" w:rsidRPr="00470C7C">
        <w:t>7</w:t>
      </w:r>
      <w:r w:rsidR="00DC2886" w:rsidRPr="00470C7C">
        <w:t>.</w:t>
      </w:r>
      <w:r w:rsidR="00207197" w:rsidRPr="00470C7C">
        <w:t xml:space="preserve"> Los hechos del presente caso a la luz de los estándares internacionales</w:t>
      </w:r>
      <w:bookmarkEnd w:id="356"/>
    </w:p>
    <w:p w14:paraId="49A7430B" w14:textId="77777777" w:rsidR="00207197" w:rsidRPr="00470C7C" w:rsidRDefault="00207197" w:rsidP="00140440">
      <w:pPr>
        <w:jc w:val="both"/>
        <w:rPr>
          <w:szCs w:val="20"/>
        </w:rPr>
      </w:pPr>
    </w:p>
    <w:p w14:paraId="30C3EB4B" w14:textId="77777777" w:rsidR="00207197" w:rsidRPr="00470C7C" w:rsidRDefault="00207197" w:rsidP="00F37DC4">
      <w:pPr>
        <w:pStyle w:val="Prrafodelista"/>
        <w:numPr>
          <w:ilvl w:val="0"/>
          <w:numId w:val="1"/>
        </w:numPr>
        <w:contextualSpacing w:val="0"/>
      </w:pPr>
      <w:r w:rsidRPr="00470C7C">
        <w:t>A continuación la Corte analizará los hechos del presente caso para determinar si correspond</w:t>
      </w:r>
      <w:r w:rsidR="00C235D3" w:rsidRPr="00470C7C">
        <w:t>ieron</w:t>
      </w:r>
      <w:r w:rsidRPr="00470C7C">
        <w:t xml:space="preserve"> a alguna de las situaciones precisadas en los acápites anteriores. Una vez determinado el tipo de </w:t>
      </w:r>
      <w:r w:rsidR="00F727E4" w:rsidRPr="00470C7C">
        <w:t xml:space="preserve">situación </w:t>
      </w:r>
      <w:r w:rsidRPr="00470C7C">
        <w:t>a</w:t>
      </w:r>
      <w:r w:rsidR="00C235D3" w:rsidRPr="00470C7C">
        <w:t>l</w:t>
      </w:r>
      <w:r w:rsidRPr="00470C7C">
        <w:t xml:space="preserve"> que las presuntas víctimas habrían sido sujetas en la Hacienda Brasil Verde, la Corte expondrá las obligaciones del Estado que podrían haber sido violadas en el presente caso.</w:t>
      </w:r>
      <w:r w:rsidR="00F727E4" w:rsidRPr="00470C7C">
        <w:t xml:space="preserve"> </w:t>
      </w:r>
    </w:p>
    <w:p w14:paraId="67265E1B" w14:textId="77777777" w:rsidR="00207197" w:rsidRPr="00470C7C" w:rsidRDefault="00207197" w:rsidP="00140440">
      <w:pPr>
        <w:pStyle w:val="Prrafodelista"/>
        <w:ind w:left="0"/>
      </w:pPr>
      <w:r w:rsidRPr="00470C7C">
        <w:t xml:space="preserve"> </w:t>
      </w:r>
    </w:p>
    <w:p w14:paraId="45F5250C" w14:textId="77777777" w:rsidR="00207197" w:rsidRPr="00470C7C" w:rsidRDefault="00207197" w:rsidP="00EC5C1A">
      <w:pPr>
        <w:pStyle w:val="Prrafodelista"/>
        <w:numPr>
          <w:ilvl w:val="0"/>
          <w:numId w:val="1"/>
        </w:numPr>
        <w:contextualSpacing w:val="0"/>
      </w:pPr>
      <w:r w:rsidRPr="00470C7C">
        <w:t>Inicialmente, es necesario hacer notar que no hay controversia entre las partes sobre la evolución histórica del fenómeno de la esclavitud en Brasil, en particular en el ambiente rural. Tampoco hay controversia sobre las denuncias realizadas por la Comisión Pastoral de la Tierra y otras organizaciones a partir de la década de 1970, sobre la ocurrencia de “trabajo esclavo” en las regiones norte y noreste del país, ni sobre la hacienda Brasil Verde específicamente, a partir del año 1988 hasta el año 2000 (</w:t>
      </w:r>
      <w:r w:rsidRPr="00470C7C">
        <w:rPr>
          <w:i/>
        </w:rPr>
        <w:t xml:space="preserve">supra </w:t>
      </w:r>
      <w:proofErr w:type="spellStart"/>
      <w:r w:rsidRPr="00470C7C">
        <w:t>párr</w:t>
      </w:r>
      <w:r w:rsidR="00193110" w:rsidRPr="00470C7C">
        <w:t>s</w:t>
      </w:r>
      <w:proofErr w:type="spellEnd"/>
      <w:r w:rsidRPr="00470C7C">
        <w:t xml:space="preserve">. </w:t>
      </w:r>
      <w:r w:rsidR="00CE22AD" w:rsidRPr="00470C7C">
        <w:t>110</w:t>
      </w:r>
      <w:r w:rsidRPr="00470C7C">
        <w:t xml:space="preserve"> a </w:t>
      </w:r>
      <w:r w:rsidR="00CE22AD" w:rsidRPr="00470C7C">
        <w:t>115</w:t>
      </w:r>
      <w:r w:rsidRPr="00470C7C">
        <w:t xml:space="preserve">). Finalmente, la Corte considera que no hay controversia respecto de que agentes estatales no participaron activa y directamente en </w:t>
      </w:r>
      <w:r w:rsidR="00B16982" w:rsidRPr="00470C7C">
        <w:t xml:space="preserve">el sometimiento de los trabajadores a la alegada situación de “trabajo esclavo” en la Hacienda Brasil Verde, </w:t>
      </w:r>
      <w:r w:rsidRPr="00470C7C">
        <w:t xml:space="preserve"> sino terceros particulares. </w:t>
      </w:r>
    </w:p>
    <w:p w14:paraId="689B2522" w14:textId="77777777" w:rsidR="00207197" w:rsidRPr="00470C7C" w:rsidRDefault="00207197" w:rsidP="00140440">
      <w:pPr>
        <w:pStyle w:val="Prrafodelista"/>
        <w:ind w:left="0"/>
      </w:pPr>
    </w:p>
    <w:p w14:paraId="22EC7926" w14:textId="77777777" w:rsidR="00207197" w:rsidRPr="00470C7C" w:rsidRDefault="00207197" w:rsidP="00F37DC4">
      <w:pPr>
        <w:pStyle w:val="Prrafodelista"/>
        <w:numPr>
          <w:ilvl w:val="0"/>
          <w:numId w:val="1"/>
        </w:numPr>
        <w:contextualSpacing w:val="0"/>
      </w:pPr>
      <w:r w:rsidRPr="00470C7C">
        <w:t xml:space="preserve">En lo que respecta a los hechos específicos del caso que fueron alegados como violación al artículo 6.1 de la Convención Americana, tras estudiar detenidamente el expediente y las pruebas presentadas por las partes en el presente litigio, la Corte estableció los hechos relevantes que se detallan a continuación. </w:t>
      </w:r>
    </w:p>
    <w:p w14:paraId="64F05A94" w14:textId="77777777" w:rsidR="00207197" w:rsidRPr="00470C7C" w:rsidRDefault="00207197" w:rsidP="00140440">
      <w:pPr>
        <w:pStyle w:val="Prrafodelista"/>
        <w:ind w:left="0"/>
      </w:pPr>
    </w:p>
    <w:p w14:paraId="73CFCD4F" w14:textId="77777777" w:rsidR="00207197" w:rsidRPr="00470C7C" w:rsidRDefault="00207197" w:rsidP="00F37DC4">
      <w:pPr>
        <w:pStyle w:val="Prrafodelista"/>
        <w:numPr>
          <w:ilvl w:val="0"/>
          <w:numId w:val="1"/>
        </w:numPr>
        <w:contextualSpacing w:val="0"/>
      </w:pPr>
      <w:r w:rsidRPr="00470C7C">
        <w:t xml:space="preserve">Durante </w:t>
      </w:r>
      <w:r w:rsidR="00193110" w:rsidRPr="00470C7C">
        <w:t xml:space="preserve">el </w:t>
      </w:r>
      <w:r w:rsidRPr="00470C7C">
        <w:t xml:space="preserve">mes de febrero </w:t>
      </w:r>
      <w:r w:rsidR="007B5AFA" w:rsidRPr="00470C7C">
        <w:t xml:space="preserve">de </w:t>
      </w:r>
      <w:r w:rsidRPr="00470C7C">
        <w:t>2000, el</w:t>
      </w:r>
      <w:r w:rsidR="00DB1C1D" w:rsidRPr="00470C7C">
        <w:rPr>
          <w:i/>
        </w:rPr>
        <w:t xml:space="preserve"> gato </w:t>
      </w:r>
      <w:r w:rsidRPr="00470C7C">
        <w:t>conocido como “</w:t>
      </w:r>
      <w:proofErr w:type="spellStart"/>
      <w:r w:rsidRPr="00470C7C">
        <w:t>Meladinho</w:t>
      </w:r>
      <w:proofErr w:type="spellEnd"/>
      <w:r w:rsidRPr="00470C7C">
        <w:t xml:space="preserve">” reclutó a </w:t>
      </w:r>
      <w:r w:rsidR="00EA26F4" w:rsidRPr="00470C7C">
        <w:t xml:space="preserve">decenas de </w:t>
      </w:r>
      <w:r w:rsidRPr="00470C7C">
        <w:t>trabajadores en el Municipio de Barras, Estado de Piauí, para trabajar en la Hacienda Brasil Verde</w:t>
      </w:r>
      <w:r w:rsidR="0073312C" w:rsidRPr="00470C7C">
        <w:t xml:space="preserve"> (</w:t>
      </w:r>
      <w:r w:rsidR="0073312C" w:rsidRPr="00470C7C">
        <w:rPr>
          <w:i/>
        </w:rPr>
        <w:t xml:space="preserve">supra </w:t>
      </w:r>
      <w:r w:rsidR="0073312C" w:rsidRPr="00470C7C">
        <w:t xml:space="preserve">párr. </w:t>
      </w:r>
      <w:r w:rsidR="00CE22AD" w:rsidRPr="00470C7C">
        <w:t>164</w:t>
      </w:r>
      <w:r w:rsidR="0073312C" w:rsidRPr="00470C7C">
        <w:t>)</w:t>
      </w:r>
      <w:r w:rsidRPr="00470C7C">
        <w:t xml:space="preserve">. </w:t>
      </w:r>
    </w:p>
    <w:p w14:paraId="06043EF9" w14:textId="77777777" w:rsidR="00207197" w:rsidRPr="00470C7C" w:rsidRDefault="00207197" w:rsidP="00140440">
      <w:pPr>
        <w:pStyle w:val="Prrafodelista"/>
        <w:ind w:left="0"/>
      </w:pPr>
    </w:p>
    <w:p w14:paraId="6BF07FE4" w14:textId="77777777" w:rsidR="00207197" w:rsidRPr="00470C7C" w:rsidRDefault="00207197" w:rsidP="00F37DC4">
      <w:pPr>
        <w:pStyle w:val="Prrafodelista"/>
        <w:numPr>
          <w:ilvl w:val="0"/>
          <w:numId w:val="1"/>
        </w:numPr>
        <w:contextualSpacing w:val="0"/>
      </w:pPr>
      <w:r w:rsidRPr="00470C7C">
        <w:t>Para llegar a la Hacienda Brasil Verde, los trabajadores reclutados viajar</w:t>
      </w:r>
      <w:r w:rsidR="0073312C" w:rsidRPr="00470C7C">
        <w:t>on</w:t>
      </w:r>
      <w:r w:rsidRPr="00470C7C">
        <w:t xml:space="preserve"> durante aproximadamente tres días en bus, tren y camión</w:t>
      </w:r>
      <w:r w:rsidR="0073312C" w:rsidRPr="00470C7C">
        <w:t xml:space="preserve"> (</w:t>
      </w:r>
      <w:r w:rsidR="0073312C" w:rsidRPr="00470C7C">
        <w:rPr>
          <w:i/>
        </w:rPr>
        <w:t xml:space="preserve">supra </w:t>
      </w:r>
      <w:r w:rsidR="0073312C" w:rsidRPr="00470C7C">
        <w:t xml:space="preserve">párr. </w:t>
      </w:r>
      <w:r w:rsidR="00CE22AD" w:rsidRPr="00470C7C">
        <w:t>165</w:t>
      </w:r>
      <w:r w:rsidR="0073312C" w:rsidRPr="00470C7C">
        <w:t>)</w:t>
      </w:r>
      <w:r w:rsidRPr="00470C7C">
        <w:t xml:space="preserve">. Además, los trabajadores tuvieron que permanecer una noche en un hotel situado en la ciudad de </w:t>
      </w:r>
      <w:proofErr w:type="spellStart"/>
      <w:r w:rsidRPr="00470C7C">
        <w:t>Xinguara</w:t>
      </w:r>
      <w:proofErr w:type="spellEnd"/>
      <w:r w:rsidRPr="00470C7C">
        <w:t xml:space="preserve">, con </w:t>
      </w:r>
      <w:r w:rsidR="00C235D3" w:rsidRPr="00470C7C">
        <w:t>lo</w:t>
      </w:r>
      <w:r w:rsidRPr="00470C7C">
        <w:t xml:space="preserve"> cual quedaron endeudados</w:t>
      </w:r>
      <w:r w:rsidR="00EC5C1A" w:rsidRPr="00470C7C">
        <w:t xml:space="preserve"> </w:t>
      </w:r>
      <w:r w:rsidR="0073312C" w:rsidRPr="00470C7C">
        <w:t>(</w:t>
      </w:r>
      <w:r w:rsidR="0073312C" w:rsidRPr="00470C7C">
        <w:rPr>
          <w:i/>
        </w:rPr>
        <w:t xml:space="preserve">supra </w:t>
      </w:r>
      <w:r w:rsidR="0073312C" w:rsidRPr="00470C7C">
        <w:t xml:space="preserve">párr. </w:t>
      </w:r>
      <w:r w:rsidR="00CE22AD" w:rsidRPr="00470C7C">
        <w:t>165</w:t>
      </w:r>
      <w:r w:rsidR="0073312C" w:rsidRPr="00470C7C">
        <w:t>)</w:t>
      </w:r>
      <w:r w:rsidRPr="00470C7C">
        <w:t>.</w:t>
      </w:r>
    </w:p>
    <w:p w14:paraId="046738D4" w14:textId="77777777" w:rsidR="00207197" w:rsidRPr="00470C7C" w:rsidRDefault="00207197" w:rsidP="00140440">
      <w:pPr>
        <w:pStyle w:val="Prrafodelista"/>
        <w:ind w:left="0"/>
      </w:pPr>
    </w:p>
    <w:p w14:paraId="06FBDF2E" w14:textId="77777777" w:rsidR="00207197" w:rsidRPr="00470C7C" w:rsidRDefault="00207197" w:rsidP="00F37DC4">
      <w:pPr>
        <w:pStyle w:val="Prrafodelista"/>
        <w:numPr>
          <w:ilvl w:val="0"/>
          <w:numId w:val="1"/>
        </w:numPr>
        <w:contextualSpacing w:val="0"/>
      </w:pPr>
      <w:r w:rsidRPr="00470C7C">
        <w:t xml:space="preserve">Cuando los trabajadores llegaron a la Hacienda Brasil Verde entregaron sus cédulas de trabajo al gerente, </w:t>
      </w:r>
      <w:r w:rsidR="00BA5F4E" w:rsidRPr="00470C7C">
        <w:t xml:space="preserve">quien </w:t>
      </w:r>
      <w:r w:rsidRPr="00470C7C">
        <w:t>los obligó a firmar documentos en blanco. Dicha práctica era conocida por el Estado en virtud de inspecciones anteriores</w:t>
      </w:r>
      <w:r w:rsidR="004C75FC" w:rsidRPr="00470C7C">
        <w:t xml:space="preserve"> (</w:t>
      </w:r>
      <w:r w:rsidR="004C75FC" w:rsidRPr="00470C7C">
        <w:rPr>
          <w:i/>
        </w:rPr>
        <w:t xml:space="preserve">supra </w:t>
      </w:r>
      <w:r w:rsidR="004C75FC" w:rsidRPr="00470C7C">
        <w:t>párr. 166)</w:t>
      </w:r>
      <w:r w:rsidRPr="00470C7C">
        <w:rPr>
          <w:rStyle w:val="Refdenotaalpie"/>
        </w:rPr>
        <w:footnoteReference w:id="444"/>
      </w:r>
      <w:r w:rsidR="00C25F96" w:rsidRPr="00470C7C">
        <w:t>.</w:t>
      </w:r>
      <w:r w:rsidRPr="00470C7C">
        <w:t xml:space="preserve"> Asimismo, en el caso de la presunta víctima </w:t>
      </w:r>
      <w:proofErr w:type="spellStart"/>
      <w:r w:rsidR="00D60654" w:rsidRPr="00470C7C">
        <w:t>Antônio</w:t>
      </w:r>
      <w:proofErr w:type="spellEnd"/>
      <w:r w:rsidR="00D60654" w:rsidRPr="00470C7C">
        <w:t xml:space="preserve"> </w:t>
      </w:r>
      <w:r w:rsidRPr="00470C7C">
        <w:t xml:space="preserve">Francisco da Silva, los encargados alteraron la fecha de nacimiento registrada en su cédula de trabajo para que apareciera como mayor de edad y así pudiera prestar servicios en la hacienda. </w:t>
      </w:r>
    </w:p>
    <w:p w14:paraId="07ADAA1A" w14:textId="77777777" w:rsidR="00207197" w:rsidRPr="00470C7C" w:rsidRDefault="00207197" w:rsidP="00140440">
      <w:pPr>
        <w:pStyle w:val="Prrafodelista"/>
        <w:ind w:left="0"/>
      </w:pPr>
    </w:p>
    <w:p w14:paraId="2C635860" w14:textId="77777777" w:rsidR="00526541" w:rsidRPr="00470C7C" w:rsidRDefault="00BA5F4E" w:rsidP="005512DA">
      <w:pPr>
        <w:pStyle w:val="Prrafodelista"/>
        <w:numPr>
          <w:ilvl w:val="0"/>
          <w:numId w:val="1"/>
        </w:numPr>
        <w:contextualSpacing w:val="0"/>
      </w:pPr>
      <w:r w:rsidRPr="00470C7C">
        <w:t xml:space="preserve">Las declaraciones de los trabajadores demuestran que al llegar a </w:t>
      </w:r>
      <w:r w:rsidR="00207197" w:rsidRPr="00470C7C">
        <w:t xml:space="preserve">la hacienda se percataron de que nada de lo ofrecido </w:t>
      </w:r>
      <w:r w:rsidRPr="00470C7C">
        <w:t>por el</w:t>
      </w:r>
      <w:r w:rsidR="00DB1C1D" w:rsidRPr="00470C7C">
        <w:rPr>
          <w:i/>
        </w:rPr>
        <w:t xml:space="preserve"> gato </w:t>
      </w:r>
      <w:r w:rsidR="00207197" w:rsidRPr="00470C7C">
        <w:t>era cierto</w:t>
      </w:r>
      <w:r w:rsidRPr="00470C7C">
        <w:t xml:space="preserve"> (</w:t>
      </w:r>
      <w:r w:rsidRPr="00470C7C">
        <w:rPr>
          <w:i/>
        </w:rPr>
        <w:t xml:space="preserve">supra </w:t>
      </w:r>
      <w:r w:rsidRPr="00470C7C">
        <w:t xml:space="preserve">párr. </w:t>
      </w:r>
      <w:r w:rsidR="004C75FC" w:rsidRPr="00470C7C">
        <w:t>166</w:t>
      </w:r>
      <w:r w:rsidRPr="00470C7C">
        <w:t>).</w:t>
      </w:r>
      <w:r w:rsidR="005512DA" w:rsidRPr="00470C7C">
        <w:t xml:space="preserve"> </w:t>
      </w:r>
      <w:r w:rsidRPr="00470C7C">
        <w:t>Sus condiciones de vida y de trabajo eran degradantes y antihigiénicas</w:t>
      </w:r>
      <w:r w:rsidR="005512DA" w:rsidRPr="00470C7C">
        <w:t>.  L</w:t>
      </w:r>
      <w:r w:rsidR="00207197" w:rsidRPr="00470C7C">
        <w:t xml:space="preserve">a alimentación </w:t>
      </w:r>
      <w:r w:rsidR="005512DA" w:rsidRPr="00470C7C">
        <w:t xml:space="preserve">que tenían </w:t>
      </w:r>
      <w:r w:rsidR="00207197" w:rsidRPr="00470C7C">
        <w:t>era insuficiente</w:t>
      </w:r>
      <w:r w:rsidR="006F47BB" w:rsidRPr="00470C7C">
        <w:t xml:space="preserve"> </w:t>
      </w:r>
      <w:r w:rsidR="00207197" w:rsidRPr="00470C7C">
        <w:t>y de mala calidad. El agua que consumían provenía de una pequeña cascada en medio de la vegetación, era almacenada en recipientes inadecuados y repartida en botellas colectivas</w:t>
      </w:r>
      <w:r w:rsidR="00526541" w:rsidRPr="00470C7C">
        <w:t xml:space="preserve"> (</w:t>
      </w:r>
      <w:r w:rsidR="00526541" w:rsidRPr="00470C7C">
        <w:rPr>
          <w:i/>
        </w:rPr>
        <w:t xml:space="preserve">supra </w:t>
      </w:r>
      <w:r w:rsidR="00526541" w:rsidRPr="00470C7C">
        <w:t xml:space="preserve">párr. </w:t>
      </w:r>
      <w:r w:rsidR="00711223" w:rsidRPr="00470C7C">
        <w:t>167</w:t>
      </w:r>
      <w:r w:rsidR="00526541" w:rsidRPr="00470C7C">
        <w:t>). La jornada de trabajo era extenuante, con duración de 12 horas o más todos los días, excepto los domingos (</w:t>
      </w:r>
      <w:r w:rsidR="00526541" w:rsidRPr="00470C7C">
        <w:rPr>
          <w:i/>
        </w:rPr>
        <w:t xml:space="preserve">supra </w:t>
      </w:r>
      <w:r w:rsidR="00526541" w:rsidRPr="00470C7C">
        <w:t xml:space="preserve">párr. </w:t>
      </w:r>
      <w:r w:rsidR="00711223" w:rsidRPr="00470C7C">
        <w:t>168</w:t>
      </w:r>
      <w:r w:rsidR="00526541" w:rsidRPr="00470C7C">
        <w:t xml:space="preserve">). </w:t>
      </w:r>
    </w:p>
    <w:p w14:paraId="7A4225CD" w14:textId="77777777" w:rsidR="00526541" w:rsidRPr="00470C7C" w:rsidRDefault="00526541" w:rsidP="00ED3AD0">
      <w:pPr>
        <w:pStyle w:val="Prrafodelista"/>
      </w:pPr>
    </w:p>
    <w:p w14:paraId="56B11BE3" w14:textId="77777777" w:rsidR="00207197" w:rsidRPr="00470C7C" w:rsidRDefault="00F46084" w:rsidP="00363CDD">
      <w:pPr>
        <w:pStyle w:val="Prrafodelista"/>
        <w:numPr>
          <w:ilvl w:val="0"/>
          <w:numId w:val="1"/>
        </w:numPr>
        <w:contextualSpacing w:val="0"/>
      </w:pPr>
      <w:r w:rsidRPr="00470C7C">
        <w:t>T</w:t>
      </w:r>
      <w:r w:rsidR="00207197" w:rsidRPr="00470C7C">
        <w:t>oda la comida que consumían era anotada en cuadernos para luego descontarla de sus salarios</w:t>
      </w:r>
      <w:r w:rsidR="006F47BB" w:rsidRPr="00470C7C">
        <w:t>, lo que aumentaba sus deudas con el empleador (</w:t>
      </w:r>
      <w:r w:rsidR="006F47BB" w:rsidRPr="00470C7C">
        <w:rPr>
          <w:i/>
        </w:rPr>
        <w:t xml:space="preserve">supra </w:t>
      </w:r>
      <w:r w:rsidR="006F47BB" w:rsidRPr="00470C7C">
        <w:t xml:space="preserve">párr. </w:t>
      </w:r>
      <w:r w:rsidR="00D508C2" w:rsidRPr="00470C7C">
        <w:t>167</w:t>
      </w:r>
      <w:r w:rsidR="006F47BB" w:rsidRPr="00470C7C">
        <w:t>).</w:t>
      </w:r>
      <w:r w:rsidRPr="00470C7C">
        <w:t xml:space="preserve"> Además,</w:t>
      </w:r>
      <w:r w:rsidR="00207197" w:rsidRPr="00470C7C">
        <w:t xml:space="preserve"> los trabajadores eran obligados a realizar sus labores bajo las órdenes y amenazas de los encargados de la hacienda</w:t>
      </w:r>
      <w:r w:rsidR="00526541" w:rsidRPr="00470C7C">
        <w:t xml:space="preserve">, quienes </w:t>
      </w:r>
      <w:r w:rsidR="00207197" w:rsidRPr="00470C7C">
        <w:t>portaban armas de fuego y los vigilaban permanentemente</w:t>
      </w:r>
      <w:r w:rsidR="00526541" w:rsidRPr="00470C7C">
        <w:t xml:space="preserve"> (</w:t>
      </w:r>
      <w:r w:rsidR="00526541" w:rsidRPr="00470C7C">
        <w:rPr>
          <w:i/>
        </w:rPr>
        <w:t xml:space="preserve">supra </w:t>
      </w:r>
      <w:r w:rsidR="00526541" w:rsidRPr="00470C7C">
        <w:t xml:space="preserve">párr. </w:t>
      </w:r>
      <w:r w:rsidR="00D508C2" w:rsidRPr="00470C7C">
        <w:t>171</w:t>
      </w:r>
      <w:r w:rsidR="00526541" w:rsidRPr="00470C7C">
        <w:t xml:space="preserve">). </w:t>
      </w:r>
      <w:r w:rsidR="00363CDD" w:rsidRPr="00470C7C">
        <w:t>C</w:t>
      </w:r>
      <w:r w:rsidR="00207197" w:rsidRPr="00470C7C">
        <w:t>omo consecuencia de que los trabajadores se encontraban impedidos de salir de la hacienda, si necesitaban comprar algún producto</w:t>
      </w:r>
      <w:r w:rsidR="00687C31" w:rsidRPr="00470C7C">
        <w:t xml:space="preserve"> eran obligados a pedirlo </w:t>
      </w:r>
      <w:r w:rsidR="00207197" w:rsidRPr="00470C7C">
        <w:t>a los encargados de la hacienda, con la correspondiente deducción del salario</w:t>
      </w:r>
      <w:r w:rsidR="00687C31" w:rsidRPr="00470C7C">
        <w:t xml:space="preserve"> (</w:t>
      </w:r>
      <w:r w:rsidR="00687C31" w:rsidRPr="00470C7C">
        <w:rPr>
          <w:i/>
        </w:rPr>
        <w:t xml:space="preserve">supra </w:t>
      </w:r>
      <w:r w:rsidR="00687C31" w:rsidRPr="00470C7C">
        <w:t xml:space="preserve">párr. </w:t>
      </w:r>
      <w:r w:rsidR="00D508C2" w:rsidRPr="00470C7C">
        <w:t>172</w:t>
      </w:r>
      <w:r w:rsidR="00687C31" w:rsidRPr="00470C7C">
        <w:t>)</w:t>
      </w:r>
      <w:r w:rsidR="00207197" w:rsidRPr="00470C7C">
        <w:t xml:space="preserve">. </w:t>
      </w:r>
    </w:p>
    <w:p w14:paraId="6387BB63" w14:textId="77777777" w:rsidR="00207197" w:rsidRPr="00470C7C" w:rsidRDefault="00207197" w:rsidP="00140440">
      <w:pPr>
        <w:pStyle w:val="Prrafodelista"/>
        <w:ind w:left="0"/>
      </w:pPr>
    </w:p>
    <w:p w14:paraId="692CC2B1" w14:textId="77777777" w:rsidR="00207197" w:rsidRPr="00470C7C" w:rsidRDefault="00207197" w:rsidP="00F37DC4">
      <w:pPr>
        <w:pStyle w:val="Prrafodelista"/>
        <w:numPr>
          <w:ilvl w:val="0"/>
          <w:numId w:val="1"/>
        </w:numPr>
        <w:contextualSpacing w:val="0"/>
      </w:pPr>
      <w:r w:rsidRPr="00470C7C">
        <w:t xml:space="preserve">La situación en la cual se encontraban los trabajadores les generaba un profundo deseo de huir de la hacienda. Sin embargo, la vigilancia </w:t>
      </w:r>
      <w:r w:rsidR="00044CBD" w:rsidRPr="00470C7C">
        <w:t xml:space="preserve">bajo </w:t>
      </w:r>
      <w:r w:rsidRPr="00470C7C">
        <w:t>la que se encontraban, sumado a la carencia de salario, la ubicación aislada de la hacienda con la presencia de animales salvajes</w:t>
      </w:r>
      <w:r w:rsidR="00044CBD" w:rsidRPr="00470C7C">
        <w:t xml:space="preserve"> a su alrededor</w:t>
      </w:r>
      <w:r w:rsidRPr="00470C7C">
        <w:t>, les impedía regresar a sus hogares</w:t>
      </w:r>
      <w:r w:rsidR="001532EE" w:rsidRPr="00470C7C">
        <w:t xml:space="preserve"> (</w:t>
      </w:r>
      <w:r w:rsidR="001532EE" w:rsidRPr="00470C7C">
        <w:rPr>
          <w:i/>
        </w:rPr>
        <w:t xml:space="preserve">supra </w:t>
      </w:r>
      <w:r w:rsidR="001532EE" w:rsidRPr="00470C7C">
        <w:t>párr. 173)</w:t>
      </w:r>
      <w:r w:rsidRPr="00470C7C">
        <w:t xml:space="preserve">. </w:t>
      </w:r>
      <w:r w:rsidR="00D608DD" w:rsidRPr="00470C7C">
        <w:t xml:space="preserve"> Lo anterior fue caracterizado por el Ministerio Público como </w:t>
      </w:r>
      <w:r w:rsidRPr="00470C7C">
        <w:t xml:space="preserve">un </w:t>
      </w:r>
      <w:r w:rsidR="00D608DD" w:rsidRPr="00470C7C">
        <w:t>“</w:t>
      </w:r>
      <w:r w:rsidRPr="00470C7C">
        <w:t>sistema de cárcel privada</w:t>
      </w:r>
      <w:r w:rsidR="00D608DD" w:rsidRPr="00470C7C">
        <w:t>”</w:t>
      </w:r>
      <w:r w:rsidR="00D608DD" w:rsidRPr="00470C7C">
        <w:rPr>
          <w:vertAlign w:val="superscript"/>
        </w:rPr>
        <w:t xml:space="preserve"> </w:t>
      </w:r>
      <w:r w:rsidR="00D608DD" w:rsidRPr="00470C7C">
        <w:t xml:space="preserve"> (</w:t>
      </w:r>
      <w:r w:rsidR="00D608DD" w:rsidRPr="00470C7C">
        <w:rPr>
          <w:i/>
        </w:rPr>
        <w:t xml:space="preserve">supra </w:t>
      </w:r>
      <w:r w:rsidR="00D608DD" w:rsidRPr="00470C7C">
        <w:t xml:space="preserve">párr. </w:t>
      </w:r>
      <w:r w:rsidR="001532EE" w:rsidRPr="00470C7C">
        <w:t>179</w:t>
      </w:r>
      <w:r w:rsidR="00D608DD" w:rsidRPr="00470C7C">
        <w:t>).</w:t>
      </w:r>
    </w:p>
    <w:p w14:paraId="7535F88F" w14:textId="77777777" w:rsidR="00D608DD" w:rsidRPr="00470C7C" w:rsidRDefault="00D608DD" w:rsidP="00ED3AD0">
      <w:pPr>
        <w:pStyle w:val="Prrafodelista"/>
      </w:pPr>
    </w:p>
    <w:p w14:paraId="328D743F" w14:textId="77777777" w:rsidR="00D608DD" w:rsidRPr="00470C7C" w:rsidRDefault="00D608DD" w:rsidP="00D608DD">
      <w:pPr>
        <w:pStyle w:val="Prrafodelista"/>
        <w:numPr>
          <w:ilvl w:val="0"/>
          <w:numId w:val="1"/>
        </w:numPr>
        <w:contextualSpacing w:val="0"/>
        <w:rPr>
          <w:lang w:val="es-ES"/>
        </w:rPr>
      </w:pPr>
      <w:r w:rsidRPr="00470C7C">
        <w:rPr>
          <w:lang w:val="es-ES"/>
        </w:rPr>
        <w:t xml:space="preserve">De la reseña de hechos </w:t>
      </w:r>
      <w:r w:rsidR="00DE1D5D" w:rsidRPr="00470C7C">
        <w:rPr>
          <w:lang w:val="es-ES"/>
        </w:rPr>
        <w:t xml:space="preserve">contenidos </w:t>
      </w:r>
      <w:r w:rsidRPr="00470C7C">
        <w:rPr>
          <w:lang w:val="es-ES"/>
        </w:rPr>
        <w:t>en los párrafos anteriores, es notable la existencia de un mecanismo de reclutamiento de trabajadores a través de fraude</w:t>
      </w:r>
      <w:r w:rsidR="00DE1D5D" w:rsidRPr="00470C7C">
        <w:rPr>
          <w:lang w:val="es-ES"/>
        </w:rPr>
        <w:t>s</w:t>
      </w:r>
      <w:r w:rsidRPr="00470C7C">
        <w:rPr>
          <w:lang w:val="es-ES"/>
        </w:rPr>
        <w:t xml:space="preserve"> y engaños. Además, la Corte considera que, en efecto, los hechos del caso indican la existencia de una situación de servidumbre por deuda</w:t>
      </w:r>
      <w:r w:rsidR="00EC5C1A" w:rsidRPr="00470C7C">
        <w:rPr>
          <w:lang w:val="es-ES"/>
        </w:rPr>
        <w:t xml:space="preserve">, </w:t>
      </w:r>
      <w:r w:rsidRPr="00470C7C">
        <w:rPr>
          <w:lang w:val="es-ES"/>
        </w:rPr>
        <w:t xml:space="preserve">visto que a partir del momento en que los trabajadores recibían el adelanto de dinero por parte del </w:t>
      </w:r>
      <w:r w:rsidRPr="00470C7C">
        <w:rPr>
          <w:i/>
          <w:iCs/>
          <w:lang w:val="es-ES"/>
        </w:rPr>
        <w:t>gato</w:t>
      </w:r>
      <w:r w:rsidRPr="00470C7C">
        <w:rPr>
          <w:lang w:val="es-ES"/>
        </w:rPr>
        <w:t xml:space="preserve">, hasta los salarios irrisorios y descuentos por comida, medicamentos y otros productos, se </w:t>
      </w:r>
      <w:r w:rsidR="00DE1D5D" w:rsidRPr="00470C7C">
        <w:rPr>
          <w:lang w:val="es-ES"/>
        </w:rPr>
        <w:t xml:space="preserve">generaba </w:t>
      </w:r>
      <w:r w:rsidRPr="00470C7C">
        <w:rPr>
          <w:lang w:val="es-ES"/>
        </w:rPr>
        <w:t xml:space="preserve">una deuda impagable para ellos. Como agravante a ese sistema conocido como </w:t>
      </w:r>
      <w:proofErr w:type="spellStart"/>
      <w:r w:rsidRPr="00470C7C">
        <w:rPr>
          <w:i/>
          <w:iCs/>
          <w:lang w:val="es-ES"/>
        </w:rPr>
        <w:t>truck</w:t>
      </w:r>
      <w:proofErr w:type="spellEnd"/>
      <w:r w:rsidRPr="00470C7C">
        <w:rPr>
          <w:i/>
          <w:iCs/>
          <w:lang w:val="es-ES"/>
        </w:rPr>
        <w:t xml:space="preserve"> </w:t>
      </w:r>
      <w:proofErr w:type="spellStart"/>
      <w:r w:rsidRPr="00470C7C">
        <w:rPr>
          <w:i/>
          <w:iCs/>
          <w:lang w:val="es-ES"/>
        </w:rPr>
        <w:t>system</w:t>
      </w:r>
      <w:proofErr w:type="spellEnd"/>
      <w:r w:rsidRPr="00470C7C">
        <w:rPr>
          <w:i/>
          <w:iCs/>
          <w:lang w:val="es-ES"/>
        </w:rPr>
        <w:t xml:space="preserve">, </w:t>
      </w:r>
      <w:r w:rsidRPr="00470C7C">
        <w:rPr>
          <w:lang w:val="es-ES"/>
        </w:rPr>
        <w:t xml:space="preserve">peonaje o </w:t>
      </w:r>
      <w:r w:rsidRPr="00470C7C">
        <w:rPr>
          <w:i/>
          <w:iCs/>
          <w:lang w:val="es-ES"/>
        </w:rPr>
        <w:t xml:space="preserve">sistema de </w:t>
      </w:r>
      <w:proofErr w:type="spellStart"/>
      <w:r w:rsidRPr="00470C7C">
        <w:rPr>
          <w:i/>
          <w:iCs/>
          <w:lang w:val="es-ES"/>
        </w:rPr>
        <w:t>barracão</w:t>
      </w:r>
      <w:proofErr w:type="spellEnd"/>
      <w:r w:rsidRPr="00470C7C">
        <w:rPr>
          <w:i/>
          <w:iCs/>
          <w:lang w:val="es-ES"/>
        </w:rPr>
        <w:t xml:space="preserve"> </w:t>
      </w:r>
      <w:r w:rsidRPr="00470C7C">
        <w:rPr>
          <w:lang w:val="es-ES"/>
        </w:rPr>
        <w:t>en algunos países, los trabajadores eran sometidos a jornadas extenuantes de trabajo bajo amenazas y violencia, vivie</w:t>
      </w:r>
      <w:r w:rsidR="00EC5C1A" w:rsidRPr="00470C7C">
        <w:rPr>
          <w:lang w:val="es-ES"/>
        </w:rPr>
        <w:t>ndo en condiciones degradantes</w:t>
      </w:r>
      <w:r w:rsidRPr="00470C7C">
        <w:rPr>
          <w:lang w:val="es-ES"/>
        </w:rPr>
        <w:t xml:space="preserve">. Asimismo, los trabajadores no tenían perspectiva de poder salir de esa situación en razón de: i) la presencia de </w:t>
      </w:r>
      <w:r w:rsidR="00DE1D5D" w:rsidRPr="00470C7C">
        <w:rPr>
          <w:lang w:val="es-ES"/>
        </w:rPr>
        <w:t xml:space="preserve">guardias </w:t>
      </w:r>
      <w:r w:rsidRPr="00470C7C">
        <w:rPr>
          <w:lang w:val="es-ES"/>
        </w:rPr>
        <w:t xml:space="preserve">armados; </w:t>
      </w:r>
      <w:proofErr w:type="spellStart"/>
      <w:r w:rsidRPr="00470C7C">
        <w:rPr>
          <w:lang w:val="es-ES"/>
        </w:rPr>
        <w:t>ii</w:t>
      </w:r>
      <w:proofErr w:type="spellEnd"/>
      <w:r w:rsidRPr="00470C7C">
        <w:rPr>
          <w:lang w:val="es-ES"/>
        </w:rPr>
        <w:t xml:space="preserve">) la restricción de salida de la Hacienda sin el pago de la deuda adquirida; </w:t>
      </w:r>
      <w:proofErr w:type="spellStart"/>
      <w:r w:rsidRPr="00470C7C">
        <w:rPr>
          <w:lang w:val="es-ES"/>
        </w:rPr>
        <w:t>iii</w:t>
      </w:r>
      <w:proofErr w:type="spellEnd"/>
      <w:r w:rsidRPr="00470C7C">
        <w:rPr>
          <w:lang w:val="es-ES"/>
        </w:rPr>
        <w:t xml:space="preserve">) la coacción física y psicológica de parte de </w:t>
      </w:r>
      <w:r w:rsidRPr="00470C7C">
        <w:rPr>
          <w:i/>
          <w:lang w:val="es-ES"/>
        </w:rPr>
        <w:t>gatos</w:t>
      </w:r>
      <w:r w:rsidRPr="00470C7C">
        <w:rPr>
          <w:lang w:val="es-ES"/>
        </w:rPr>
        <w:t xml:space="preserve"> y guardias de seguridad</w:t>
      </w:r>
      <w:r w:rsidR="00044CBD" w:rsidRPr="00470C7C">
        <w:rPr>
          <w:lang w:val="es-ES"/>
        </w:rPr>
        <w:t>, y</w:t>
      </w:r>
      <w:r w:rsidRPr="00470C7C">
        <w:rPr>
          <w:lang w:val="es-ES"/>
        </w:rPr>
        <w:t xml:space="preserve"> </w:t>
      </w:r>
      <w:proofErr w:type="spellStart"/>
      <w:r w:rsidRPr="00470C7C">
        <w:rPr>
          <w:lang w:val="es-ES"/>
        </w:rPr>
        <w:t>iv</w:t>
      </w:r>
      <w:proofErr w:type="spellEnd"/>
      <w:r w:rsidRPr="00470C7C">
        <w:rPr>
          <w:lang w:val="es-ES"/>
        </w:rPr>
        <w:t xml:space="preserve">) el miedo de represalias y de morir en la selva en caso de fuga. Las condiciones anteriores se potencializaban por la condición de vulnerabilidad de los trabajadores, los cuales eran en su mayoría analfabetos, de una región muy distante del país, que no conocían los alrededores de la Hacienda Brasil Verde y </w:t>
      </w:r>
      <w:r w:rsidR="00044CBD" w:rsidRPr="00470C7C">
        <w:rPr>
          <w:lang w:val="es-ES"/>
        </w:rPr>
        <w:t xml:space="preserve">estaban </w:t>
      </w:r>
      <w:r w:rsidRPr="00470C7C">
        <w:rPr>
          <w:lang w:val="es-ES"/>
        </w:rPr>
        <w:t xml:space="preserve">sometidos a </w:t>
      </w:r>
      <w:proofErr w:type="gramStart"/>
      <w:r w:rsidRPr="00470C7C">
        <w:rPr>
          <w:lang w:val="es-ES"/>
        </w:rPr>
        <w:t>condiciones  inhumanas</w:t>
      </w:r>
      <w:proofErr w:type="gramEnd"/>
      <w:r w:rsidRPr="00470C7C">
        <w:rPr>
          <w:lang w:val="es-ES"/>
        </w:rPr>
        <w:t xml:space="preserve"> de vida.  </w:t>
      </w:r>
    </w:p>
    <w:p w14:paraId="77B156BF" w14:textId="77777777" w:rsidR="00207197" w:rsidRPr="00470C7C" w:rsidRDefault="00207197" w:rsidP="00A4639F">
      <w:pPr>
        <w:pStyle w:val="Prrafodelista"/>
        <w:ind w:left="0"/>
        <w:contextualSpacing w:val="0"/>
      </w:pPr>
    </w:p>
    <w:p w14:paraId="6959D0A0" w14:textId="77777777" w:rsidR="000968FA" w:rsidRPr="00470C7C" w:rsidRDefault="007F49A4" w:rsidP="00122276">
      <w:pPr>
        <w:pStyle w:val="Prrafodelista"/>
        <w:numPr>
          <w:ilvl w:val="0"/>
          <w:numId w:val="1"/>
        </w:numPr>
        <w:contextualSpacing w:val="0"/>
        <w:rPr>
          <w:lang w:val="es-ES"/>
        </w:rPr>
      </w:pPr>
      <w:r w:rsidRPr="00470C7C">
        <w:rPr>
          <w:lang w:val="es-ES"/>
        </w:rPr>
        <w:t>Visto lo anterior, es evidente para la Corte que los trabajadores rescatados de la Hacienda Brasil Verde se encontraban en una situación de servidumbre por deuda y de sometimiento a trabajos forzosos. Sin perjuicio de lo anterior, el Tribunal considera que las características específicas a que fueron sometidos los 85 trabajadores rescatados el 15 de marzo de 2000 sobrepasaban los extremos de servidumbre por deuda y trabajo forzoso</w:t>
      </w:r>
      <w:r w:rsidR="0027503A" w:rsidRPr="00470C7C">
        <w:rPr>
          <w:lang w:val="es-ES"/>
        </w:rPr>
        <w:t>,</w:t>
      </w:r>
      <w:r w:rsidRPr="00470C7C">
        <w:rPr>
          <w:lang w:val="es-ES"/>
        </w:rPr>
        <w:t xml:space="preserve"> para llegar a cumplir con los elementos más estrictos de la definición de esclavitud establecida por la Corte (</w:t>
      </w:r>
      <w:r w:rsidRPr="00470C7C">
        <w:rPr>
          <w:i/>
          <w:iCs/>
          <w:lang w:val="es-ES"/>
        </w:rPr>
        <w:t xml:space="preserve">supra </w:t>
      </w:r>
      <w:r w:rsidRPr="00470C7C">
        <w:rPr>
          <w:lang w:val="es-ES"/>
        </w:rPr>
        <w:t xml:space="preserve">párr. </w:t>
      </w:r>
      <w:r w:rsidR="003E0D27" w:rsidRPr="00470C7C">
        <w:rPr>
          <w:lang w:val="es-ES"/>
        </w:rPr>
        <w:t>2</w:t>
      </w:r>
      <w:r w:rsidR="00C02C35" w:rsidRPr="00470C7C">
        <w:rPr>
          <w:lang w:val="es-ES"/>
        </w:rPr>
        <w:t>72</w:t>
      </w:r>
      <w:r w:rsidRPr="00470C7C">
        <w:rPr>
          <w:lang w:val="es-ES"/>
        </w:rPr>
        <w:t xml:space="preserve">), en particular el ejercicio de control como manifestación del derecho de propiedad. En ese sentido, la Corte constata que: i) los trabajadores se encontraban sometidos al efectivo control de los </w:t>
      </w:r>
      <w:r w:rsidRPr="00470C7C">
        <w:rPr>
          <w:i/>
          <w:iCs/>
          <w:lang w:val="es-ES"/>
        </w:rPr>
        <w:t>gatos</w:t>
      </w:r>
      <w:r w:rsidRPr="00470C7C">
        <w:rPr>
          <w:lang w:val="es-ES"/>
        </w:rPr>
        <w:t>, gerentes, guard</w:t>
      </w:r>
      <w:r w:rsidR="0027503A" w:rsidRPr="00470C7C">
        <w:rPr>
          <w:lang w:val="es-ES"/>
        </w:rPr>
        <w:t>i</w:t>
      </w:r>
      <w:r w:rsidRPr="00470C7C">
        <w:rPr>
          <w:lang w:val="es-ES"/>
        </w:rPr>
        <w:t xml:space="preserve">as armados de la hacienda, y en definitiva también de su propietario; </w:t>
      </w:r>
      <w:proofErr w:type="spellStart"/>
      <w:r w:rsidRPr="00470C7C">
        <w:rPr>
          <w:lang w:val="es-ES"/>
        </w:rPr>
        <w:t>ii</w:t>
      </w:r>
      <w:proofErr w:type="spellEnd"/>
      <w:r w:rsidRPr="00470C7C">
        <w:rPr>
          <w:lang w:val="es-ES"/>
        </w:rPr>
        <w:t xml:space="preserve">) de forma tal que se restringía su autonomía y libertad individuales; </w:t>
      </w:r>
      <w:proofErr w:type="spellStart"/>
      <w:r w:rsidRPr="00470C7C">
        <w:rPr>
          <w:lang w:val="es-ES"/>
        </w:rPr>
        <w:t>iii</w:t>
      </w:r>
      <w:proofErr w:type="spellEnd"/>
      <w:r w:rsidRPr="00470C7C">
        <w:rPr>
          <w:lang w:val="es-ES"/>
        </w:rPr>
        <w:t>) sin su libre consentimiento</w:t>
      </w:r>
      <w:r w:rsidR="00044CBD" w:rsidRPr="00470C7C">
        <w:rPr>
          <w:lang w:val="es-ES"/>
        </w:rPr>
        <w:t>;</w:t>
      </w:r>
      <w:r w:rsidRPr="00470C7C">
        <w:rPr>
          <w:lang w:val="es-ES"/>
        </w:rPr>
        <w:t xml:space="preserve"> </w:t>
      </w:r>
      <w:proofErr w:type="spellStart"/>
      <w:r w:rsidRPr="00470C7C">
        <w:rPr>
          <w:lang w:val="es-ES"/>
        </w:rPr>
        <w:t>iv</w:t>
      </w:r>
      <w:proofErr w:type="spellEnd"/>
      <w:r w:rsidRPr="00470C7C">
        <w:rPr>
          <w:lang w:val="es-ES"/>
        </w:rPr>
        <w:t>) a través de amenazas, violencia física y psicológica</w:t>
      </w:r>
      <w:r w:rsidR="00531F92" w:rsidRPr="00470C7C">
        <w:rPr>
          <w:lang w:val="es-ES"/>
        </w:rPr>
        <w:t>,</w:t>
      </w:r>
      <w:r w:rsidR="00044CBD" w:rsidRPr="00470C7C">
        <w:rPr>
          <w:lang w:val="es-ES"/>
        </w:rPr>
        <w:t xml:space="preserve"> </w:t>
      </w:r>
      <w:r w:rsidRPr="00470C7C">
        <w:rPr>
          <w:lang w:val="es-ES"/>
        </w:rPr>
        <w:t xml:space="preserve">v) para explotar su trabajo forzoso en condiciones inhumanas. Asimismo, las circunstancias de la fuga emprendida por los señores </w:t>
      </w:r>
      <w:proofErr w:type="spellStart"/>
      <w:r w:rsidR="00D60654" w:rsidRPr="00470C7C">
        <w:t>Antônio</w:t>
      </w:r>
      <w:proofErr w:type="spellEnd"/>
      <w:r w:rsidR="00D60654" w:rsidRPr="00470C7C">
        <w:t xml:space="preserve"> </w:t>
      </w:r>
      <w:r w:rsidRPr="00470C7C">
        <w:t xml:space="preserve">Francisco da Silva y </w:t>
      </w:r>
      <w:r w:rsidR="00AB6218" w:rsidRPr="00470C7C">
        <w:rPr>
          <w:rFonts w:cs="Times New Roman"/>
          <w:szCs w:val="20"/>
          <w:lang w:val="pt-BR"/>
        </w:rPr>
        <w:t>José Francisco Furtado de Sousa</w:t>
      </w:r>
      <w:r w:rsidR="00AB6218" w:rsidRPr="00470C7C">
        <w:t xml:space="preserve"> </w:t>
      </w:r>
      <w:r w:rsidRPr="00470C7C">
        <w:t>y los riesgos enfrentados hasta denunciar lo ocurrido a la Policía Federal demuestran</w:t>
      </w:r>
      <w:r w:rsidR="00044CBD" w:rsidRPr="00470C7C">
        <w:t>:</w:t>
      </w:r>
      <w:r w:rsidRPr="00470C7C">
        <w:t xml:space="preserve"> vi) la </w:t>
      </w:r>
      <w:r w:rsidRPr="00470C7C">
        <w:rPr>
          <w:lang w:val="es-ES"/>
        </w:rPr>
        <w:t xml:space="preserve">vulnerabilidad de los trabajadores y </w:t>
      </w:r>
      <w:proofErr w:type="spellStart"/>
      <w:r w:rsidRPr="00470C7C">
        <w:rPr>
          <w:lang w:val="es-ES"/>
        </w:rPr>
        <w:t>vii</w:t>
      </w:r>
      <w:proofErr w:type="spellEnd"/>
      <w:r w:rsidRPr="00470C7C">
        <w:rPr>
          <w:lang w:val="es-ES"/>
        </w:rPr>
        <w:t xml:space="preserve">) el ambiente de coacción existente en dicha hacienda, los cuales </w:t>
      </w:r>
      <w:proofErr w:type="spellStart"/>
      <w:r w:rsidRPr="00470C7C">
        <w:rPr>
          <w:lang w:val="es-ES"/>
        </w:rPr>
        <w:t>viii</w:t>
      </w:r>
      <w:proofErr w:type="spellEnd"/>
      <w:r w:rsidRPr="00470C7C">
        <w:rPr>
          <w:lang w:val="es-ES"/>
        </w:rPr>
        <w:t>) no les permitía</w:t>
      </w:r>
      <w:r w:rsidR="00044CBD" w:rsidRPr="00470C7C">
        <w:rPr>
          <w:lang w:val="es-ES"/>
        </w:rPr>
        <w:t>n</w:t>
      </w:r>
      <w:r w:rsidRPr="00470C7C">
        <w:rPr>
          <w:lang w:val="es-ES"/>
        </w:rPr>
        <w:t xml:space="preserve"> cambiar su situación y recuperar su libertad. Por todo lo anterior, la Corte concluye que la situación verificada en la Hacienda Brasil Verde en marzo de 2000 representaba una situación de esclavitud.</w:t>
      </w:r>
    </w:p>
    <w:p w14:paraId="35A5720D" w14:textId="77777777" w:rsidR="00207197" w:rsidRPr="00470C7C" w:rsidRDefault="00207197" w:rsidP="00140440">
      <w:pPr>
        <w:pStyle w:val="Prrafodelista"/>
        <w:ind w:left="0"/>
      </w:pPr>
    </w:p>
    <w:p w14:paraId="27153417" w14:textId="77777777" w:rsidR="00207197" w:rsidRPr="00470C7C" w:rsidRDefault="00207197" w:rsidP="00F37DC4">
      <w:pPr>
        <w:pStyle w:val="Prrafodelista"/>
        <w:numPr>
          <w:ilvl w:val="0"/>
          <w:numId w:val="1"/>
        </w:numPr>
        <w:contextualSpacing w:val="0"/>
      </w:pPr>
      <w:r w:rsidRPr="00470C7C">
        <w:t xml:space="preserve">Por otra parte, considerando el contexto del presente caso respecto a la captación o reclutamiento de trabajadores a través de fraude, engaño y falsas promesas desde </w:t>
      </w:r>
      <w:r w:rsidR="00D36269" w:rsidRPr="00470C7C">
        <w:t xml:space="preserve">las </w:t>
      </w:r>
      <w:r w:rsidRPr="00470C7C">
        <w:t xml:space="preserve">regiones más pobres del país sobre todo </w:t>
      </w:r>
      <w:proofErr w:type="spellStart"/>
      <w:r w:rsidRPr="00470C7C">
        <w:t>hacia</w:t>
      </w:r>
      <w:proofErr w:type="spellEnd"/>
      <w:r w:rsidRPr="00470C7C">
        <w:t xml:space="preserve"> haciendas de los Estados de Maranhão, </w:t>
      </w:r>
      <w:r w:rsidR="00193110" w:rsidRPr="00470C7C">
        <w:t xml:space="preserve">Mato Grosso, </w:t>
      </w:r>
      <w:r w:rsidRPr="00470C7C">
        <w:t>Pará y Tocantins (</w:t>
      </w:r>
      <w:r w:rsidRPr="00470C7C">
        <w:rPr>
          <w:i/>
        </w:rPr>
        <w:t xml:space="preserve">supra </w:t>
      </w:r>
      <w:r w:rsidRPr="00470C7C">
        <w:t xml:space="preserve">párr. </w:t>
      </w:r>
      <w:r w:rsidR="00193110" w:rsidRPr="00470C7C">
        <w:t>112</w:t>
      </w:r>
      <w:r w:rsidR="00446C55" w:rsidRPr="00470C7C">
        <w:t xml:space="preserve">), </w:t>
      </w:r>
      <w:r w:rsidRPr="00470C7C">
        <w:t xml:space="preserve">así como la declaración pericial de la Procuradora Federal Raquel </w:t>
      </w:r>
      <w:proofErr w:type="spellStart"/>
      <w:r w:rsidRPr="00470C7C">
        <w:t>Elias</w:t>
      </w:r>
      <w:proofErr w:type="spellEnd"/>
      <w:r w:rsidRPr="00470C7C">
        <w:t xml:space="preserve"> Dodge durante la audiencia pública</w:t>
      </w:r>
      <w:r w:rsidR="00D36269" w:rsidRPr="00470C7C">
        <w:t xml:space="preserve"> de este caso</w:t>
      </w:r>
      <w:r w:rsidRPr="00470C7C">
        <w:t xml:space="preserve">, en la cual precisó con detalles el funcionamiento de la trata de seres humanos contemporánea para fines de explotación laboral en Brasil, además de las “fichas de entrevista” de los trabajadores rescatados en la fiscalización de marzo de 2000, las denuncias de </w:t>
      </w:r>
      <w:proofErr w:type="spellStart"/>
      <w:r w:rsidR="00D60654" w:rsidRPr="00470C7C">
        <w:t>Antônio</w:t>
      </w:r>
      <w:proofErr w:type="spellEnd"/>
      <w:r w:rsidR="00D60654" w:rsidRPr="00470C7C">
        <w:t xml:space="preserve"> </w:t>
      </w:r>
      <w:r w:rsidR="0021497B" w:rsidRPr="00470C7C">
        <w:t xml:space="preserve">Francisco da Silva y </w:t>
      </w:r>
      <w:r w:rsidR="00AB6218" w:rsidRPr="00470C7C">
        <w:rPr>
          <w:rFonts w:cs="Times New Roman"/>
          <w:szCs w:val="20"/>
          <w:lang w:val="pt-BR"/>
        </w:rPr>
        <w:t>José Francisco Furtado de Sousa</w:t>
      </w:r>
      <w:r w:rsidR="00AB6218" w:rsidRPr="00470C7C">
        <w:t xml:space="preserve"> </w:t>
      </w:r>
      <w:r w:rsidRPr="00470C7C">
        <w:t xml:space="preserve">que dieron origen a la referida inspección y los testimonios de </w:t>
      </w:r>
      <w:r w:rsidR="00446C55" w:rsidRPr="00470C7C">
        <w:rPr>
          <w:szCs w:val="20"/>
          <w:lang w:val="es-ES_tradnl"/>
        </w:rPr>
        <w:t xml:space="preserve">Marcos </w:t>
      </w:r>
      <w:proofErr w:type="spellStart"/>
      <w:r w:rsidR="00D60654" w:rsidRPr="00470C7C">
        <w:rPr>
          <w:szCs w:val="20"/>
          <w:lang w:val="es-ES_tradnl"/>
        </w:rPr>
        <w:t>Antônio</w:t>
      </w:r>
      <w:proofErr w:type="spellEnd"/>
      <w:r w:rsidR="00D60654" w:rsidRPr="00470C7C">
        <w:rPr>
          <w:szCs w:val="20"/>
          <w:lang w:val="es-ES_tradnl"/>
        </w:rPr>
        <w:t xml:space="preserve"> </w:t>
      </w:r>
      <w:r w:rsidR="00446C55" w:rsidRPr="00470C7C">
        <w:rPr>
          <w:szCs w:val="20"/>
          <w:lang w:val="es-ES_tradnl"/>
        </w:rPr>
        <w:t xml:space="preserve">Lima, Francisco Fabiano Leandro, Rogerio </w:t>
      </w:r>
      <w:proofErr w:type="spellStart"/>
      <w:r w:rsidR="00446C55" w:rsidRPr="00470C7C">
        <w:rPr>
          <w:szCs w:val="20"/>
          <w:lang w:val="es-ES_tradnl"/>
        </w:rPr>
        <w:t>Felix</w:t>
      </w:r>
      <w:proofErr w:type="spellEnd"/>
      <w:r w:rsidR="00446C55" w:rsidRPr="00470C7C">
        <w:rPr>
          <w:szCs w:val="20"/>
          <w:lang w:val="es-ES_tradnl"/>
        </w:rPr>
        <w:t xml:space="preserve"> Silva, y Francisco das Chagas Bastos Sousa, </w:t>
      </w:r>
      <w:r w:rsidRPr="00470C7C">
        <w:t xml:space="preserve">durante la diligencia </w:t>
      </w:r>
      <w:r w:rsidRPr="00470C7C">
        <w:rPr>
          <w:i/>
        </w:rPr>
        <w:t>in situ</w:t>
      </w:r>
      <w:r w:rsidRPr="00470C7C">
        <w:t xml:space="preserve"> del presente caso, la Corte considera probado que los trabajadores rescatados en marzo de 2000 </w:t>
      </w:r>
      <w:r w:rsidR="00F9204B" w:rsidRPr="00470C7C">
        <w:t xml:space="preserve">habían sido </w:t>
      </w:r>
      <w:r w:rsidRPr="00470C7C">
        <w:t xml:space="preserve">también víctimas de trata de personas. </w:t>
      </w:r>
    </w:p>
    <w:p w14:paraId="737C2840" w14:textId="77777777" w:rsidR="00103A50" w:rsidRPr="00470C7C" w:rsidRDefault="00103A50" w:rsidP="00103A50">
      <w:pPr>
        <w:pStyle w:val="Prrafodelista"/>
      </w:pPr>
    </w:p>
    <w:p w14:paraId="7D210D8B" w14:textId="77777777" w:rsidR="00FF291B" w:rsidRPr="00470C7C" w:rsidRDefault="00FF291B" w:rsidP="00877676">
      <w:pPr>
        <w:pStyle w:val="Prrafodelista"/>
        <w:numPr>
          <w:ilvl w:val="0"/>
          <w:numId w:val="1"/>
        </w:numPr>
        <w:contextualSpacing w:val="0"/>
      </w:pPr>
      <w:r w:rsidRPr="00470C7C">
        <w:t xml:space="preserve">En el presente caso, los representantes alegaron que la situación fáctica y las circunstancias presentes en la Hacienda Brasil Verde en marzo de 2000 también representaría afectaciones a los derechos a la personalidad jurídica, integridad personal, libertad personal, honra y dignidad y al derecho de circulación y residencia. Al respecto, el Tribunal </w:t>
      </w:r>
      <w:r w:rsidR="008B0A8B" w:rsidRPr="00470C7C">
        <w:t>nota que esos alegatos hace</w:t>
      </w:r>
      <w:r w:rsidR="00391EED" w:rsidRPr="00470C7C">
        <w:t>n</w:t>
      </w:r>
      <w:r w:rsidR="008B0A8B" w:rsidRPr="00470C7C">
        <w:t xml:space="preserve"> referencia a los mismos hechos que ya han sido analizados a la luz del artículo 6 de la Convención. </w:t>
      </w:r>
      <w:r w:rsidR="00A3112D" w:rsidRPr="00470C7C">
        <w:t xml:space="preserve">Al respecto, </w:t>
      </w:r>
      <w:r w:rsidR="00405792" w:rsidRPr="00470C7C">
        <w:t xml:space="preserve">la Corte considera que </w:t>
      </w:r>
      <w:r w:rsidR="008A0F6C" w:rsidRPr="00470C7C">
        <w:t xml:space="preserve">en virtud del carácter pluriofensivo de la esclavitud, </w:t>
      </w:r>
      <w:r w:rsidR="00405792" w:rsidRPr="00470C7C">
        <w:t xml:space="preserve">al someter una persona a </w:t>
      </w:r>
      <w:r w:rsidR="008A0F6C" w:rsidRPr="00470C7C">
        <w:t>dicha condición</w:t>
      </w:r>
      <w:r w:rsidR="00405792" w:rsidRPr="00470C7C">
        <w:t>, se violan varios derechos individualmente</w:t>
      </w:r>
      <w:r w:rsidR="00A3112D" w:rsidRPr="00470C7C">
        <w:t>, algunos en mayor o menor intensidad dependiendo de las circunstan</w:t>
      </w:r>
      <w:r w:rsidR="0027503A" w:rsidRPr="00470C7C">
        <w:t>cias fácticas específicas de cad</w:t>
      </w:r>
      <w:r w:rsidR="00A3112D" w:rsidRPr="00470C7C">
        <w:t xml:space="preserve">a caso. Sin perjuicio de lo anterior, </w:t>
      </w:r>
      <w:r w:rsidR="00405792" w:rsidRPr="00470C7C">
        <w:t xml:space="preserve">en virtud de la </w:t>
      </w:r>
      <w:r w:rsidR="00A3112D" w:rsidRPr="00470C7C">
        <w:t>definición</w:t>
      </w:r>
      <w:r w:rsidR="00405792" w:rsidRPr="00470C7C">
        <w:t xml:space="preserve"> </w:t>
      </w:r>
      <w:r w:rsidR="00A3112D" w:rsidRPr="00470C7C">
        <w:t xml:space="preserve">específica y compleja </w:t>
      </w:r>
      <w:r w:rsidR="00405792" w:rsidRPr="00470C7C">
        <w:t>d</w:t>
      </w:r>
      <w:r w:rsidR="00A3112D" w:rsidRPr="00470C7C">
        <w:t>el concepto de esclavitud</w:t>
      </w:r>
      <w:r w:rsidR="00405792" w:rsidRPr="00470C7C">
        <w:t xml:space="preserve">, </w:t>
      </w:r>
      <w:r w:rsidR="0081303A" w:rsidRPr="00470C7C">
        <w:t xml:space="preserve">cuando se trata de la verificación de una situación de esclavitud, dichos derechos se subsumen </w:t>
      </w:r>
      <w:r w:rsidR="00405792" w:rsidRPr="00470C7C">
        <w:t xml:space="preserve">en la Convención bajo </w:t>
      </w:r>
      <w:r w:rsidR="0081303A" w:rsidRPr="00470C7C">
        <w:t>el artículo 6</w:t>
      </w:r>
      <w:r w:rsidR="00A3112D" w:rsidRPr="00470C7C">
        <w:t xml:space="preserve">. En ese sentido, </w:t>
      </w:r>
      <w:r w:rsidR="00732D99" w:rsidRPr="00470C7C">
        <w:t>la Corte considera que el análisis de la violación al artículo 6 de la Convención ya ha tomado en consideración los elementos alegados por los representantes com</w:t>
      </w:r>
      <w:r w:rsidR="00E9115E" w:rsidRPr="00470C7C">
        <w:t>o afectaciones a otros derechos</w:t>
      </w:r>
      <w:r w:rsidR="00310620" w:rsidRPr="00470C7C">
        <w:t xml:space="preserve">, pues </w:t>
      </w:r>
      <w:r w:rsidR="00E73720" w:rsidRPr="00470C7C">
        <w:t xml:space="preserve">en el análisis fáctico del caso, la Corte constató que </w:t>
      </w:r>
      <w:r w:rsidR="00310620" w:rsidRPr="00470C7C">
        <w:t xml:space="preserve">la afectación a la </w:t>
      </w:r>
      <w:r w:rsidR="00E73720" w:rsidRPr="00470C7C">
        <w:t xml:space="preserve">integridad y </w:t>
      </w:r>
      <w:r w:rsidR="00310620" w:rsidRPr="00470C7C">
        <w:t>libertad personal</w:t>
      </w:r>
      <w:r w:rsidR="00E73720" w:rsidRPr="00470C7C">
        <w:t>es</w:t>
      </w:r>
      <w:r w:rsidR="00FC200D" w:rsidRPr="00470C7C">
        <w:t xml:space="preserve"> (</w:t>
      </w:r>
      <w:r w:rsidR="00405792" w:rsidRPr="00470C7C">
        <w:t>violencia y amenazas de violencia, coerción física y psicológica de los trabajadores, restricciones de la libertad de movimiento</w:t>
      </w:r>
      <w:r w:rsidR="00FC200D" w:rsidRPr="00470C7C">
        <w:t>)</w:t>
      </w:r>
      <w:r w:rsidR="00310620" w:rsidRPr="00470C7C">
        <w:t xml:space="preserve">, </w:t>
      </w:r>
      <w:r w:rsidR="00E73720" w:rsidRPr="00470C7C">
        <w:t xml:space="preserve">los tratos indignos </w:t>
      </w:r>
      <w:r w:rsidR="00FC200D" w:rsidRPr="00470C7C">
        <w:t>(</w:t>
      </w:r>
      <w:r w:rsidR="00405792" w:rsidRPr="00470C7C">
        <w:t>condiciones degradantes de vivienda, alimentación y de trabajo</w:t>
      </w:r>
      <w:r w:rsidR="00FC200D" w:rsidRPr="00470C7C">
        <w:t xml:space="preserve">) </w:t>
      </w:r>
      <w:r w:rsidR="00E73720" w:rsidRPr="00470C7C">
        <w:t>y</w:t>
      </w:r>
      <w:r w:rsidR="00310620" w:rsidRPr="00470C7C">
        <w:t xml:space="preserve"> la limitación de la libertad de circulación</w:t>
      </w:r>
      <w:r w:rsidR="00FC200D" w:rsidRPr="00470C7C">
        <w:t xml:space="preserve"> (</w:t>
      </w:r>
      <w:r w:rsidR="00405792" w:rsidRPr="00470C7C">
        <w:t>restricción de circulación en razón de deudas y del trabajo forzoso exigido</w:t>
      </w:r>
      <w:r w:rsidR="00FC200D" w:rsidRPr="00470C7C">
        <w:t>)</w:t>
      </w:r>
      <w:r w:rsidR="00310620" w:rsidRPr="00470C7C">
        <w:t xml:space="preserve">, </w:t>
      </w:r>
      <w:r w:rsidR="001113DC" w:rsidRPr="00470C7C">
        <w:t>fueron</w:t>
      </w:r>
      <w:r w:rsidR="00310620" w:rsidRPr="00470C7C">
        <w:t xml:space="preserve"> elementos constitutivos de la esclavitud</w:t>
      </w:r>
      <w:r w:rsidR="001113DC" w:rsidRPr="00470C7C">
        <w:t xml:space="preserve"> en el presente caso</w:t>
      </w:r>
      <w:r w:rsidR="00310620" w:rsidRPr="00470C7C">
        <w:t>,</w:t>
      </w:r>
      <w:r w:rsidR="00E9115E" w:rsidRPr="00470C7C">
        <w:rPr>
          <w:szCs w:val="20"/>
        </w:rPr>
        <w:t xml:space="preserve"> </w:t>
      </w:r>
      <w:r w:rsidR="00E9115E" w:rsidRPr="00470C7C">
        <w:t xml:space="preserve">por lo que no considera necesario hacer un pronunciamiento individual respecto a </w:t>
      </w:r>
      <w:r w:rsidR="005759C6" w:rsidRPr="00470C7C">
        <w:t>los otros derechos alegados por los representantes</w:t>
      </w:r>
      <w:r w:rsidR="00044CBD" w:rsidRPr="00470C7C">
        <w:rPr>
          <w:rStyle w:val="Refdenotaalpie"/>
        </w:rPr>
        <w:footnoteReference w:id="445"/>
      </w:r>
      <w:r w:rsidR="0098727F" w:rsidRPr="00470C7C">
        <w:rPr>
          <w:spacing w:val="-3"/>
          <w:szCs w:val="20"/>
        </w:rPr>
        <w:t xml:space="preserve">. </w:t>
      </w:r>
      <w:r w:rsidRPr="00470C7C">
        <w:t>No obstante, será</w:t>
      </w:r>
      <w:r w:rsidR="00044CBD" w:rsidRPr="00470C7C">
        <w:t>n</w:t>
      </w:r>
      <w:r w:rsidRPr="00470C7C">
        <w:t xml:space="preserve"> tenido</w:t>
      </w:r>
      <w:r w:rsidR="00044CBD" w:rsidRPr="00470C7C">
        <w:t>s</w:t>
      </w:r>
      <w:r w:rsidRPr="00470C7C">
        <w:t xml:space="preserve"> en cuenta </w:t>
      </w:r>
      <w:r w:rsidR="00EC2B75" w:rsidRPr="00470C7C">
        <w:t xml:space="preserve">al realizar la determinación sobre la responsabilidad estatal en el presente caso y </w:t>
      </w:r>
      <w:r w:rsidRPr="00470C7C">
        <w:t>en lo pertinente al ordenar las reparaciones.</w:t>
      </w:r>
      <w:r w:rsidR="00DE1D5D" w:rsidRPr="00470C7C">
        <w:t xml:space="preserve"> </w:t>
      </w:r>
    </w:p>
    <w:p w14:paraId="781175B8" w14:textId="77777777" w:rsidR="00637B75" w:rsidRPr="00470C7C" w:rsidRDefault="00637B75" w:rsidP="00140440">
      <w:pPr>
        <w:pStyle w:val="Prrafodelista"/>
        <w:ind w:left="0"/>
        <w:rPr>
          <w:lang w:val="es-ES"/>
        </w:rPr>
      </w:pPr>
    </w:p>
    <w:p w14:paraId="50DE0728" w14:textId="77777777" w:rsidR="001E1449" w:rsidRPr="00470C7C" w:rsidRDefault="001E1449" w:rsidP="001E1449">
      <w:pPr>
        <w:pStyle w:val="Ttulo3"/>
      </w:pPr>
      <w:bookmarkStart w:id="357" w:name="_Toc464813966"/>
      <w:r w:rsidRPr="00470C7C">
        <w:t>B.8</w:t>
      </w:r>
      <w:r w:rsidR="00DC2886" w:rsidRPr="00470C7C">
        <w:t>.</w:t>
      </w:r>
      <w:r w:rsidRPr="00470C7C">
        <w:t xml:space="preserve"> Legislación penal brasileña</w:t>
      </w:r>
      <w:bookmarkEnd w:id="357"/>
    </w:p>
    <w:p w14:paraId="70C57859" w14:textId="77777777" w:rsidR="001E1449" w:rsidRPr="00470C7C" w:rsidRDefault="001E1449" w:rsidP="001E1449">
      <w:pPr>
        <w:pStyle w:val="Prrafodelista"/>
        <w:ind w:left="0"/>
      </w:pPr>
    </w:p>
    <w:p w14:paraId="62A6E0F8" w14:textId="77777777" w:rsidR="001E1449" w:rsidRPr="00470C7C" w:rsidRDefault="001E1449" w:rsidP="001E1449">
      <w:pPr>
        <w:pStyle w:val="Prrafodelista"/>
        <w:numPr>
          <w:ilvl w:val="0"/>
          <w:numId w:val="1"/>
        </w:numPr>
        <w:contextualSpacing w:val="0"/>
      </w:pPr>
      <w:r w:rsidRPr="00470C7C">
        <w:t xml:space="preserve">La Corte considera oportuno realizar algunas consideraciones sobre el alegato del Estado de Brasil en relación a que la situación identificada en la Hacienda Brasil Verde representaría únicamente violaciones a derechos laborales bajo la legislación brasileña y que, eventualmente podría haber sido caracterizada como un delito de acuerdo con el artículo 149 del Código Penal, pero que en ninguna hipótesis podría caracterizarse como esclavitud, servidumbre o trabajo forzoso bajo las reglas relevantes del derecho internacional de los derechos humanos. </w:t>
      </w:r>
    </w:p>
    <w:p w14:paraId="37118700" w14:textId="77777777" w:rsidR="001E1449" w:rsidRPr="00470C7C" w:rsidRDefault="001E1449" w:rsidP="001E1449">
      <w:pPr>
        <w:pStyle w:val="Prrafodelista"/>
        <w:ind w:left="0"/>
      </w:pPr>
    </w:p>
    <w:p w14:paraId="3674DCF9" w14:textId="77777777" w:rsidR="001E1449" w:rsidRPr="00470C7C" w:rsidRDefault="001E1449" w:rsidP="001E1449">
      <w:pPr>
        <w:pStyle w:val="Prrafodelista"/>
        <w:numPr>
          <w:ilvl w:val="0"/>
          <w:numId w:val="1"/>
        </w:numPr>
        <w:contextualSpacing w:val="0"/>
        <w:rPr>
          <w:lang w:val="es-CL"/>
        </w:rPr>
      </w:pPr>
      <w:r w:rsidRPr="00470C7C">
        <w:rPr>
          <w:lang w:val="es-CL"/>
        </w:rPr>
        <w:t xml:space="preserve">La Corte </w:t>
      </w:r>
      <w:r w:rsidR="00531F92" w:rsidRPr="00470C7C">
        <w:rPr>
          <w:lang w:val="es-CL"/>
        </w:rPr>
        <w:t>examinó</w:t>
      </w:r>
      <w:r w:rsidRPr="00470C7C">
        <w:rPr>
          <w:lang w:val="es-CL"/>
        </w:rPr>
        <w:t xml:space="preserve"> los hechos del presente caso a la luz del desarrollo del derecho internacional de los derechos humanos en la materia y con</w:t>
      </w:r>
      <w:r w:rsidR="00531F92" w:rsidRPr="00470C7C">
        <w:rPr>
          <w:lang w:val="es-CL"/>
        </w:rPr>
        <w:t>cluy</w:t>
      </w:r>
      <w:r w:rsidRPr="00470C7C">
        <w:rPr>
          <w:lang w:val="es-CL"/>
        </w:rPr>
        <w:t>ó que la situación de los trabajadores rescatados en marzo de 2000 constituía una forma análoga a la esclavitud, prohibida por el artículo 6.1 de la Convención Americana (</w:t>
      </w:r>
      <w:r w:rsidRPr="00470C7C">
        <w:rPr>
          <w:i/>
          <w:lang w:val="es-CL"/>
        </w:rPr>
        <w:t xml:space="preserve">supra </w:t>
      </w:r>
      <w:r w:rsidRPr="00470C7C">
        <w:rPr>
          <w:lang w:val="es-CL"/>
        </w:rPr>
        <w:t xml:space="preserve">párr. </w:t>
      </w:r>
      <w:r w:rsidR="006513B0" w:rsidRPr="00470C7C">
        <w:rPr>
          <w:lang w:val="es-CL"/>
        </w:rPr>
        <w:t>241</w:t>
      </w:r>
      <w:r w:rsidRPr="00470C7C">
        <w:rPr>
          <w:lang w:val="es-CL"/>
        </w:rPr>
        <w:t xml:space="preserve">). El argumento del Estado apunta a considerar al tipo penal del delito de reducción a condición de esclavo del artículo 149 del Código Penal brasileño como demasiado amplio, supuestamente incorporando figuras no contempladas por el derecho internacional. Al respecto, la Corte considera relevante destacar dos puntos principales. </w:t>
      </w:r>
    </w:p>
    <w:p w14:paraId="3C4E0B5B" w14:textId="77777777" w:rsidR="001E1449" w:rsidRPr="00470C7C" w:rsidRDefault="001E1449" w:rsidP="001E1449">
      <w:pPr>
        <w:pStyle w:val="Prrafodelista"/>
        <w:ind w:left="0"/>
        <w:rPr>
          <w:lang w:val="es-CL"/>
        </w:rPr>
      </w:pPr>
    </w:p>
    <w:p w14:paraId="1916862A" w14:textId="77777777" w:rsidR="001E1449" w:rsidRPr="00470C7C" w:rsidRDefault="001E1449" w:rsidP="001E1449">
      <w:pPr>
        <w:pStyle w:val="Prrafodelista"/>
        <w:numPr>
          <w:ilvl w:val="0"/>
          <w:numId w:val="1"/>
        </w:numPr>
        <w:contextualSpacing w:val="0"/>
        <w:rPr>
          <w:lang w:val="es-CL"/>
        </w:rPr>
      </w:pPr>
      <w:r w:rsidRPr="00470C7C">
        <w:rPr>
          <w:lang w:val="es-CL"/>
        </w:rPr>
        <w:t xml:space="preserve">En primer lugar es necesario precisar que el tipo penal </w:t>
      </w:r>
      <w:r w:rsidR="00D36269" w:rsidRPr="00470C7C">
        <w:rPr>
          <w:lang w:val="es-CL"/>
        </w:rPr>
        <w:t>en</w:t>
      </w:r>
      <w:r w:rsidRPr="00470C7C">
        <w:rPr>
          <w:lang w:val="es-CL"/>
        </w:rPr>
        <w:t xml:space="preserve"> la época de los hechos del caso simplemente declaraba: “</w:t>
      </w:r>
      <w:r w:rsidRPr="00470C7C">
        <w:rPr>
          <w:i/>
          <w:lang w:val="es-CL"/>
        </w:rPr>
        <w:t>Art. 149 - Redu</w:t>
      </w:r>
      <w:r w:rsidR="00D36269" w:rsidRPr="00470C7C">
        <w:rPr>
          <w:i/>
          <w:lang w:val="es-CL"/>
        </w:rPr>
        <w:t>c</w:t>
      </w:r>
      <w:r w:rsidRPr="00470C7C">
        <w:rPr>
          <w:i/>
          <w:lang w:val="es-CL"/>
        </w:rPr>
        <w:t xml:space="preserve">ir </w:t>
      </w:r>
      <w:r w:rsidR="00D36269" w:rsidRPr="00470C7C">
        <w:rPr>
          <w:i/>
          <w:lang w:val="es-CL"/>
        </w:rPr>
        <w:t xml:space="preserve">a alguien a la condición </w:t>
      </w:r>
      <w:r w:rsidRPr="00470C7C">
        <w:rPr>
          <w:i/>
          <w:lang w:val="es-CL"/>
        </w:rPr>
        <w:t xml:space="preserve">análoga </w:t>
      </w:r>
      <w:r w:rsidR="00D36269" w:rsidRPr="00470C7C">
        <w:rPr>
          <w:i/>
          <w:lang w:val="es-CL"/>
        </w:rPr>
        <w:t xml:space="preserve">a la de </w:t>
      </w:r>
      <w:r w:rsidRPr="00470C7C">
        <w:rPr>
          <w:i/>
          <w:lang w:val="es-CL"/>
        </w:rPr>
        <w:t>esc</w:t>
      </w:r>
      <w:r w:rsidR="00D36269" w:rsidRPr="00470C7C">
        <w:rPr>
          <w:i/>
          <w:lang w:val="es-CL"/>
        </w:rPr>
        <w:t>l</w:t>
      </w:r>
      <w:r w:rsidRPr="00470C7C">
        <w:rPr>
          <w:i/>
          <w:lang w:val="es-CL"/>
        </w:rPr>
        <w:t>avo: Pena - reclus</w:t>
      </w:r>
      <w:r w:rsidR="00D36269" w:rsidRPr="00470C7C">
        <w:rPr>
          <w:i/>
          <w:lang w:val="es-CL"/>
        </w:rPr>
        <w:t>ión</w:t>
      </w:r>
      <w:r w:rsidRPr="00470C7C">
        <w:rPr>
          <w:i/>
          <w:lang w:val="es-CL"/>
        </w:rPr>
        <w:t>, de 2 (dos) a 8 (o</w:t>
      </w:r>
      <w:r w:rsidR="00D36269" w:rsidRPr="00470C7C">
        <w:rPr>
          <w:i/>
          <w:lang w:val="es-CL"/>
        </w:rPr>
        <w:t>ch</w:t>
      </w:r>
      <w:r w:rsidRPr="00470C7C">
        <w:rPr>
          <w:i/>
          <w:lang w:val="es-CL"/>
        </w:rPr>
        <w:t>o) a</w:t>
      </w:r>
      <w:r w:rsidR="00D36269" w:rsidRPr="00470C7C">
        <w:rPr>
          <w:i/>
          <w:lang w:val="es-CL"/>
        </w:rPr>
        <w:t>ñ</w:t>
      </w:r>
      <w:r w:rsidRPr="00470C7C">
        <w:rPr>
          <w:i/>
          <w:lang w:val="es-CL"/>
        </w:rPr>
        <w:t>os</w:t>
      </w:r>
      <w:r w:rsidRPr="00470C7C">
        <w:rPr>
          <w:lang w:val="es-CL"/>
        </w:rPr>
        <w:t>”</w:t>
      </w:r>
      <w:r w:rsidR="00D36269" w:rsidRPr="00470C7C">
        <w:rPr>
          <w:lang w:val="es-CL"/>
        </w:rPr>
        <w:t>.</w:t>
      </w:r>
      <w:r w:rsidRPr="00470C7C">
        <w:rPr>
          <w:lang w:val="es-CL"/>
        </w:rPr>
        <w:t xml:space="preserve"> Es decir que no se trataba del nuevo tipo penal producto de la reforma del año 2003, el cual incluye cuatro figuras como análogas a la condición de esclavo (trabajo forzoso, jornada exhaustiva, condiciones degradantes de trabajo, restricción de movimiento con base en deuda con el empleador)</w:t>
      </w:r>
      <w:r w:rsidRPr="00470C7C">
        <w:rPr>
          <w:rStyle w:val="Refdenotaalpie"/>
          <w:lang w:val="es-CL"/>
        </w:rPr>
        <w:footnoteReference w:id="446"/>
      </w:r>
      <w:r w:rsidRPr="00470C7C">
        <w:rPr>
          <w:lang w:val="es-CL"/>
        </w:rPr>
        <w:t xml:space="preserve">. Así, es necesario tener presente que el tipo penal vigente a la época de los hechos no podría ser caracterizado como distinto a la prohibición existente en la Convención Americana, o “demasiado amplio” como sugiere el Estado. </w:t>
      </w:r>
    </w:p>
    <w:p w14:paraId="1025C683" w14:textId="77777777" w:rsidR="001E1449" w:rsidRPr="00470C7C" w:rsidRDefault="001E1449" w:rsidP="001E1449">
      <w:pPr>
        <w:pStyle w:val="Prrafodelista"/>
        <w:ind w:left="0"/>
        <w:rPr>
          <w:lang w:val="es-CL"/>
        </w:rPr>
      </w:pPr>
    </w:p>
    <w:p w14:paraId="143D4D7C" w14:textId="77777777" w:rsidR="001E1449" w:rsidRPr="00470C7C" w:rsidRDefault="001E1449" w:rsidP="001E1449">
      <w:pPr>
        <w:pStyle w:val="Prrafodelista"/>
        <w:numPr>
          <w:ilvl w:val="0"/>
          <w:numId w:val="1"/>
        </w:numPr>
        <w:contextualSpacing w:val="0"/>
        <w:rPr>
          <w:lang w:val="es-CL"/>
        </w:rPr>
      </w:pPr>
      <w:r w:rsidRPr="00470C7C">
        <w:rPr>
          <w:lang w:val="es-CL"/>
        </w:rPr>
        <w:t xml:space="preserve">Asimismo, de la jurisprudencia de tribunales superiores brasileños aportada al Tribunal durante el litigio del presente caso, tanto por el Estado como por los representantes, testigos, declarantes a título informativo y peritos, se destaca que el elemento fundamental para determinar la existencia de </w:t>
      </w:r>
      <w:r w:rsidR="00D36269" w:rsidRPr="00470C7C">
        <w:rPr>
          <w:lang w:val="es-CL"/>
        </w:rPr>
        <w:t xml:space="preserve">una </w:t>
      </w:r>
      <w:r w:rsidRPr="00470C7C">
        <w:rPr>
          <w:lang w:val="es-CL"/>
        </w:rPr>
        <w:t xml:space="preserve">situación análoga a la </w:t>
      </w:r>
      <w:r w:rsidR="00260035" w:rsidRPr="00470C7C">
        <w:rPr>
          <w:lang w:val="es-CL"/>
        </w:rPr>
        <w:t xml:space="preserve">de esclavo </w:t>
      </w:r>
      <w:r w:rsidRPr="00470C7C">
        <w:rPr>
          <w:lang w:val="es-CL"/>
        </w:rPr>
        <w:t>por los tribunales brasileños</w:t>
      </w:r>
      <w:r w:rsidR="00D36269" w:rsidRPr="00470C7C">
        <w:rPr>
          <w:lang w:val="es-CL"/>
        </w:rPr>
        <w:t>,</w:t>
      </w:r>
      <w:r w:rsidRPr="00470C7C">
        <w:rPr>
          <w:lang w:val="es-CL"/>
        </w:rPr>
        <w:t xml:space="preserve"> antes de la reforma del tipo penal en 2003</w:t>
      </w:r>
      <w:r w:rsidR="00D36269" w:rsidRPr="00470C7C">
        <w:rPr>
          <w:lang w:val="es-CL"/>
        </w:rPr>
        <w:t>,</w:t>
      </w:r>
      <w:r w:rsidRPr="00470C7C">
        <w:rPr>
          <w:lang w:val="es-CL"/>
        </w:rPr>
        <w:t xml:space="preserve"> era la privación de libertad del trabajador. La interpretación de la prohibición de la esclavitud en el artículo 149 original del Código Penal hacía necesaria la ocurrencia de una restricción a la libertad de las víctimas, hecho confirmado en el presente caso en virtud de las amenazas, violencia y servidumbre por deuda existentes en la Hacienda Brasil Verde (</w:t>
      </w:r>
      <w:r w:rsidRPr="00470C7C">
        <w:rPr>
          <w:i/>
          <w:lang w:val="es-CL"/>
        </w:rPr>
        <w:t xml:space="preserve">supra </w:t>
      </w:r>
      <w:r w:rsidRPr="00470C7C">
        <w:rPr>
          <w:lang w:val="es-CL"/>
        </w:rPr>
        <w:t xml:space="preserve">párr. </w:t>
      </w:r>
      <w:r w:rsidR="006912F8" w:rsidRPr="00470C7C">
        <w:rPr>
          <w:lang w:val="es-CL"/>
        </w:rPr>
        <w:t>304</w:t>
      </w:r>
      <w:r w:rsidRPr="00470C7C">
        <w:rPr>
          <w:lang w:val="es-CL"/>
        </w:rPr>
        <w:t>). Asimismo, fue constatada la existencia de trabajo extenuante, condiciones degradantes de vi</w:t>
      </w:r>
      <w:r w:rsidR="00531F92" w:rsidRPr="00470C7C">
        <w:rPr>
          <w:lang w:val="es-CL"/>
        </w:rPr>
        <w:t>da, falsificación de documentos</w:t>
      </w:r>
      <w:r w:rsidRPr="00470C7C">
        <w:rPr>
          <w:lang w:val="es-CL"/>
        </w:rPr>
        <w:t xml:space="preserve"> y la presencia de menores de edad. Lo anterior contra</w:t>
      </w:r>
      <w:r w:rsidR="00D36269" w:rsidRPr="00470C7C">
        <w:rPr>
          <w:lang w:val="es-CL"/>
        </w:rPr>
        <w:t>dice</w:t>
      </w:r>
      <w:r w:rsidRPr="00470C7C">
        <w:rPr>
          <w:lang w:val="es-CL"/>
        </w:rPr>
        <w:t xml:space="preserve"> rotundamente el argumento del Estado respecto a que los trabajadores eran libres para salir de la hacienda. En virtud de lo anterior, el argumento del Estado respecto a que los hechos podrían caracterizar esclavitud únicamente bajo la legislación nacional – y no con base en el derecho internacional – no tiene mérito. </w:t>
      </w:r>
    </w:p>
    <w:p w14:paraId="0ED242E0" w14:textId="77777777" w:rsidR="001E1449" w:rsidRPr="00470C7C" w:rsidRDefault="001E1449" w:rsidP="001E1449">
      <w:pPr>
        <w:pStyle w:val="Prrafodelista"/>
        <w:ind w:left="0"/>
        <w:rPr>
          <w:lang w:val="es-CL"/>
        </w:rPr>
      </w:pPr>
    </w:p>
    <w:p w14:paraId="335C4106" w14:textId="77777777" w:rsidR="001E1449" w:rsidRPr="00470C7C" w:rsidRDefault="001E1449" w:rsidP="001E1449">
      <w:pPr>
        <w:pStyle w:val="Prrafodelista"/>
        <w:numPr>
          <w:ilvl w:val="0"/>
          <w:numId w:val="1"/>
        </w:numPr>
        <w:contextualSpacing w:val="0"/>
        <w:rPr>
          <w:lang w:val="es-CL"/>
        </w:rPr>
      </w:pPr>
      <w:r w:rsidRPr="00470C7C">
        <w:rPr>
          <w:lang w:val="es-CL"/>
        </w:rPr>
        <w:t>En segundo lugar, es importante hacer notar que si un país adopta normas que sean más protectoras a la persona humana, como podría entenderse la prohibición de la esclavitud en el ordenamiento jurídico brasileño a partir de 2003, el Tribunal no podría restringir su análisis de la situación específica con base a una norma que otorgue menos protección. Ese es el espíritu del artículo 29 de la Convención Americana, el cual dispone que:</w:t>
      </w:r>
    </w:p>
    <w:p w14:paraId="75375F1D" w14:textId="77777777" w:rsidR="001E1449" w:rsidRPr="00470C7C" w:rsidRDefault="001E1449" w:rsidP="001E1449">
      <w:pPr>
        <w:pStyle w:val="Prrafodelista"/>
        <w:ind w:left="0"/>
        <w:rPr>
          <w:lang w:val="es-CL"/>
        </w:rPr>
      </w:pPr>
    </w:p>
    <w:p w14:paraId="6848D6DD" w14:textId="77777777" w:rsidR="001E1449" w:rsidRPr="00470C7C" w:rsidRDefault="001E1449" w:rsidP="006912F8">
      <w:pPr>
        <w:pStyle w:val="Prrafodelista"/>
        <w:ind w:left="851" w:right="804"/>
        <w:rPr>
          <w:sz w:val="16"/>
          <w:szCs w:val="16"/>
          <w:lang w:val="es-ES"/>
        </w:rPr>
      </w:pPr>
      <w:proofErr w:type="spellStart"/>
      <w:r w:rsidRPr="00470C7C">
        <w:rPr>
          <w:sz w:val="16"/>
          <w:szCs w:val="16"/>
        </w:rPr>
        <w:t>Artículo</w:t>
      </w:r>
      <w:proofErr w:type="spellEnd"/>
      <w:r w:rsidRPr="00470C7C">
        <w:rPr>
          <w:sz w:val="16"/>
          <w:szCs w:val="16"/>
        </w:rPr>
        <w:t xml:space="preserve"> 29. Normas de </w:t>
      </w:r>
      <w:proofErr w:type="spellStart"/>
      <w:r w:rsidRPr="00470C7C">
        <w:rPr>
          <w:sz w:val="16"/>
          <w:szCs w:val="16"/>
        </w:rPr>
        <w:t>Interpretación</w:t>
      </w:r>
      <w:proofErr w:type="spellEnd"/>
      <w:r w:rsidRPr="00470C7C">
        <w:rPr>
          <w:sz w:val="16"/>
          <w:szCs w:val="16"/>
        </w:rPr>
        <w:t xml:space="preserve"> </w:t>
      </w:r>
    </w:p>
    <w:p w14:paraId="4D67DBE3" w14:textId="77777777" w:rsidR="001E1449" w:rsidRPr="00470C7C" w:rsidRDefault="001E1449" w:rsidP="006912F8">
      <w:pPr>
        <w:pStyle w:val="Prrafodelista"/>
        <w:ind w:left="851" w:right="804"/>
        <w:rPr>
          <w:sz w:val="16"/>
          <w:szCs w:val="16"/>
        </w:rPr>
      </w:pPr>
      <w:r w:rsidRPr="00470C7C">
        <w:rPr>
          <w:sz w:val="16"/>
          <w:szCs w:val="16"/>
        </w:rPr>
        <w:t xml:space="preserve">Ninguna </w:t>
      </w:r>
      <w:proofErr w:type="spellStart"/>
      <w:r w:rsidRPr="00470C7C">
        <w:rPr>
          <w:sz w:val="16"/>
          <w:szCs w:val="16"/>
        </w:rPr>
        <w:t>disposición</w:t>
      </w:r>
      <w:proofErr w:type="spellEnd"/>
      <w:r w:rsidRPr="00470C7C">
        <w:rPr>
          <w:sz w:val="16"/>
          <w:szCs w:val="16"/>
        </w:rPr>
        <w:t xml:space="preserve"> de la presente </w:t>
      </w:r>
      <w:proofErr w:type="spellStart"/>
      <w:r w:rsidRPr="00470C7C">
        <w:rPr>
          <w:sz w:val="16"/>
          <w:szCs w:val="16"/>
        </w:rPr>
        <w:t>Convención</w:t>
      </w:r>
      <w:proofErr w:type="spellEnd"/>
      <w:r w:rsidRPr="00470C7C">
        <w:rPr>
          <w:sz w:val="16"/>
          <w:szCs w:val="16"/>
        </w:rPr>
        <w:t xml:space="preserve"> puede ser interpretada en el sentido de: </w:t>
      </w:r>
    </w:p>
    <w:p w14:paraId="246B7A1E" w14:textId="77777777" w:rsidR="001E1449" w:rsidRPr="00470C7C" w:rsidRDefault="001E1449" w:rsidP="006912F8">
      <w:pPr>
        <w:pStyle w:val="Prrafodelista"/>
        <w:ind w:left="851" w:right="804"/>
        <w:rPr>
          <w:sz w:val="16"/>
          <w:szCs w:val="16"/>
        </w:rPr>
      </w:pPr>
      <w:r w:rsidRPr="00470C7C">
        <w:rPr>
          <w:sz w:val="16"/>
          <w:szCs w:val="16"/>
        </w:rPr>
        <w:t xml:space="preserve">a) permitir a alguno de los Estados Partes, grupo o persona, suprimir el goce y ejercicio de los derechos y libertades reconocidos en la </w:t>
      </w:r>
      <w:proofErr w:type="spellStart"/>
      <w:r w:rsidRPr="00470C7C">
        <w:rPr>
          <w:sz w:val="16"/>
          <w:szCs w:val="16"/>
        </w:rPr>
        <w:t>Convención</w:t>
      </w:r>
      <w:proofErr w:type="spellEnd"/>
      <w:r w:rsidRPr="00470C7C">
        <w:rPr>
          <w:sz w:val="16"/>
          <w:szCs w:val="16"/>
        </w:rPr>
        <w:t xml:space="preserve"> o limitarlos en mayor medida que la prevista en ella; </w:t>
      </w:r>
    </w:p>
    <w:p w14:paraId="4A38A4E5" w14:textId="77777777" w:rsidR="001E1449" w:rsidRPr="00470C7C" w:rsidRDefault="001E1449" w:rsidP="006912F8">
      <w:pPr>
        <w:pStyle w:val="Prrafodelista"/>
        <w:ind w:left="851" w:right="804"/>
        <w:rPr>
          <w:sz w:val="16"/>
          <w:szCs w:val="16"/>
        </w:rPr>
      </w:pPr>
      <w:r w:rsidRPr="00470C7C">
        <w:rPr>
          <w:sz w:val="16"/>
          <w:szCs w:val="16"/>
        </w:rPr>
        <w:t xml:space="preserve">b)  limitar el goce y ejercicio de cualquier derecho o libertad que pueda estar reconocido de acuerdo con las leyes de cualquiera de los Estados Partes o de acuerdo con otra </w:t>
      </w:r>
      <w:proofErr w:type="spellStart"/>
      <w:r w:rsidRPr="00470C7C">
        <w:rPr>
          <w:sz w:val="16"/>
          <w:szCs w:val="16"/>
        </w:rPr>
        <w:t>convención</w:t>
      </w:r>
      <w:proofErr w:type="spellEnd"/>
      <w:r w:rsidRPr="00470C7C">
        <w:rPr>
          <w:sz w:val="16"/>
          <w:szCs w:val="16"/>
        </w:rPr>
        <w:t xml:space="preserve"> en que sea parte uno de dichos Estados; </w:t>
      </w:r>
    </w:p>
    <w:p w14:paraId="7A1AB06B" w14:textId="77777777" w:rsidR="001E1449" w:rsidRPr="00470C7C" w:rsidRDefault="001E1449" w:rsidP="006912F8">
      <w:pPr>
        <w:pStyle w:val="Prrafodelista"/>
        <w:ind w:left="851" w:right="804"/>
        <w:rPr>
          <w:sz w:val="16"/>
          <w:szCs w:val="16"/>
        </w:rPr>
      </w:pPr>
      <w:r w:rsidRPr="00470C7C">
        <w:rPr>
          <w:sz w:val="16"/>
          <w:szCs w:val="16"/>
        </w:rPr>
        <w:t xml:space="preserve">c)  excluir otros derechos y </w:t>
      </w:r>
      <w:proofErr w:type="spellStart"/>
      <w:r w:rsidRPr="00470C7C">
        <w:rPr>
          <w:sz w:val="16"/>
          <w:szCs w:val="16"/>
        </w:rPr>
        <w:t>garantías</w:t>
      </w:r>
      <w:proofErr w:type="spellEnd"/>
      <w:r w:rsidRPr="00470C7C">
        <w:rPr>
          <w:sz w:val="16"/>
          <w:szCs w:val="16"/>
        </w:rPr>
        <w:t xml:space="preserve"> que son inherentes al ser humano o que se derivan de la forma </w:t>
      </w:r>
      <w:proofErr w:type="spellStart"/>
      <w:r w:rsidRPr="00470C7C">
        <w:rPr>
          <w:sz w:val="16"/>
          <w:szCs w:val="16"/>
        </w:rPr>
        <w:t>democrática</w:t>
      </w:r>
      <w:proofErr w:type="spellEnd"/>
      <w:r w:rsidRPr="00470C7C">
        <w:rPr>
          <w:sz w:val="16"/>
          <w:szCs w:val="16"/>
        </w:rPr>
        <w:t xml:space="preserve"> representativa de gobierno, y </w:t>
      </w:r>
    </w:p>
    <w:p w14:paraId="6CEEE0CB" w14:textId="77777777" w:rsidR="001E1449" w:rsidRPr="00470C7C" w:rsidRDefault="001E1449" w:rsidP="006912F8">
      <w:pPr>
        <w:pStyle w:val="Prrafodelista"/>
        <w:ind w:left="851" w:right="804"/>
        <w:rPr>
          <w:sz w:val="16"/>
          <w:szCs w:val="16"/>
        </w:rPr>
      </w:pPr>
      <w:r w:rsidRPr="00470C7C">
        <w:rPr>
          <w:sz w:val="16"/>
          <w:szCs w:val="16"/>
        </w:rPr>
        <w:t xml:space="preserve">d)  excluir o limitar el efecto que puedan producir la </w:t>
      </w:r>
      <w:proofErr w:type="spellStart"/>
      <w:r w:rsidRPr="00470C7C">
        <w:rPr>
          <w:sz w:val="16"/>
          <w:szCs w:val="16"/>
        </w:rPr>
        <w:t>Declaración</w:t>
      </w:r>
      <w:proofErr w:type="spellEnd"/>
      <w:r w:rsidRPr="00470C7C">
        <w:rPr>
          <w:sz w:val="16"/>
          <w:szCs w:val="16"/>
        </w:rPr>
        <w:t xml:space="preserve"> Americana de Derechos y Deberes del Hombre y otros actos internacionales de la misma naturaleza. </w:t>
      </w:r>
    </w:p>
    <w:p w14:paraId="2332C98E" w14:textId="77777777" w:rsidR="001E1449" w:rsidRPr="00470C7C" w:rsidRDefault="001E1449" w:rsidP="001E1449">
      <w:pPr>
        <w:pStyle w:val="Prrafodelista"/>
        <w:ind w:left="0"/>
        <w:rPr>
          <w:szCs w:val="20"/>
          <w:lang w:val="es-CL"/>
        </w:rPr>
      </w:pPr>
    </w:p>
    <w:p w14:paraId="6E6AFF29" w14:textId="77777777" w:rsidR="001E1449" w:rsidRPr="00470C7C" w:rsidRDefault="001E1449" w:rsidP="001E1449">
      <w:pPr>
        <w:pStyle w:val="Prrafodelista"/>
        <w:numPr>
          <w:ilvl w:val="0"/>
          <w:numId w:val="1"/>
        </w:numPr>
        <w:contextualSpacing w:val="0"/>
        <w:rPr>
          <w:lang w:val="es-CL"/>
        </w:rPr>
      </w:pPr>
      <w:r w:rsidRPr="00470C7C">
        <w:rPr>
          <w:lang w:val="es-CL"/>
        </w:rPr>
        <w:t>La lectura literal del inciso b</w:t>
      </w:r>
      <w:r w:rsidR="00475F4D" w:rsidRPr="00470C7C">
        <w:rPr>
          <w:lang w:val="es-CL"/>
        </w:rPr>
        <w:t>)</w:t>
      </w:r>
      <w:r w:rsidRPr="00470C7C">
        <w:rPr>
          <w:lang w:val="es-CL"/>
        </w:rPr>
        <w:t xml:space="preserve"> del artículo 29 es clara al demostrar que la Convención no permite una interpretación que limite el goce y el ejercicio de los derechos humanos</w:t>
      </w:r>
      <w:r w:rsidRPr="00470C7C">
        <w:rPr>
          <w:rStyle w:val="Refdenotaalpie"/>
          <w:lang w:val="es-CL"/>
        </w:rPr>
        <w:footnoteReference w:id="447"/>
      </w:r>
      <w:r w:rsidRPr="00470C7C">
        <w:rPr>
          <w:lang w:val="es-CL"/>
        </w:rPr>
        <w:t xml:space="preserve">. La interpretación </w:t>
      </w:r>
      <w:r w:rsidRPr="00470C7C">
        <w:rPr>
          <w:i/>
          <w:lang w:val="es-CL"/>
        </w:rPr>
        <w:t xml:space="preserve">pro persona </w:t>
      </w:r>
      <w:r w:rsidRPr="00470C7C">
        <w:rPr>
          <w:lang w:val="es-CL"/>
        </w:rPr>
        <w:t xml:space="preserve">exige que la Corte interprete los derechos humanos previstos en la Convención Americana a la luz de la norma más protectora respecto de la cual las personas bajo su jurisdicción están sometidas. </w:t>
      </w:r>
    </w:p>
    <w:p w14:paraId="19CBB90A" w14:textId="77777777" w:rsidR="001E1449" w:rsidRPr="00470C7C" w:rsidRDefault="001E1449" w:rsidP="001E1449">
      <w:pPr>
        <w:pStyle w:val="Prrafodelista"/>
        <w:ind w:left="0"/>
        <w:rPr>
          <w:lang w:val="es-CL"/>
        </w:rPr>
      </w:pPr>
    </w:p>
    <w:p w14:paraId="378672E6" w14:textId="77777777" w:rsidR="001E1449" w:rsidRPr="00470C7C" w:rsidRDefault="001E1449" w:rsidP="001E1449">
      <w:pPr>
        <w:pStyle w:val="Prrafodelista"/>
        <w:numPr>
          <w:ilvl w:val="0"/>
          <w:numId w:val="1"/>
        </w:numPr>
        <w:contextualSpacing w:val="0"/>
        <w:rPr>
          <w:lang w:val="es-CL"/>
        </w:rPr>
      </w:pPr>
      <w:r w:rsidRPr="00470C7C">
        <w:rPr>
          <w:lang w:val="es-CL"/>
        </w:rPr>
        <w:t xml:space="preserve">Finalmente, la Corte hace notar que la jurisprudencia reciente del Supremo Tribunal Federal (STF) de Brasil se encuentra en consonancia con el pronunciamiento de la Corte Interamericana en el presente caso. Los fallos presentados durante este litigio demuestran que el Tribunal Superior del Trabajo (TST) y el propio STF interpretan las situaciones análogas a la esclavitud de manera responsable, dejando claro que una mera violación a la legislación laboral no alcanza el umbral de reducción a la esclavitud, sino que se necesita que las violaciones sean graves, persistentes </w:t>
      </w:r>
      <w:r w:rsidR="00B066A0" w:rsidRPr="00470C7C">
        <w:rPr>
          <w:lang w:val="es-CL"/>
        </w:rPr>
        <w:t xml:space="preserve">y </w:t>
      </w:r>
      <w:r w:rsidRPr="00470C7C">
        <w:rPr>
          <w:lang w:val="es-CL"/>
        </w:rPr>
        <w:t xml:space="preserve">que lleguen a afectar la libre determinación de la víctima. En ese sentido, fue el Voto de la Ministra Rosa Weber en el Recurso Especial 459510/MT: </w:t>
      </w:r>
    </w:p>
    <w:p w14:paraId="3BF2B939" w14:textId="77777777" w:rsidR="001E1449" w:rsidRPr="00470C7C" w:rsidRDefault="001E1449" w:rsidP="001E1449">
      <w:pPr>
        <w:pStyle w:val="Prrafodelista"/>
        <w:ind w:left="0"/>
        <w:rPr>
          <w:lang w:val="es-CL"/>
        </w:rPr>
      </w:pPr>
    </w:p>
    <w:p w14:paraId="69B8871D" w14:textId="77777777" w:rsidR="001E1449" w:rsidRPr="00470C7C" w:rsidRDefault="001E1449" w:rsidP="001E1449">
      <w:pPr>
        <w:pStyle w:val="Prrafodelista"/>
        <w:ind w:left="709" w:right="804"/>
        <w:rPr>
          <w:sz w:val="16"/>
          <w:szCs w:val="16"/>
          <w:lang w:val="es-ES"/>
        </w:rPr>
      </w:pPr>
      <w:r w:rsidRPr="00470C7C">
        <w:rPr>
          <w:sz w:val="16"/>
          <w:szCs w:val="16"/>
          <w:lang w:val="es-ES"/>
        </w:rPr>
        <w:t>“</w:t>
      </w:r>
      <w:r w:rsidR="00B066A0" w:rsidRPr="00470C7C">
        <w:rPr>
          <w:sz w:val="16"/>
          <w:szCs w:val="16"/>
          <w:lang w:val="es-ES"/>
        </w:rPr>
        <w:t xml:space="preserve">Obviamente, no toda violación de los derechos laborales configura trabajo esclavo. Sin embargo, si la ofensa a los derechos garantizados por la legislación del trabajo vigente es intensa y persistente, se llega a niveles </w:t>
      </w:r>
      <w:r w:rsidR="00531F92" w:rsidRPr="00470C7C">
        <w:rPr>
          <w:sz w:val="16"/>
          <w:szCs w:val="16"/>
          <w:lang w:val="es-ES"/>
        </w:rPr>
        <w:t>escandalosos</w:t>
      </w:r>
      <w:r w:rsidR="00B066A0" w:rsidRPr="00470C7C">
        <w:rPr>
          <w:sz w:val="16"/>
          <w:szCs w:val="16"/>
          <w:lang w:val="es-ES"/>
        </w:rPr>
        <w:t xml:space="preserve"> y </w:t>
      </w:r>
      <w:r w:rsidR="007D3137" w:rsidRPr="00470C7C">
        <w:rPr>
          <w:sz w:val="16"/>
          <w:szCs w:val="16"/>
          <w:lang w:val="es-ES"/>
        </w:rPr>
        <w:t xml:space="preserve">si </w:t>
      </w:r>
      <w:r w:rsidR="00B066A0" w:rsidRPr="00470C7C">
        <w:rPr>
          <w:sz w:val="16"/>
          <w:szCs w:val="16"/>
          <w:lang w:val="es-ES"/>
        </w:rPr>
        <w:t>los trabajadores están sometidos a trabajos forz</w:t>
      </w:r>
      <w:r w:rsidR="007D3137" w:rsidRPr="00470C7C">
        <w:rPr>
          <w:sz w:val="16"/>
          <w:szCs w:val="16"/>
          <w:lang w:val="es-ES"/>
        </w:rPr>
        <w:t>osos</w:t>
      </w:r>
      <w:r w:rsidR="00B066A0" w:rsidRPr="00470C7C">
        <w:rPr>
          <w:sz w:val="16"/>
          <w:szCs w:val="16"/>
          <w:lang w:val="es-ES"/>
        </w:rPr>
        <w:t xml:space="preserve">, </w:t>
      </w:r>
      <w:r w:rsidR="007D3137" w:rsidRPr="00470C7C">
        <w:rPr>
          <w:sz w:val="16"/>
          <w:szCs w:val="16"/>
          <w:lang w:val="es-ES"/>
        </w:rPr>
        <w:t xml:space="preserve">jornadas exhaustivas </w:t>
      </w:r>
      <w:r w:rsidR="00B066A0" w:rsidRPr="00470C7C">
        <w:rPr>
          <w:sz w:val="16"/>
          <w:szCs w:val="16"/>
          <w:lang w:val="es-ES"/>
        </w:rPr>
        <w:t xml:space="preserve">o condiciones degradantes, es posible, en teoría, </w:t>
      </w:r>
      <w:r w:rsidR="007D3137" w:rsidRPr="00470C7C">
        <w:rPr>
          <w:sz w:val="16"/>
          <w:szCs w:val="16"/>
          <w:lang w:val="es-ES"/>
        </w:rPr>
        <w:t xml:space="preserve">enmarcar en el delito del </w:t>
      </w:r>
      <w:r w:rsidR="00B066A0" w:rsidRPr="00470C7C">
        <w:rPr>
          <w:sz w:val="16"/>
          <w:szCs w:val="16"/>
          <w:lang w:val="es-ES"/>
        </w:rPr>
        <w:t xml:space="preserve">art. 149 del Código Penal, </w:t>
      </w:r>
      <w:r w:rsidR="007D3137" w:rsidRPr="00470C7C">
        <w:rPr>
          <w:sz w:val="16"/>
          <w:szCs w:val="16"/>
          <w:lang w:val="es-ES"/>
        </w:rPr>
        <w:t xml:space="preserve">pues se ha dado a los </w:t>
      </w:r>
      <w:r w:rsidR="00B066A0" w:rsidRPr="00470C7C">
        <w:rPr>
          <w:sz w:val="16"/>
          <w:szCs w:val="16"/>
          <w:lang w:val="es-ES"/>
        </w:rPr>
        <w:t xml:space="preserve">trabajadores </w:t>
      </w:r>
      <w:r w:rsidR="007D3137" w:rsidRPr="00470C7C">
        <w:rPr>
          <w:sz w:val="16"/>
          <w:szCs w:val="16"/>
          <w:lang w:val="es-ES"/>
        </w:rPr>
        <w:t xml:space="preserve">el </w:t>
      </w:r>
      <w:r w:rsidR="00B066A0" w:rsidRPr="00470C7C">
        <w:rPr>
          <w:sz w:val="16"/>
          <w:szCs w:val="16"/>
          <w:lang w:val="es-ES"/>
        </w:rPr>
        <w:t xml:space="preserve">tratamiento </w:t>
      </w:r>
      <w:r w:rsidR="007D3137" w:rsidRPr="00470C7C">
        <w:rPr>
          <w:sz w:val="16"/>
          <w:szCs w:val="16"/>
          <w:lang w:val="es-ES"/>
        </w:rPr>
        <w:t xml:space="preserve">análogo al de </w:t>
      </w:r>
      <w:r w:rsidR="00B066A0" w:rsidRPr="00470C7C">
        <w:rPr>
          <w:sz w:val="16"/>
          <w:szCs w:val="16"/>
          <w:lang w:val="es-ES"/>
        </w:rPr>
        <w:t xml:space="preserve">esclavos, con la privación de </w:t>
      </w:r>
      <w:r w:rsidR="007D3137" w:rsidRPr="00470C7C">
        <w:rPr>
          <w:sz w:val="16"/>
          <w:szCs w:val="16"/>
          <w:lang w:val="es-ES"/>
        </w:rPr>
        <w:t xml:space="preserve">su </w:t>
      </w:r>
      <w:r w:rsidR="00B066A0" w:rsidRPr="00470C7C">
        <w:rPr>
          <w:sz w:val="16"/>
          <w:szCs w:val="16"/>
          <w:lang w:val="es-ES"/>
        </w:rPr>
        <w:t xml:space="preserve">libertad y, sobre todo, su dignidad, incluso en ausencia de </w:t>
      </w:r>
      <w:r w:rsidR="00531F92" w:rsidRPr="00470C7C">
        <w:rPr>
          <w:sz w:val="16"/>
          <w:szCs w:val="16"/>
          <w:lang w:val="es-ES"/>
        </w:rPr>
        <w:t>restricción</w:t>
      </w:r>
      <w:r w:rsidR="00B066A0" w:rsidRPr="00470C7C">
        <w:rPr>
          <w:sz w:val="16"/>
          <w:szCs w:val="16"/>
          <w:lang w:val="es-ES"/>
        </w:rPr>
        <w:t xml:space="preserve"> directa </w:t>
      </w:r>
      <w:r w:rsidR="00531F92" w:rsidRPr="00470C7C">
        <w:rPr>
          <w:sz w:val="16"/>
          <w:szCs w:val="16"/>
          <w:lang w:val="es-ES"/>
        </w:rPr>
        <w:t xml:space="preserve">de </w:t>
      </w:r>
      <w:r w:rsidR="00B066A0" w:rsidRPr="00470C7C">
        <w:rPr>
          <w:sz w:val="16"/>
          <w:szCs w:val="16"/>
          <w:lang w:val="es-ES"/>
        </w:rPr>
        <w:t>la libertad de ir y venir</w:t>
      </w:r>
      <w:r w:rsidRPr="00470C7C">
        <w:rPr>
          <w:sz w:val="16"/>
          <w:szCs w:val="16"/>
          <w:lang w:val="es-ES"/>
        </w:rPr>
        <w:t>.”</w:t>
      </w:r>
      <w:r w:rsidR="00B066A0" w:rsidRPr="00470C7C">
        <w:rPr>
          <w:rStyle w:val="Refdenotaalpie"/>
          <w:sz w:val="16"/>
          <w:lang w:val="pt-BR"/>
        </w:rPr>
        <w:footnoteReference w:id="448"/>
      </w:r>
      <w:r w:rsidRPr="00470C7C">
        <w:rPr>
          <w:sz w:val="16"/>
          <w:szCs w:val="16"/>
          <w:lang w:val="es-ES"/>
        </w:rPr>
        <w:t xml:space="preserve">  </w:t>
      </w:r>
    </w:p>
    <w:p w14:paraId="67244158" w14:textId="77777777" w:rsidR="001E1449" w:rsidRPr="00470C7C" w:rsidRDefault="001E1449" w:rsidP="001E1449">
      <w:pPr>
        <w:pStyle w:val="Prrafodelista"/>
        <w:ind w:left="0"/>
        <w:rPr>
          <w:szCs w:val="20"/>
          <w:lang w:val="es-ES"/>
        </w:rPr>
      </w:pPr>
    </w:p>
    <w:p w14:paraId="74EBB6B1" w14:textId="77777777" w:rsidR="001E1449" w:rsidRPr="00470C7C" w:rsidRDefault="001E1449" w:rsidP="001E1449">
      <w:pPr>
        <w:pStyle w:val="Prrafodelista"/>
        <w:numPr>
          <w:ilvl w:val="0"/>
          <w:numId w:val="1"/>
        </w:numPr>
        <w:contextualSpacing w:val="0"/>
        <w:rPr>
          <w:bCs/>
          <w:lang w:val="es-ES"/>
        </w:rPr>
      </w:pPr>
      <w:r w:rsidRPr="00470C7C">
        <w:t>Por todo lo anterior, la Corte no considera que el argumento estatal sobre una protección más amplia provista por el artículo 149 del Código Penal brasileño pued</w:t>
      </w:r>
      <w:r w:rsidR="00B066A0" w:rsidRPr="00470C7C">
        <w:t>a</w:t>
      </w:r>
      <w:r w:rsidRPr="00470C7C">
        <w:t xml:space="preserve"> eximirle de su responsabilidad en el presente caso. </w:t>
      </w:r>
    </w:p>
    <w:p w14:paraId="11CC8975" w14:textId="77777777" w:rsidR="001E1449" w:rsidRPr="00470C7C" w:rsidRDefault="001E1449" w:rsidP="005D2CE2">
      <w:pPr>
        <w:pStyle w:val="Ttulo3"/>
      </w:pPr>
    </w:p>
    <w:p w14:paraId="6EC2095E" w14:textId="77777777" w:rsidR="00207197" w:rsidRPr="00470C7C" w:rsidRDefault="00F9204B" w:rsidP="005D2CE2">
      <w:pPr>
        <w:pStyle w:val="Ttulo3"/>
      </w:pPr>
      <w:bookmarkStart w:id="358" w:name="_Toc464813967"/>
      <w:r w:rsidRPr="00470C7C">
        <w:t>B.</w:t>
      </w:r>
      <w:r w:rsidR="001E1449" w:rsidRPr="00470C7C">
        <w:t>9</w:t>
      </w:r>
      <w:r w:rsidR="00DC2886" w:rsidRPr="00470C7C">
        <w:t>.</w:t>
      </w:r>
      <w:r w:rsidR="00207197" w:rsidRPr="00470C7C">
        <w:t xml:space="preserve"> La responsabilidad del Estado en el presente caso</w:t>
      </w:r>
      <w:bookmarkEnd w:id="358"/>
    </w:p>
    <w:p w14:paraId="24EE605F" w14:textId="77777777" w:rsidR="00207197" w:rsidRPr="00470C7C" w:rsidRDefault="00207197" w:rsidP="00140440">
      <w:pPr>
        <w:jc w:val="both"/>
      </w:pPr>
    </w:p>
    <w:p w14:paraId="67F3F4DA" w14:textId="77777777" w:rsidR="00207197" w:rsidRPr="00470C7C" w:rsidRDefault="00207197" w:rsidP="00F37DC4">
      <w:pPr>
        <w:pStyle w:val="Prrafodelista"/>
        <w:numPr>
          <w:ilvl w:val="0"/>
          <w:numId w:val="1"/>
        </w:numPr>
        <w:contextualSpacing w:val="0"/>
      </w:pPr>
      <w:r w:rsidRPr="00470C7C">
        <w:t>Una vez caracterizada la situación de los trabajadores presentes en la Hacienda Brasil Verde como una manifestación de esclavitud, la Corte analizará si existió responsabilidad del Estado por estos hechos con base en la Convención Americana.</w:t>
      </w:r>
    </w:p>
    <w:p w14:paraId="15052EF5" w14:textId="77777777" w:rsidR="00207197" w:rsidRPr="00470C7C" w:rsidRDefault="00207197" w:rsidP="00140440">
      <w:pPr>
        <w:pStyle w:val="Prrafodelista"/>
        <w:ind w:left="0"/>
      </w:pPr>
    </w:p>
    <w:p w14:paraId="02E725BB" w14:textId="77777777" w:rsidR="00207197" w:rsidRPr="00470C7C" w:rsidRDefault="00207197" w:rsidP="00F37DC4">
      <w:pPr>
        <w:pStyle w:val="Prrafodelista"/>
        <w:numPr>
          <w:ilvl w:val="0"/>
          <w:numId w:val="1"/>
        </w:numPr>
        <w:contextualSpacing w:val="0"/>
        <w:rPr>
          <w:lang w:val="es-EC"/>
        </w:rPr>
      </w:pPr>
      <w:r w:rsidRPr="00470C7C">
        <w:rPr>
          <w:lang w:val="es-EC"/>
        </w:rPr>
        <w:t>Como lo ha hecho en otras oportunidades, la Corte reitera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bookmarkStart w:id="359" w:name="_Ref248140230"/>
      <w:r w:rsidRPr="00470C7C">
        <w:rPr>
          <w:vertAlign w:val="superscript"/>
          <w:lang w:val="es-EC"/>
        </w:rPr>
        <w:footnoteReference w:id="449"/>
      </w:r>
      <w:bookmarkEnd w:id="359"/>
      <w:r w:rsidRPr="00470C7C">
        <w:rPr>
          <w:lang w:val="es-EC"/>
        </w:rPr>
        <w:t>.</w:t>
      </w:r>
    </w:p>
    <w:p w14:paraId="789F174D" w14:textId="77777777" w:rsidR="00207197" w:rsidRPr="00470C7C" w:rsidRDefault="00207197" w:rsidP="00140440">
      <w:pPr>
        <w:pStyle w:val="Prrafodelista"/>
        <w:ind w:left="0"/>
        <w:rPr>
          <w:lang w:val="es-EC"/>
        </w:rPr>
      </w:pPr>
    </w:p>
    <w:p w14:paraId="0A4DD0CD" w14:textId="77777777" w:rsidR="00207197" w:rsidRPr="00470C7C" w:rsidRDefault="00207197" w:rsidP="00F37DC4">
      <w:pPr>
        <w:pStyle w:val="Prrafodelista"/>
        <w:numPr>
          <w:ilvl w:val="0"/>
          <w:numId w:val="1"/>
        </w:numPr>
        <w:contextualSpacing w:val="0"/>
        <w:rPr>
          <w:lang w:val="es-EC"/>
        </w:rPr>
      </w:pPr>
      <w:bookmarkStart w:id="360" w:name="_Ref243801398"/>
      <w:r w:rsidRPr="00470C7C">
        <w:rPr>
          <w:lang w:val="es-EC"/>
        </w:rPr>
        <w:t>Asimismo, la prohibición a no ser sometido a esclavitud juega un papel fundamental en la Convención Americana, por representar una de las violaciones más fundamentales de la dignidad de la persona humana y, concomitantemente, de varios derechos de la Convención</w:t>
      </w:r>
      <w:r w:rsidR="000944E7" w:rsidRPr="00470C7C">
        <w:rPr>
          <w:lang w:val="es-EC"/>
        </w:rPr>
        <w:t xml:space="preserve"> (</w:t>
      </w:r>
      <w:r w:rsidR="000944E7" w:rsidRPr="00470C7C">
        <w:rPr>
          <w:i/>
          <w:lang w:val="es-EC"/>
        </w:rPr>
        <w:t xml:space="preserve">supra </w:t>
      </w:r>
      <w:r w:rsidR="000944E7" w:rsidRPr="00470C7C">
        <w:rPr>
          <w:lang w:val="es-EC"/>
        </w:rPr>
        <w:t xml:space="preserve">párr. </w:t>
      </w:r>
      <w:r w:rsidR="00C25F96" w:rsidRPr="00470C7C">
        <w:rPr>
          <w:lang w:val="es-EC"/>
        </w:rPr>
        <w:t>306</w:t>
      </w:r>
      <w:r w:rsidR="000944E7" w:rsidRPr="00470C7C">
        <w:rPr>
          <w:lang w:val="es-EC"/>
        </w:rPr>
        <w:t>)</w:t>
      </w:r>
      <w:r w:rsidRPr="00470C7C">
        <w:rPr>
          <w:lang w:val="es-EC"/>
        </w:rPr>
        <w:t>. Los Estados tienen la obligación de garantizar la creación de las condiciones que se requieran para que no se produzcan violaciones de ese derecho inalienable y, en particular, el deber de impedir que sus agentes</w:t>
      </w:r>
      <w:r w:rsidR="00A331F4" w:rsidRPr="00470C7C">
        <w:rPr>
          <w:lang w:val="es-EC"/>
        </w:rPr>
        <w:t xml:space="preserve"> y terceros particulares</w:t>
      </w:r>
      <w:r w:rsidRPr="00470C7C">
        <w:rPr>
          <w:lang w:val="es-EC"/>
        </w:rPr>
        <w:t xml:space="preserve"> atenten contra él. La observancia del artículo 6, relacionado con el artículo 1.1 de la Convención Americana, no</w:t>
      </w:r>
      <w:r w:rsidR="00B54FB3" w:rsidRPr="00470C7C">
        <w:rPr>
          <w:lang w:val="es-EC"/>
        </w:rPr>
        <w:t xml:space="preserve"> solo </w:t>
      </w:r>
      <w:r w:rsidRPr="00470C7C">
        <w:rPr>
          <w:lang w:val="es-EC"/>
        </w:rPr>
        <w:t xml:space="preserve">presupone que ninguna persona sea sometida a esclavitud, servidumbre, trata o trabajo forzoso, sino que además requiere que los Estados adopten todas las medidas apropiadas para </w:t>
      </w:r>
      <w:r w:rsidR="00A331F4" w:rsidRPr="00470C7C">
        <w:rPr>
          <w:lang w:val="es-EC"/>
        </w:rPr>
        <w:t xml:space="preserve">poner fin a dichas prácticas y prevenir </w:t>
      </w:r>
      <w:r w:rsidR="003179EE" w:rsidRPr="00470C7C">
        <w:rPr>
          <w:lang w:val="es-EC"/>
        </w:rPr>
        <w:t xml:space="preserve">que </w:t>
      </w:r>
      <w:r w:rsidRPr="00470C7C">
        <w:rPr>
          <w:lang w:val="es-EC"/>
        </w:rPr>
        <w:t xml:space="preserve">el derecho a no ser sometido a esas condiciones </w:t>
      </w:r>
      <w:bookmarkStart w:id="361" w:name="_Ref248148354"/>
      <w:r w:rsidR="00B83BEA" w:rsidRPr="00470C7C">
        <w:rPr>
          <w:lang w:val="es-EC"/>
        </w:rPr>
        <w:t>sea violado</w:t>
      </w:r>
      <w:bookmarkEnd w:id="361"/>
      <w:r w:rsidRPr="00470C7C">
        <w:rPr>
          <w:lang w:val="es-EC"/>
        </w:rPr>
        <w:t>, conforme al deber de garantizar el pleno y libre ejercicio de los derechos de todas las personas bajo su jurisdicción</w:t>
      </w:r>
      <w:r w:rsidRPr="00470C7C">
        <w:rPr>
          <w:vertAlign w:val="superscript"/>
        </w:rPr>
        <w:footnoteReference w:id="450"/>
      </w:r>
      <w:r w:rsidRPr="00470C7C">
        <w:rPr>
          <w:lang w:val="es-EC"/>
        </w:rPr>
        <w:t>.</w:t>
      </w:r>
      <w:bookmarkStart w:id="362" w:name="_Ref243816827"/>
      <w:bookmarkStart w:id="363" w:name="_Ref243801479"/>
      <w:bookmarkEnd w:id="360"/>
      <w:r w:rsidR="00B83BEA" w:rsidRPr="00470C7C">
        <w:rPr>
          <w:lang w:val="es-EC"/>
        </w:rPr>
        <w:t xml:space="preserve"> </w:t>
      </w:r>
    </w:p>
    <w:p w14:paraId="664FFB32" w14:textId="77777777" w:rsidR="00207197" w:rsidRPr="00470C7C" w:rsidRDefault="00207197" w:rsidP="00140440">
      <w:pPr>
        <w:pStyle w:val="Prrafodelista"/>
        <w:ind w:left="0"/>
        <w:rPr>
          <w:lang w:val="es-EC"/>
        </w:rPr>
      </w:pPr>
    </w:p>
    <w:p w14:paraId="2564AC3F" w14:textId="77777777" w:rsidR="00386419" w:rsidRPr="00470C7C" w:rsidRDefault="00386419" w:rsidP="00B83BEA">
      <w:pPr>
        <w:pStyle w:val="Prrafodelista"/>
        <w:numPr>
          <w:ilvl w:val="0"/>
          <w:numId w:val="1"/>
        </w:numPr>
        <w:rPr>
          <w:iCs/>
          <w:lang w:val="es-AR"/>
        </w:rPr>
      </w:pPr>
      <w:r w:rsidRPr="00470C7C">
        <w:rPr>
          <w:iCs/>
          <w:lang w:val="es-AR"/>
        </w:rPr>
        <w:t>Por otra parte, en atención al elevado número de víctimas de esclavitud, trata y servidumbre que continúan siendo liberadas por parte de las autoridades brasileñas</w:t>
      </w:r>
      <w:r w:rsidRPr="00470C7C">
        <w:rPr>
          <w:rStyle w:val="Refdenotaalpie"/>
          <w:iCs/>
          <w:lang w:val="es-AR"/>
        </w:rPr>
        <w:t xml:space="preserve"> </w:t>
      </w:r>
      <w:r w:rsidRPr="00470C7C">
        <w:rPr>
          <w:iCs/>
          <w:lang w:val="es-AR"/>
        </w:rPr>
        <w:t xml:space="preserve">y al cambio de perspectiva de esos fenómenos y su ocurrencia “en los </w:t>
      </w:r>
      <w:r w:rsidRPr="00470C7C">
        <w:rPr>
          <w:iCs/>
        </w:rPr>
        <w:t>últimos eslabones de las cadenas de suministro de una economía globalizada”</w:t>
      </w:r>
      <w:r w:rsidRPr="00470C7C">
        <w:rPr>
          <w:iCs/>
          <w:vertAlign w:val="superscript"/>
        </w:rPr>
        <w:footnoteReference w:id="451"/>
      </w:r>
      <w:r w:rsidRPr="00470C7C">
        <w:rPr>
          <w:iCs/>
          <w:lang w:val="es-AR"/>
        </w:rPr>
        <w:t>, es importante que el Estado adopte medidas para desalentar la demanda que alimenta la explotación del trabajo, tanto a través de trabajo forzoso</w:t>
      </w:r>
      <w:r w:rsidR="004D1879" w:rsidRPr="00470C7C">
        <w:rPr>
          <w:iCs/>
          <w:lang w:val="es-AR"/>
        </w:rPr>
        <w:t>,</w:t>
      </w:r>
      <w:r w:rsidRPr="00470C7C">
        <w:rPr>
          <w:iCs/>
          <w:lang w:val="es-AR"/>
        </w:rPr>
        <w:t xml:space="preserve"> como de servidumbre y esclavitud</w:t>
      </w:r>
      <w:r w:rsidRPr="00470C7C">
        <w:rPr>
          <w:rStyle w:val="Refdenotaalpie"/>
          <w:iCs/>
          <w:lang w:val="es-AR"/>
        </w:rPr>
        <w:footnoteReference w:id="452"/>
      </w:r>
      <w:r w:rsidRPr="00470C7C">
        <w:rPr>
          <w:iCs/>
          <w:lang w:val="es-AR"/>
        </w:rPr>
        <w:t>.</w:t>
      </w:r>
    </w:p>
    <w:p w14:paraId="2230A2C3" w14:textId="77777777" w:rsidR="00386419" w:rsidRPr="00470C7C" w:rsidRDefault="00386419" w:rsidP="00386419">
      <w:pPr>
        <w:pStyle w:val="Prrafodelista"/>
        <w:rPr>
          <w:lang w:val="es-EC"/>
        </w:rPr>
      </w:pPr>
    </w:p>
    <w:p w14:paraId="3EE0DD52" w14:textId="77777777" w:rsidR="00B83BEA" w:rsidRPr="00470C7C" w:rsidRDefault="00207197" w:rsidP="00B83BEA">
      <w:pPr>
        <w:pStyle w:val="Prrafodelista"/>
        <w:numPr>
          <w:ilvl w:val="0"/>
          <w:numId w:val="1"/>
        </w:numPr>
        <w:rPr>
          <w:iCs/>
          <w:lang w:val="es-AR"/>
        </w:rPr>
      </w:pPr>
      <w:r w:rsidRPr="00470C7C">
        <w:rPr>
          <w:lang w:val="es-EC"/>
        </w:rPr>
        <w:t xml:space="preserve">Respecto de la obligación de garantizar el derecho reconocido en el artículo 6 de la Convención Americana, la Corte considera que ello implica el deber del Estado de prevenir e investigar posibles situaciones de esclavitud, servidumbre, trata de personas y trabajo forzoso. </w:t>
      </w:r>
      <w:r w:rsidR="00B83BEA" w:rsidRPr="00470C7C">
        <w:rPr>
          <w:lang w:val="es-EC"/>
        </w:rPr>
        <w:t>E</w:t>
      </w:r>
      <w:r w:rsidRPr="00470C7C">
        <w:rPr>
          <w:lang w:val="es-EC"/>
        </w:rPr>
        <w:t>ntre otr</w:t>
      </w:r>
      <w:r w:rsidR="00B83BEA" w:rsidRPr="00470C7C">
        <w:rPr>
          <w:lang w:val="es-EC"/>
        </w:rPr>
        <w:t>as medidas</w:t>
      </w:r>
      <w:r w:rsidRPr="00470C7C">
        <w:rPr>
          <w:lang w:val="es-EC"/>
        </w:rPr>
        <w:t>, los Estados tienen la obligación de</w:t>
      </w:r>
      <w:r w:rsidR="004D1879" w:rsidRPr="00470C7C">
        <w:rPr>
          <w:lang w:val="es-EC"/>
        </w:rPr>
        <w:t>:</w:t>
      </w:r>
      <w:r w:rsidRPr="00470C7C">
        <w:rPr>
          <w:lang w:val="es-EC"/>
        </w:rPr>
        <w:t xml:space="preserve"> </w:t>
      </w:r>
      <w:r w:rsidR="00B83BEA" w:rsidRPr="00470C7C">
        <w:rPr>
          <w:lang w:val="es-EC"/>
        </w:rPr>
        <w:t xml:space="preserve">i) </w:t>
      </w:r>
      <w:r w:rsidRPr="00470C7C">
        <w:rPr>
          <w:lang w:val="es-EC"/>
        </w:rPr>
        <w:t>iniciar de oficio e inmediatamente una investigación efectiva que permita identificar, juzgar y sancionar a los responsables, cuando existe denuncia o razón fundada para creer que personas sujetas a su jurisdicción se encuentren sometidas a uno de los supuestos previstos en el artículo 6.1 y 6.2</w:t>
      </w:r>
      <w:r w:rsidR="004D1879" w:rsidRPr="00470C7C">
        <w:rPr>
          <w:lang w:val="es-EC"/>
        </w:rPr>
        <w:t xml:space="preserve"> de la Convención</w:t>
      </w:r>
      <w:r w:rsidR="00B83BEA" w:rsidRPr="00470C7C">
        <w:rPr>
          <w:lang w:val="es-EC"/>
        </w:rPr>
        <w:t>;</w:t>
      </w:r>
      <w:r w:rsidR="00B83BEA" w:rsidRPr="00470C7C">
        <w:t xml:space="preserve"> </w:t>
      </w:r>
      <w:proofErr w:type="spellStart"/>
      <w:r w:rsidR="00B83BEA" w:rsidRPr="00470C7C">
        <w:t>ii</w:t>
      </w:r>
      <w:proofErr w:type="spellEnd"/>
      <w:r w:rsidR="00B83BEA" w:rsidRPr="00470C7C">
        <w:t>)</w:t>
      </w:r>
      <w:r w:rsidR="00B83BEA" w:rsidRPr="00470C7C">
        <w:rPr>
          <w:iCs/>
          <w:lang w:val="es-AR"/>
        </w:rPr>
        <w:t xml:space="preserve"> eliminar toda legislación que legalice o tolere la esclavitud y la servidumbre; </w:t>
      </w:r>
      <w:proofErr w:type="spellStart"/>
      <w:r w:rsidR="00B83BEA" w:rsidRPr="00470C7C">
        <w:rPr>
          <w:iCs/>
          <w:lang w:val="es-AR"/>
        </w:rPr>
        <w:t>iii</w:t>
      </w:r>
      <w:proofErr w:type="spellEnd"/>
      <w:r w:rsidR="00B83BEA" w:rsidRPr="00470C7C">
        <w:rPr>
          <w:iCs/>
          <w:lang w:val="es-AR"/>
        </w:rPr>
        <w:t xml:space="preserve">) tipificar penalmente dichas figuras, con sanciones severas; </w:t>
      </w:r>
      <w:proofErr w:type="spellStart"/>
      <w:r w:rsidR="00B83BEA" w:rsidRPr="00470C7C">
        <w:rPr>
          <w:iCs/>
          <w:lang w:val="es-AR"/>
        </w:rPr>
        <w:t>iv</w:t>
      </w:r>
      <w:proofErr w:type="spellEnd"/>
      <w:r w:rsidR="00B83BEA" w:rsidRPr="00470C7C">
        <w:rPr>
          <w:iCs/>
          <w:lang w:val="es-AR"/>
        </w:rPr>
        <w:t>) realizar inspecciones u otras medidas de detección de dichas prácticas</w:t>
      </w:r>
      <w:r w:rsidR="004D1879" w:rsidRPr="00470C7C">
        <w:rPr>
          <w:iCs/>
          <w:lang w:val="es-AR"/>
        </w:rPr>
        <w:t>, y</w:t>
      </w:r>
      <w:r w:rsidR="00B83BEA" w:rsidRPr="00470C7C">
        <w:rPr>
          <w:iCs/>
          <w:lang w:val="es-AR"/>
        </w:rPr>
        <w:t xml:space="preserve"> v) adoptar medidas de protección y asistencia a las víctimas.</w:t>
      </w:r>
    </w:p>
    <w:p w14:paraId="53975B65" w14:textId="77777777" w:rsidR="00207197" w:rsidRPr="00470C7C" w:rsidRDefault="00207197" w:rsidP="00140440">
      <w:pPr>
        <w:pStyle w:val="Prrafodelista"/>
        <w:ind w:left="0"/>
        <w:rPr>
          <w:lang w:val="es-EC"/>
        </w:rPr>
      </w:pPr>
    </w:p>
    <w:p w14:paraId="709A0BE7" w14:textId="77777777" w:rsidR="00386419" w:rsidRPr="00470C7C" w:rsidRDefault="00386419" w:rsidP="00F37DC4">
      <w:pPr>
        <w:pStyle w:val="Prrafodelista"/>
        <w:numPr>
          <w:ilvl w:val="0"/>
          <w:numId w:val="1"/>
        </w:numPr>
        <w:contextualSpacing w:val="0"/>
        <w:rPr>
          <w:lang w:val="es-EC"/>
        </w:rPr>
      </w:pPr>
      <w:r w:rsidRPr="00470C7C">
        <w:rPr>
          <w:lang w:val="es-EC"/>
        </w:rPr>
        <w:t>De todo lo anterior, se desprende que los Estados deben adoptar medidas integrales para cumplir con la debida diligencia en casos de servidumbre, esclavitud</w:t>
      </w:r>
      <w:r w:rsidR="004D1879" w:rsidRPr="00470C7C">
        <w:rPr>
          <w:lang w:val="es-EC"/>
        </w:rPr>
        <w:t>,</w:t>
      </w:r>
      <w:r w:rsidRPr="00470C7C">
        <w:rPr>
          <w:lang w:val="es-EC"/>
        </w:rPr>
        <w:t xml:space="preserve"> trata de personas</w:t>
      </w:r>
      <w:r w:rsidR="004D1879" w:rsidRPr="00470C7C">
        <w:rPr>
          <w:lang w:val="es-EC"/>
        </w:rPr>
        <w:t xml:space="preserve"> y trabajo forzoso</w:t>
      </w:r>
      <w:r w:rsidRPr="00470C7C">
        <w:rPr>
          <w:lang w:val="es-EC"/>
        </w:rPr>
        <w:t>. En particular, los Estados deben contar con un adecuado marco jurídico de protección, con una aplicación efectiva del mismo y políticas de prevención y prácticas que permitan actuar de una manera eficaz ante las denuncias. La estrategia de prevención debe ser integral, es decir, debe prevenir los factores de riesgo y a la vez fortalecer las instituciones para que puedan proporcionar una respuesta efectiva al fenómeno de la esclavitud contemporánea. Asimismo, los Estados deben adoptar medidas preventivas en casos específicos en los que es evidente que determinados grupos de personas pueden ser víctimas de trata o de esclavitud. Esa obligación es reforzada en atención al carácter de norma imperativa de derecho internacional de la prohibición de la esclavitud (</w:t>
      </w:r>
      <w:r w:rsidRPr="00470C7C">
        <w:rPr>
          <w:i/>
          <w:lang w:val="es-EC"/>
        </w:rPr>
        <w:t xml:space="preserve">supra </w:t>
      </w:r>
      <w:r w:rsidRPr="00470C7C">
        <w:rPr>
          <w:lang w:val="es-EC"/>
        </w:rPr>
        <w:t xml:space="preserve">párr. </w:t>
      </w:r>
      <w:r w:rsidR="006912F8" w:rsidRPr="00470C7C">
        <w:rPr>
          <w:lang w:val="es-EC"/>
        </w:rPr>
        <w:t>249</w:t>
      </w:r>
      <w:r w:rsidRPr="00470C7C">
        <w:rPr>
          <w:lang w:val="es-EC"/>
        </w:rPr>
        <w:t xml:space="preserve">) y de la gravedad e intensidad de la violación de derechos por esa práctica. </w:t>
      </w:r>
    </w:p>
    <w:p w14:paraId="60C7916E" w14:textId="77777777" w:rsidR="00386419" w:rsidRPr="00470C7C" w:rsidRDefault="00386419" w:rsidP="00386419">
      <w:pPr>
        <w:pStyle w:val="Prrafodelista"/>
        <w:rPr>
          <w:lang w:val="es-EC"/>
        </w:rPr>
      </w:pPr>
    </w:p>
    <w:p w14:paraId="6323142E" w14:textId="77777777" w:rsidR="00207197" w:rsidRPr="00470C7C" w:rsidRDefault="00207197" w:rsidP="00F37DC4">
      <w:pPr>
        <w:pStyle w:val="Prrafodelista"/>
        <w:numPr>
          <w:ilvl w:val="0"/>
          <w:numId w:val="1"/>
        </w:numPr>
        <w:contextualSpacing w:val="0"/>
        <w:rPr>
          <w:lang w:val="es-EC"/>
        </w:rPr>
      </w:pPr>
      <w:r w:rsidRPr="00470C7C">
        <w:rPr>
          <w:lang w:val="es-EC"/>
        </w:rPr>
        <w:t>Corresponde ahora al Tribunal analizar si el Estado previno adecuadamente la situación de esclavitud verificada en el presente caso. E</w:t>
      </w:r>
      <w:r w:rsidR="00FD1ED7" w:rsidRPr="00470C7C">
        <w:rPr>
          <w:lang w:val="es-EC"/>
        </w:rPr>
        <w:t>s decir</w:t>
      </w:r>
      <w:r w:rsidRPr="00470C7C">
        <w:rPr>
          <w:lang w:val="es-EC"/>
        </w:rPr>
        <w:t xml:space="preserve">, si cumplió con el deber de garantía del artículo 6 de la Convención Americana, conforme al </w:t>
      </w:r>
      <w:bookmarkEnd w:id="362"/>
      <w:bookmarkEnd w:id="363"/>
      <w:r w:rsidRPr="00470C7C">
        <w:rPr>
          <w:lang w:val="es-EC"/>
        </w:rPr>
        <w:t xml:space="preserve">artículo 1.1 de la misma. La determinación sobre el derecho de acceso a la justicia de las víctimas será analizado en el capítulo relativo a </w:t>
      </w:r>
      <w:bookmarkStart w:id="364" w:name="_Ref118170518"/>
      <w:r w:rsidRPr="00470C7C">
        <w:rPr>
          <w:lang w:val="es-EC"/>
        </w:rPr>
        <w:t>los artículos 8.1 y 25.1 de la Convención Americana, en relación con los artículos 1.1 y 2 de la misma.</w:t>
      </w:r>
      <w:bookmarkStart w:id="365" w:name="_Ref244172477"/>
      <w:bookmarkEnd w:id="364"/>
    </w:p>
    <w:p w14:paraId="53CA2624" w14:textId="77777777" w:rsidR="00207197" w:rsidRPr="00470C7C" w:rsidRDefault="00207197" w:rsidP="00140440">
      <w:pPr>
        <w:pStyle w:val="Prrafodelista"/>
        <w:ind w:left="0"/>
        <w:rPr>
          <w:lang w:val="es-EC"/>
        </w:rPr>
      </w:pPr>
    </w:p>
    <w:p w14:paraId="0D260F78" w14:textId="77777777" w:rsidR="00207197" w:rsidRPr="00470C7C" w:rsidRDefault="00F9204B" w:rsidP="005D2CE2">
      <w:pPr>
        <w:pStyle w:val="Ttulo3"/>
      </w:pPr>
      <w:bookmarkStart w:id="366" w:name="_Toc464813968"/>
      <w:r w:rsidRPr="00470C7C">
        <w:t>B.</w:t>
      </w:r>
      <w:r w:rsidR="001E1449" w:rsidRPr="00470C7C">
        <w:t>10</w:t>
      </w:r>
      <w:r w:rsidR="00DC2886" w:rsidRPr="00470C7C">
        <w:t>.</w:t>
      </w:r>
      <w:r w:rsidR="00207197" w:rsidRPr="00470C7C">
        <w:t xml:space="preserve"> Deber de prevención y no discriminación</w:t>
      </w:r>
      <w:bookmarkEnd w:id="366"/>
    </w:p>
    <w:bookmarkEnd w:id="365"/>
    <w:p w14:paraId="082C20A6" w14:textId="77777777" w:rsidR="00207197" w:rsidRPr="00470C7C" w:rsidRDefault="00207197" w:rsidP="00140440">
      <w:pPr>
        <w:pStyle w:val="Prrafodelista"/>
        <w:ind w:left="0"/>
        <w:rPr>
          <w:lang w:val="es-ES"/>
        </w:rPr>
      </w:pPr>
    </w:p>
    <w:p w14:paraId="1FED40AC" w14:textId="77777777" w:rsidR="00207197" w:rsidRPr="00470C7C" w:rsidRDefault="00207197" w:rsidP="00F37DC4">
      <w:pPr>
        <w:pStyle w:val="Prrafodelista"/>
        <w:numPr>
          <w:ilvl w:val="0"/>
          <w:numId w:val="1"/>
        </w:numPr>
        <w:contextualSpacing w:val="0"/>
        <w:rPr>
          <w:b/>
          <w:lang w:val="es-EC"/>
        </w:rPr>
      </w:pPr>
      <w:r w:rsidRPr="00470C7C">
        <w:rPr>
          <w:lang w:val="es-EC"/>
        </w:rPr>
        <w:t>La Corte ha establecido que el deber de prevención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 Es claro, a su vez, que la obligación de prevenir es de medio o comportamiento y no se demuestra su incumplimiento por el mero hecho de que un derecho haya sido violado</w:t>
      </w:r>
      <w:r w:rsidRPr="00470C7C">
        <w:rPr>
          <w:rStyle w:val="Refdenotaalpie"/>
          <w:lang w:val="es-EC"/>
        </w:rPr>
        <w:footnoteReference w:id="453"/>
      </w:r>
      <w:r w:rsidRPr="00470C7C">
        <w:rPr>
          <w:lang w:val="es-EC"/>
        </w:rPr>
        <w:t>.</w:t>
      </w:r>
    </w:p>
    <w:p w14:paraId="6BD6BB15" w14:textId="77777777" w:rsidR="00207197" w:rsidRPr="00470C7C" w:rsidRDefault="00207197" w:rsidP="00140440">
      <w:pPr>
        <w:pStyle w:val="Prrafodelista"/>
        <w:ind w:left="0"/>
        <w:rPr>
          <w:lang w:val="es-EC"/>
        </w:rPr>
      </w:pPr>
    </w:p>
    <w:p w14:paraId="27D4021A" w14:textId="77777777" w:rsidR="00207197" w:rsidRPr="00470C7C" w:rsidRDefault="00207197" w:rsidP="00F37DC4">
      <w:pPr>
        <w:pStyle w:val="Prrafodelista"/>
        <w:numPr>
          <w:ilvl w:val="0"/>
          <w:numId w:val="1"/>
        </w:numPr>
        <w:contextualSpacing w:val="0"/>
        <w:rPr>
          <w:lang w:val="es-EC"/>
        </w:rPr>
      </w:pPr>
      <w:r w:rsidRPr="00470C7C">
        <w:rPr>
          <w:lang w:val="es-EC"/>
        </w:rPr>
        <w:t>Conforme a jurisprudencia de la Corte</w:t>
      </w:r>
      <w:r w:rsidR="00FD1ED7" w:rsidRPr="00470C7C">
        <w:rPr>
          <w:lang w:val="es-EC"/>
        </w:rPr>
        <w:t>,</w:t>
      </w:r>
      <w:r w:rsidRPr="00470C7C">
        <w:rPr>
          <w:lang w:val="es-EC"/>
        </w:rPr>
        <w:t xml:space="preserve"> es claro que un Estado no puede ser responsable por cualquier violación de derechos humanos cometida entre particulares dentro de su jurisdicción. En efecto, las obligaciones convencionales de garantía a cargo de los Estados no implican una responsabilidad ilimitada de los Estados frente a cualquier acto o hecho de particulares, pues sus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 Es decir, aunque un acto u omisión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470C7C">
        <w:rPr>
          <w:vertAlign w:val="superscript"/>
          <w:lang w:val="es-EC"/>
        </w:rPr>
        <w:footnoteReference w:id="454"/>
      </w:r>
      <w:r w:rsidRPr="00470C7C">
        <w:rPr>
          <w:lang w:val="es-EC"/>
        </w:rPr>
        <w:t>.</w:t>
      </w:r>
    </w:p>
    <w:p w14:paraId="0B616176" w14:textId="77777777" w:rsidR="00207197" w:rsidRPr="00470C7C" w:rsidRDefault="00207197" w:rsidP="00140440">
      <w:pPr>
        <w:pStyle w:val="Prrafodelista"/>
        <w:ind w:left="0"/>
        <w:rPr>
          <w:b/>
          <w:lang w:val="es-EC"/>
        </w:rPr>
      </w:pPr>
    </w:p>
    <w:p w14:paraId="31E4A051" w14:textId="77777777" w:rsidR="00A51198" w:rsidRPr="00470C7C" w:rsidRDefault="008829AF" w:rsidP="00F37DC4">
      <w:pPr>
        <w:pStyle w:val="Prrafodelista"/>
        <w:numPr>
          <w:ilvl w:val="0"/>
          <w:numId w:val="1"/>
        </w:numPr>
        <w:contextualSpacing w:val="0"/>
        <w:rPr>
          <w:b/>
          <w:lang w:val="es-EC"/>
        </w:rPr>
      </w:pPr>
      <w:r w:rsidRPr="00470C7C">
        <w:rPr>
          <w:lang w:val="es-EC"/>
        </w:rPr>
        <w:t xml:space="preserve">Para el análisis del caso concreto, sin embargo, la </w:t>
      </w:r>
      <w:r w:rsidR="00A51198" w:rsidRPr="00470C7C">
        <w:rPr>
          <w:lang w:val="es-EC"/>
        </w:rPr>
        <w:t xml:space="preserve">jurisprudencia </w:t>
      </w:r>
      <w:r w:rsidRPr="00470C7C">
        <w:rPr>
          <w:lang w:val="es-EC"/>
        </w:rPr>
        <w:t>constante</w:t>
      </w:r>
      <w:r w:rsidR="00A51198" w:rsidRPr="00470C7C">
        <w:rPr>
          <w:lang w:val="es-EC"/>
        </w:rPr>
        <w:t xml:space="preserve"> de este Tribunal</w:t>
      </w:r>
      <w:r w:rsidRPr="00470C7C">
        <w:rPr>
          <w:lang w:val="es-EC"/>
        </w:rPr>
        <w:t xml:space="preserve"> determina que</w:t>
      </w:r>
      <w:r w:rsidR="00D741C5" w:rsidRPr="00470C7C">
        <w:rPr>
          <w:lang w:val="es-EC"/>
        </w:rPr>
        <w:t xml:space="preserve"> para establecer la responsabilidad estatal es preciso establecer si </w:t>
      </w:r>
      <w:r w:rsidR="00A51198" w:rsidRPr="00470C7C">
        <w:rPr>
          <w:lang w:val="es-EC"/>
        </w:rPr>
        <w:t xml:space="preserve"> </w:t>
      </w:r>
      <w:r w:rsidR="00A51198" w:rsidRPr="00470C7C">
        <w:t xml:space="preserve">“en el momento de los hechos, las autoridades estatales sabían o deberían haber sabido de la existencia de una situación que suponga un riesgo real e inmediato para la vida de un individuo o un grupo de individuos, y no se adoptaron las medidas necesarias dentro del ámbito de su autoridad para prevenir o evitar ese riesgo”. </w:t>
      </w:r>
    </w:p>
    <w:p w14:paraId="2AE722F6" w14:textId="77777777" w:rsidR="00A51198" w:rsidRPr="00470C7C" w:rsidRDefault="00A51198" w:rsidP="00ED3AD0">
      <w:pPr>
        <w:pStyle w:val="Prrafodelista"/>
        <w:rPr>
          <w:lang w:val="es-EC"/>
        </w:rPr>
      </w:pPr>
    </w:p>
    <w:p w14:paraId="0035018D" w14:textId="77777777" w:rsidR="009B15CC" w:rsidRPr="00470C7C" w:rsidRDefault="008829AF" w:rsidP="00ED3AD0">
      <w:pPr>
        <w:pStyle w:val="Prrafodelista"/>
        <w:numPr>
          <w:ilvl w:val="0"/>
          <w:numId w:val="1"/>
        </w:numPr>
        <w:contextualSpacing w:val="0"/>
        <w:rPr>
          <w:lang w:val="es-EC"/>
        </w:rPr>
      </w:pPr>
      <w:r w:rsidRPr="00470C7C">
        <w:rPr>
          <w:lang w:val="es-EC"/>
        </w:rPr>
        <w:t xml:space="preserve">Al respecto, </w:t>
      </w:r>
      <w:r w:rsidR="00207197" w:rsidRPr="00470C7C">
        <w:rPr>
          <w:lang w:val="es-EC"/>
        </w:rPr>
        <w:t>en el caso concreto la Corte constat</w:t>
      </w:r>
      <w:r w:rsidRPr="00470C7C">
        <w:rPr>
          <w:lang w:val="es-EC"/>
        </w:rPr>
        <w:t>ó</w:t>
      </w:r>
      <w:r w:rsidR="00207197" w:rsidRPr="00470C7C">
        <w:rPr>
          <w:lang w:val="es-EC"/>
        </w:rPr>
        <w:t xml:space="preserve"> una serie de fallas y negligencia de parte del Estado</w:t>
      </w:r>
      <w:r w:rsidRPr="00470C7C">
        <w:rPr>
          <w:lang w:val="es-EC"/>
        </w:rPr>
        <w:t xml:space="preserve"> en el sentido de prevenir la ocurrencia de servidumbre, trata y esclavitud en su territorio con anterioridad a 2000, pero también a partir de la denuncia concreta realizada por los </w:t>
      </w:r>
      <w:r w:rsidR="00FD1ED7" w:rsidRPr="00470C7C">
        <w:rPr>
          <w:lang w:val="es-EC"/>
        </w:rPr>
        <w:t xml:space="preserve">adolescentes </w:t>
      </w:r>
      <w:proofErr w:type="spellStart"/>
      <w:r w:rsidR="00D60654" w:rsidRPr="00470C7C">
        <w:t>Antônio</w:t>
      </w:r>
      <w:proofErr w:type="spellEnd"/>
      <w:r w:rsidR="00D60654" w:rsidRPr="00470C7C">
        <w:t xml:space="preserve"> </w:t>
      </w:r>
      <w:r w:rsidRPr="00470C7C">
        <w:t xml:space="preserve">Francisco da Silva y </w:t>
      </w:r>
      <w:r w:rsidR="00AB6218" w:rsidRPr="00470C7C">
        <w:rPr>
          <w:rFonts w:cs="Times New Roman"/>
          <w:szCs w:val="20"/>
          <w:lang w:val="pt-BR"/>
        </w:rPr>
        <w:t>José Francisco Furtado de Sousa</w:t>
      </w:r>
      <w:r w:rsidR="00207197" w:rsidRPr="00470C7C">
        <w:rPr>
          <w:lang w:val="es-EC"/>
        </w:rPr>
        <w:t xml:space="preserve">. </w:t>
      </w:r>
    </w:p>
    <w:p w14:paraId="0C892AF5" w14:textId="77777777" w:rsidR="009B15CC" w:rsidRPr="00470C7C" w:rsidRDefault="009B15CC" w:rsidP="009B15CC">
      <w:pPr>
        <w:pStyle w:val="Prrafodelista"/>
        <w:rPr>
          <w:lang w:val="es-EC"/>
        </w:rPr>
      </w:pPr>
    </w:p>
    <w:p w14:paraId="0541BD58" w14:textId="77777777" w:rsidR="00207197" w:rsidRPr="00470C7C" w:rsidRDefault="00207197" w:rsidP="00ED3AD0">
      <w:pPr>
        <w:pStyle w:val="Prrafodelista"/>
        <w:numPr>
          <w:ilvl w:val="0"/>
          <w:numId w:val="1"/>
        </w:numPr>
        <w:contextualSpacing w:val="0"/>
        <w:rPr>
          <w:lang w:val="es-EC"/>
        </w:rPr>
      </w:pPr>
      <w:r w:rsidRPr="00470C7C">
        <w:rPr>
          <w:lang w:val="es-EC"/>
        </w:rPr>
        <w:t>Desde</w:t>
      </w:r>
      <w:r w:rsidRPr="00470C7C">
        <w:rPr>
          <w:b/>
          <w:lang w:val="es-EC"/>
        </w:rPr>
        <w:t xml:space="preserve"> </w:t>
      </w:r>
      <w:r w:rsidRPr="00470C7C">
        <w:rPr>
          <w:lang w:val="es-EC"/>
        </w:rPr>
        <w:t>1988 la</w:t>
      </w:r>
      <w:r w:rsidR="007B005F" w:rsidRPr="00470C7C">
        <w:rPr>
          <w:lang w:val="es-EC"/>
        </w:rPr>
        <w:t xml:space="preserve"> Comisión Pastoral de la Tierra (</w:t>
      </w:r>
      <w:r w:rsidRPr="00470C7C">
        <w:rPr>
          <w:lang w:val="es-EC"/>
        </w:rPr>
        <w:t>CPT</w:t>
      </w:r>
      <w:r w:rsidR="007B005F" w:rsidRPr="00470C7C">
        <w:rPr>
          <w:lang w:val="es-EC"/>
        </w:rPr>
        <w:t>)</w:t>
      </w:r>
      <w:r w:rsidRPr="00470C7C">
        <w:rPr>
          <w:lang w:val="es-EC"/>
        </w:rPr>
        <w:t xml:space="preserve"> ha realizado varias denuncias sobre la existencia de </w:t>
      </w:r>
      <w:r w:rsidR="00DF57D3" w:rsidRPr="00470C7C">
        <w:rPr>
          <w:lang w:val="es-EC"/>
        </w:rPr>
        <w:t xml:space="preserve">una </w:t>
      </w:r>
      <w:r w:rsidRPr="00470C7C">
        <w:rPr>
          <w:lang w:val="es-EC"/>
        </w:rPr>
        <w:t xml:space="preserve">situación análoga a la esclavitud en el Estado de Pará, y específicamente en la Hacienda Brasil Verde. Dichas denuncias identificaban un </w:t>
      </w:r>
      <w:r w:rsidRPr="00470C7C">
        <w:rPr>
          <w:i/>
          <w:lang w:val="es-EC"/>
        </w:rPr>
        <w:t>modus operandi</w:t>
      </w:r>
      <w:r w:rsidRPr="00470C7C">
        <w:rPr>
          <w:lang w:val="es-EC"/>
        </w:rPr>
        <w:t xml:space="preserve"> de reclutamiento y explotación de trabajadores en </w:t>
      </w:r>
      <w:r w:rsidR="00DF57D3" w:rsidRPr="00470C7C">
        <w:rPr>
          <w:lang w:val="es-EC"/>
        </w:rPr>
        <w:t>l</w:t>
      </w:r>
      <w:r w:rsidRPr="00470C7C">
        <w:rPr>
          <w:lang w:val="es-EC"/>
        </w:rPr>
        <w:t xml:space="preserve">a región específica del sur del Estado de Pará. </w:t>
      </w:r>
      <w:r w:rsidR="006A00D0" w:rsidRPr="00470C7C">
        <w:rPr>
          <w:lang w:val="es-EC"/>
        </w:rPr>
        <w:t xml:space="preserve">El Estado tenía conocimiento de esa situación, pues </w:t>
      </w:r>
      <w:r w:rsidRPr="00470C7C">
        <w:rPr>
          <w:lang w:val="es-EC"/>
        </w:rPr>
        <w:t>como resultado de dichas denuncias, fueron realizadas inspecciones en la Hacienda Brasil Verde en los años 1989, 1992, 1993, 1996, 1997, 1999 y 2000. En varias de ellas fueron constatadas violaciones a las leyes laborales, condiciones degradantes de vida y de trabajo, y situaci</w:t>
      </w:r>
      <w:r w:rsidR="006A00D0" w:rsidRPr="00470C7C">
        <w:rPr>
          <w:lang w:val="es-EC"/>
        </w:rPr>
        <w:t xml:space="preserve">ones </w:t>
      </w:r>
      <w:r w:rsidRPr="00470C7C">
        <w:rPr>
          <w:lang w:val="es-EC"/>
        </w:rPr>
        <w:t>análoga</w:t>
      </w:r>
      <w:r w:rsidR="006A00D0" w:rsidRPr="00470C7C">
        <w:rPr>
          <w:lang w:val="es-EC"/>
        </w:rPr>
        <w:t>s</w:t>
      </w:r>
      <w:r w:rsidRPr="00470C7C">
        <w:rPr>
          <w:lang w:val="es-EC"/>
        </w:rPr>
        <w:t xml:space="preserve"> a la esclavitud. Esas constataciones llevaron a la </w:t>
      </w:r>
      <w:r w:rsidR="006A00D0" w:rsidRPr="00470C7C">
        <w:rPr>
          <w:lang w:val="es-EC"/>
        </w:rPr>
        <w:t xml:space="preserve">apertura de procedimientos penales </w:t>
      </w:r>
      <w:r w:rsidR="00DF57D3" w:rsidRPr="00470C7C">
        <w:rPr>
          <w:lang w:val="es-EC"/>
        </w:rPr>
        <w:t>y</w:t>
      </w:r>
      <w:r w:rsidR="006A00D0" w:rsidRPr="00470C7C">
        <w:rPr>
          <w:lang w:val="es-EC"/>
        </w:rPr>
        <w:t xml:space="preserve"> laborales, pero no fueron efectivas para prevenir la situación verificada en marzo de 2000</w:t>
      </w:r>
      <w:r w:rsidR="006A00D0" w:rsidRPr="00470C7C">
        <w:rPr>
          <w:rStyle w:val="Refdenotaalpie"/>
          <w:lang w:val="es-EC"/>
        </w:rPr>
        <w:footnoteReference w:id="455"/>
      </w:r>
      <w:r w:rsidR="006A00D0" w:rsidRPr="00470C7C">
        <w:rPr>
          <w:lang w:val="es-EC"/>
        </w:rPr>
        <w:t xml:space="preserve">. </w:t>
      </w:r>
      <w:r w:rsidRPr="00470C7C">
        <w:rPr>
          <w:lang w:val="es-EC"/>
        </w:rPr>
        <w:t>Asimismo, ante las frecuentes denuncias</w:t>
      </w:r>
      <w:r w:rsidR="006A00D0" w:rsidRPr="00470C7C">
        <w:rPr>
          <w:lang w:val="es-EC"/>
        </w:rPr>
        <w:t>, la gravedad de los hechos denunciados y la obligación especial de prevención que se impone al Estado respecto de la esclavitud</w:t>
      </w:r>
      <w:r w:rsidRPr="00470C7C">
        <w:rPr>
          <w:lang w:val="es-EC"/>
        </w:rPr>
        <w:t xml:space="preserve">, era necesario que el Estado intensificara las inspecciones en dicha hacienda, de modo a </w:t>
      </w:r>
      <w:r w:rsidR="006A00D0" w:rsidRPr="00470C7C">
        <w:rPr>
          <w:lang w:val="es-EC"/>
        </w:rPr>
        <w:t xml:space="preserve">erradicar </w:t>
      </w:r>
      <w:r w:rsidRPr="00470C7C">
        <w:rPr>
          <w:lang w:val="es-EC"/>
        </w:rPr>
        <w:t xml:space="preserve">la práctica de </w:t>
      </w:r>
      <w:r w:rsidR="006A00D0" w:rsidRPr="00470C7C">
        <w:rPr>
          <w:lang w:val="es-EC"/>
        </w:rPr>
        <w:t xml:space="preserve">esclavitud </w:t>
      </w:r>
      <w:r w:rsidRPr="00470C7C">
        <w:rPr>
          <w:lang w:val="es-EC"/>
        </w:rPr>
        <w:t xml:space="preserve">en </w:t>
      </w:r>
      <w:r w:rsidR="006A00D0" w:rsidRPr="00470C7C">
        <w:rPr>
          <w:lang w:val="es-EC"/>
        </w:rPr>
        <w:t>el</w:t>
      </w:r>
      <w:r w:rsidRPr="00470C7C">
        <w:rPr>
          <w:lang w:val="es-EC"/>
        </w:rPr>
        <w:t xml:space="preserve"> referid</w:t>
      </w:r>
      <w:r w:rsidR="006A00D0" w:rsidRPr="00470C7C">
        <w:rPr>
          <w:lang w:val="es-EC"/>
        </w:rPr>
        <w:t>o</w:t>
      </w:r>
      <w:r w:rsidRPr="00470C7C">
        <w:rPr>
          <w:lang w:val="es-EC"/>
        </w:rPr>
        <w:t xml:space="preserve"> </w:t>
      </w:r>
      <w:r w:rsidR="006A00D0" w:rsidRPr="00470C7C">
        <w:rPr>
          <w:lang w:val="es-EC"/>
        </w:rPr>
        <w:t>establecimiento</w:t>
      </w:r>
      <w:r w:rsidRPr="00470C7C">
        <w:rPr>
          <w:lang w:val="es-EC"/>
        </w:rPr>
        <w:t xml:space="preserve">. </w:t>
      </w:r>
    </w:p>
    <w:p w14:paraId="46098DA2" w14:textId="77777777" w:rsidR="00207197" w:rsidRPr="00470C7C" w:rsidRDefault="00207197" w:rsidP="00140440">
      <w:pPr>
        <w:pStyle w:val="Prrafodelista"/>
        <w:ind w:left="0"/>
        <w:rPr>
          <w:b/>
          <w:lang w:val="es-EC"/>
        </w:rPr>
      </w:pPr>
    </w:p>
    <w:p w14:paraId="778B6508" w14:textId="77777777" w:rsidR="00207197" w:rsidRPr="00470C7C" w:rsidRDefault="00207197" w:rsidP="00F37DC4">
      <w:pPr>
        <w:pStyle w:val="Prrafodelista"/>
        <w:numPr>
          <w:ilvl w:val="0"/>
          <w:numId w:val="1"/>
        </w:numPr>
        <w:contextualSpacing w:val="0"/>
        <w:rPr>
          <w:b/>
          <w:lang w:val="es-EC"/>
        </w:rPr>
      </w:pPr>
      <w:r w:rsidRPr="00470C7C">
        <w:rPr>
          <w:lang w:val="es-EC"/>
        </w:rPr>
        <w:t xml:space="preserve">Por otra parte, </w:t>
      </w:r>
      <w:r w:rsidR="001D0A2C" w:rsidRPr="00470C7C">
        <w:rPr>
          <w:lang w:val="es-EC"/>
        </w:rPr>
        <w:t xml:space="preserve">además del riesgo ya conocido detallado anteriormente, la situación de riesgo actual se verificó una vez que los </w:t>
      </w:r>
      <w:proofErr w:type="spellStart"/>
      <w:r w:rsidR="00D60654" w:rsidRPr="00470C7C">
        <w:rPr>
          <w:lang w:val="es-EC"/>
        </w:rPr>
        <w:t>Antônio</w:t>
      </w:r>
      <w:proofErr w:type="spellEnd"/>
      <w:r w:rsidR="00D60654" w:rsidRPr="00470C7C">
        <w:rPr>
          <w:lang w:val="es-EC"/>
        </w:rPr>
        <w:t xml:space="preserve"> </w:t>
      </w:r>
      <w:r w:rsidR="00DF57D3" w:rsidRPr="00470C7C">
        <w:rPr>
          <w:lang w:val="es-EC"/>
        </w:rPr>
        <w:t xml:space="preserve">Francisco da Silva y </w:t>
      </w:r>
      <w:r w:rsidR="00AB6218" w:rsidRPr="00470C7C">
        <w:rPr>
          <w:rFonts w:cs="Times New Roman"/>
          <w:szCs w:val="20"/>
          <w:lang w:val="pt-BR"/>
        </w:rPr>
        <w:t>José Francisco Furtado de Sousa</w:t>
      </w:r>
      <w:r w:rsidR="001D0A2C" w:rsidRPr="00470C7C">
        <w:rPr>
          <w:lang w:val="es-EC"/>
        </w:rPr>
        <w:t xml:space="preserve"> lograron huir de la Hacienda Brasil Verde y se presentaron ante la Policía Federal de </w:t>
      </w:r>
      <w:proofErr w:type="spellStart"/>
      <w:r w:rsidR="001D0A2C" w:rsidRPr="00470C7C">
        <w:rPr>
          <w:lang w:val="es-EC"/>
        </w:rPr>
        <w:t>Marabá</w:t>
      </w:r>
      <w:proofErr w:type="spellEnd"/>
      <w:r w:rsidR="001D0A2C" w:rsidRPr="00470C7C">
        <w:rPr>
          <w:lang w:val="es-EC"/>
        </w:rPr>
        <w:t xml:space="preserve">. </w:t>
      </w:r>
      <w:r w:rsidRPr="00470C7C">
        <w:rPr>
          <w:lang w:val="es-EC"/>
        </w:rPr>
        <w:t xml:space="preserve">En esa oportunidad, </w:t>
      </w:r>
      <w:r w:rsidR="001D0A2C" w:rsidRPr="00470C7C">
        <w:rPr>
          <w:lang w:val="es-EC"/>
        </w:rPr>
        <w:t xml:space="preserve">al recibir la denuncia de los adolescentes sobre los delitos ocurriendo en la referida hacienda, </w:t>
      </w:r>
      <w:r w:rsidR="00DF57D3" w:rsidRPr="00470C7C">
        <w:rPr>
          <w:lang w:val="es-EC"/>
        </w:rPr>
        <w:t>la</w:t>
      </w:r>
      <w:r w:rsidR="001D0A2C" w:rsidRPr="00470C7C">
        <w:rPr>
          <w:lang w:val="es-EC"/>
        </w:rPr>
        <w:t xml:space="preserve"> condición de niño</w:t>
      </w:r>
      <w:r w:rsidR="00DF57D3" w:rsidRPr="00470C7C">
        <w:rPr>
          <w:lang w:val="es-EC"/>
        </w:rPr>
        <w:t xml:space="preserve"> de </w:t>
      </w:r>
      <w:proofErr w:type="spellStart"/>
      <w:r w:rsidR="00D60654" w:rsidRPr="00470C7C">
        <w:rPr>
          <w:lang w:val="es-EC"/>
        </w:rPr>
        <w:t>Antônio</w:t>
      </w:r>
      <w:proofErr w:type="spellEnd"/>
      <w:r w:rsidR="00D60654" w:rsidRPr="00470C7C">
        <w:rPr>
          <w:lang w:val="es-EC"/>
        </w:rPr>
        <w:t xml:space="preserve"> </w:t>
      </w:r>
      <w:r w:rsidR="00DF57D3" w:rsidRPr="00470C7C">
        <w:rPr>
          <w:lang w:val="es-EC"/>
        </w:rPr>
        <w:t xml:space="preserve">Francisco da Silva </w:t>
      </w:r>
      <w:r w:rsidR="001D0A2C" w:rsidRPr="00470C7C">
        <w:rPr>
          <w:lang w:val="es-EC"/>
        </w:rPr>
        <w:t xml:space="preserve">y la gravedad de los hechos denunciados, </w:t>
      </w:r>
      <w:r w:rsidR="00DD7647" w:rsidRPr="00470C7C">
        <w:rPr>
          <w:lang w:val="es-EC"/>
        </w:rPr>
        <w:t>la</w:t>
      </w:r>
      <w:r w:rsidRPr="00470C7C">
        <w:rPr>
          <w:lang w:val="es-EC"/>
        </w:rPr>
        <w:t xml:space="preserve"> policía </w:t>
      </w:r>
      <w:r w:rsidR="001D0A2C" w:rsidRPr="00470C7C">
        <w:rPr>
          <w:lang w:val="es-EC"/>
        </w:rPr>
        <w:t xml:space="preserve">simplemente </w:t>
      </w:r>
      <w:r w:rsidRPr="00470C7C">
        <w:rPr>
          <w:lang w:val="es-EC"/>
        </w:rPr>
        <w:t xml:space="preserve">informó que no podría atenderlos por ser carnaval y les orientó a regresar dentro de dos días. Dicha actitud estuvo en franca contradicción con la obligación de debida diligencia, sobre todo cuando los hechos denunciados se referían a un delito tan grave como la esclavitud. Al recibir noticia de la ocurrencia de esclavitud y de violencia contra un niño el Estado tenía el deber de desplegar todo su aparato para hacer frente a esas violaciones de derechos humanos. </w:t>
      </w:r>
      <w:r w:rsidR="00F52FC2" w:rsidRPr="00470C7C">
        <w:rPr>
          <w:lang w:val="es-EC"/>
        </w:rPr>
        <w:t>Proceder de modo contrario violó el deber estatal de prevenir la ocurrencia de esclavitud en su territorio.</w:t>
      </w:r>
    </w:p>
    <w:p w14:paraId="39AFCD68" w14:textId="77777777" w:rsidR="00207197" w:rsidRPr="00470C7C" w:rsidRDefault="00207197" w:rsidP="00140440">
      <w:pPr>
        <w:pStyle w:val="Prrafodelista"/>
        <w:ind w:left="0"/>
        <w:rPr>
          <w:lang w:val="es-EC"/>
        </w:rPr>
      </w:pPr>
    </w:p>
    <w:p w14:paraId="2867DF08" w14:textId="77777777" w:rsidR="00207197" w:rsidRPr="00470C7C" w:rsidRDefault="00207197" w:rsidP="00F37DC4">
      <w:pPr>
        <w:pStyle w:val="Prrafodelista"/>
        <w:numPr>
          <w:ilvl w:val="0"/>
          <w:numId w:val="1"/>
        </w:numPr>
        <w:contextualSpacing w:val="0"/>
        <w:rPr>
          <w:lang w:val="es-EC"/>
        </w:rPr>
      </w:pPr>
      <w:r w:rsidRPr="00470C7C">
        <w:rPr>
          <w:lang w:val="es-EC"/>
        </w:rPr>
        <w:t xml:space="preserve">A pesar de que el Estado tenía pleno conocimiento del riesgo que corrían los trabajadores sometidos a esclavitud o </w:t>
      </w:r>
      <w:r w:rsidR="001B63D0" w:rsidRPr="00470C7C">
        <w:rPr>
          <w:lang w:val="es-EC"/>
        </w:rPr>
        <w:t>trabajo forzoso</w:t>
      </w:r>
      <w:r w:rsidRPr="00470C7C">
        <w:rPr>
          <w:lang w:val="es-EC"/>
        </w:rPr>
        <w:t xml:space="preserve"> en el Estado de Pará</w:t>
      </w:r>
      <w:r w:rsidR="008720B2" w:rsidRPr="00470C7C">
        <w:rPr>
          <w:rStyle w:val="Refdenotaalpie"/>
          <w:lang w:val="es-EC"/>
        </w:rPr>
        <w:footnoteReference w:id="456"/>
      </w:r>
      <w:r w:rsidRPr="00470C7C">
        <w:rPr>
          <w:lang w:val="es-EC"/>
        </w:rPr>
        <w:t xml:space="preserve"> y específicamente en la Hacienda Brasil Verde</w:t>
      </w:r>
      <w:r w:rsidR="00CC0C20" w:rsidRPr="00470C7C">
        <w:rPr>
          <w:rStyle w:val="Refdenotaalpie"/>
          <w:lang w:val="es-EC"/>
        </w:rPr>
        <w:footnoteReference w:id="457"/>
      </w:r>
      <w:r w:rsidRPr="00470C7C">
        <w:rPr>
          <w:lang w:val="es-EC"/>
        </w:rPr>
        <w:t>, no demostró haber adoptado medidas efectivas de prevención antes de marzo de 2000 en el sentido de impedir esa práctica y el sometimiento de seres humanos a las condiciones degradantes e inhumanas identificadas. Aunque el deber de prevención sea uno de medio y no de resultado, el Estado no ha demostrado que las políticas públicas adoptadas entre 1995 y 2000 y las inspecciones anteriores realizadas por funcionarios del Ministerio del Trabajo, por más que fue</w:t>
      </w:r>
      <w:r w:rsidR="00DF57D3" w:rsidRPr="00470C7C">
        <w:rPr>
          <w:lang w:val="es-EC"/>
        </w:rPr>
        <w:t>sen</w:t>
      </w:r>
      <w:r w:rsidRPr="00470C7C">
        <w:rPr>
          <w:lang w:val="es-EC"/>
        </w:rPr>
        <w:t xml:space="preserve"> necesarias y demuestren un compromiso estatal, fueran suficientes y efectivas para prevenir el sometimiento de 85 trabajadores a esclavitud en la Hacienda Brasil Verde</w:t>
      </w:r>
      <w:r w:rsidR="001E1449" w:rsidRPr="00470C7C">
        <w:rPr>
          <w:lang w:val="es-EC"/>
        </w:rPr>
        <w:t xml:space="preserve"> (primer momento del deber de prevención)</w:t>
      </w:r>
      <w:r w:rsidRPr="00470C7C">
        <w:rPr>
          <w:lang w:val="es-EC"/>
        </w:rPr>
        <w:t xml:space="preserve">. </w:t>
      </w:r>
      <w:r w:rsidR="00367152" w:rsidRPr="00470C7C">
        <w:rPr>
          <w:lang w:val="es-EC"/>
        </w:rPr>
        <w:t>Asimismo, ante la denuncia de violencia y de sometimiento a situación de esclavitud, el Estado no reaccion</w:t>
      </w:r>
      <w:r w:rsidR="00C077EA" w:rsidRPr="00470C7C">
        <w:rPr>
          <w:lang w:val="es-EC"/>
        </w:rPr>
        <w:t xml:space="preserve">ó con la debida diligencia requerida en virtud de la gravedad de los hechos, de la </w:t>
      </w:r>
      <w:r w:rsidR="00DF57D3" w:rsidRPr="00470C7C">
        <w:rPr>
          <w:lang w:val="es-EC"/>
        </w:rPr>
        <w:t xml:space="preserve">situación de </w:t>
      </w:r>
      <w:r w:rsidR="00C077EA" w:rsidRPr="00470C7C">
        <w:rPr>
          <w:lang w:val="es-EC"/>
        </w:rPr>
        <w:t>vulnerabilidad de las víctimas y de su obligación internacional de prevenir la esclavitud</w:t>
      </w:r>
      <w:r w:rsidR="001E1449" w:rsidRPr="00470C7C">
        <w:rPr>
          <w:lang w:val="es-EC"/>
        </w:rPr>
        <w:t xml:space="preserve"> (segundo momento del deber de prevención a partir de las dos denuncias interpuestas)</w:t>
      </w:r>
      <w:r w:rsidR="00C077EA" w:rsidRPr="00470C7C">
        <w:rPr>
          <w:lang w:val="es-EC"/>
        </w:rPr>
        <w:t xml:space="preserve">. </w:t>
      </w:r>
    </w:p>
    <w:p w14:paraId="33E3FDFD" w14:textId="77777777" w:rsidR="00207197" w:rsidRPr="00470C7C" w:rsidRDefault="00207197" w:rsidP="00140440">
      <w:pPr>
        <w:pStyle w:val="Prrafodelista"/>
        <w:ind w:left="0"/>
        <w:rPr>
          <w:lang w:val="es-EC"/>
        </w:rPr>
      </w:pPr>
    </w:p>
    <w:p w14:paraId="4C93A2B5" w14:textId="77777777" w:rsidR="00207197" w:rsidRPr="00470C7C" w:rsidRDefault="00CA1CA8" w:rsidP="005D2CE2">
      <w:pPr>
        <w:pStyle w:val="Ttulo3"/>
      </w:pPr>
      <w:bookmarkStart w:id="367" w:name="_Toc464813969"/>
      <w:r w:rsidRPr="00470C7C">
        <w:t>B.1</w:t>
      </w:r>
      <w:r w:rsidR="001E1449" w:rsidRPr="00470C7C">
        <w:t>1</w:t>
      </w:r>
      <w:r w:rsidR="00DC2886" w:rsidRPr="00470C7C">
        <w:t>.</w:t>
      </w:r>
      <w:r w:rsidR="00207197" w:rsidRPr="00470C7C">
        <w:t xml:space="preserve"> Derecho</w:t>
      </w:r>
      <w:r w:rsidR="00531F92" w:rsidRPr="00470C7C">
        <w:t>s</w:t>
      </w:r>
      <w:r w:rsidR="00207197" w:rsidRPr="00470C7C">
        <w:t xml:space="preserve"> del niño</w:t>
      </w:r>
      <w:bookmarkEnd w:id="367"/>
    </w:p>
    <w:p w14:paraId="56D5E4C0" w14:textId="77777777" w:rsidR="00207197" w:rsidRPr="00470C7C" w:rsidRDefault="00207197" w:rsidP="00140440">
      <w:pPr>
        <w:pStyle w:val="Prrafodelista"/>
        <w:ind w:left="0"/>
        <w:rPr>
          <w:lang w:val="es-EC"/>
        </w:rPr>
      </w:pPr>
    </w:p>
    <w:p w14:paraId="66B58246" w14:textId="77777777" w:rsidR="004713F4" w:rsidRPr="00470C7C" w:rsidRDefault="004713F4" w:rsidP="001113DC">
      <w:pPr>
        <w:numPr>
          <w:ilvl w:val="0"/>
          <w:numId w:val="1"/>
        </w:numPr>
        <w:tabs>
          <w:tab w:val="clear" w:pos="4419"/>
          <w:tab w:val="clear" w:pos="8838"/>
        </w:tabs>
        <w:jc w:val="both"/>
        <w:rPr>
          <w:lang w:val="es-CL"/>
        </w:rPr>
      </w:pPr>
      <w:r w:rsidRPr="00470C7C">
        <w:rPr>
          <w:lang w:val="es-CL"/>
        </w:rPr>
        <w:t xml:space="preserve">Por otra parte, de los hechos relacionados a la inspección de marzo de 2000 se observa que el señor </w:t>
      </w:r>
      <w:proofErr w:type="spellStart"/>
      <w:r w:rsidR="00D60654" w:rsidRPr="00470C7C">
        <w:t>Antônio</w:t>
      </w:r>
      <w:proofErr w:type="spellEnd"/>
      <w:r w:rsidR="00D60654" w:rsidRPr="00470C7C">
        <w:t xml:space="preserve"> </w:t>
      </w:r>
      <w:r w:rsidRPr="00470C7C">
        <w:t>Francisco da Silva</w:t>
      </w:r>
      <w:r w:rsidRPr="00470C7C">
        <w:rPr>
          <w:lang w:val="es-CL"/>
        </w:rPr>
        <w:t xml:space="preserve">, quien se fugó de la hacienda y después de mucho esfuerzo logró denunciar la existencia de situación </w:t>
      </w:r>
      <w:r w:rsidR="000D639E" w:rsidRPr="00470C7C">
        <w:rPr>
          <w:lang w:val="es-CL"/>
        </w:rPr>
        <w:t>de</w:t>
      </w:r>
      <w:r w:rsidRPr="00470C7C">
        <w:rPr>
          <w:lang w:val="es-CL"/>
        </w:rPr>
        <w:t xml:space="preserve"> esclavitud, amenazas y violencia en la Hacienda Brasil Verde, era niño en ese momento (</w:t>
      </w:r>
      <w:r w:rsidRPr="00470C7C">
        <w:rPr>
          <w:i/>
          <w:lang w:val="es-CL"/>
        </w:rPr>
        <w:t xml:space="preserve">supra </w:t>
      </w:r>
      <w:proofErr w:type="spellStart"/>
      <w:r w:rsidRPr="00470C7C">
        <w:rPr>
          <w:lang w:val="es-CL"/>
        </w:rPr>
        <w:t>párr</w:t>
      </w:r>
      <w:r w:rsidR="00BB7553" w:rsidRPr="00470C7C">
        <w:rPr>
          <w:lang w:val="es-CL"/>
        </w:rPr>
        <w:t>s</w:t>
      </w:r>
      <w:proofErr w:type="spellEnd"/>
      <w:r w:rsidRPr="00470C7C">
        <w:rPr>
          <w:lang w:val="es-CL"/>
        </w:rPr>
        <w:t xml:space="preserve">. </w:t>
      </w:r>
      <w:r w:rsidR="00146AEA" w:rsidRPr="00470C7C">
        <w:rPr>
          <w:lang w:val="es-CL"/>
        </w:rPr>
        <w:t>174,</w:t>
      </w:r>
      <w:r w:rsidR="00BB7553" w:rsidRPr="00470C7C">
        <w:rPr>
          <w:lang w:val="es-CL"/>
        </w:rPr>
        <w:t xml:space="preserve"> 175</w:t>
      </w:r>
      <w:r w:rsidR="00146AEA" w:rsidRPr="00470C7C">
        <w:rPr>
          <w:lang w:val="es-CL"/>
        </w:rPr>
        <w:t xml:space="preserve"> y 299</w:t>
      </w:r>
      <w:r w:rsidRPr="00470C7C">
        <w:rPr>
          <w:lang w:val="es-CL"/>
        </w:rPr>
        <w:t xml:space="preserve">). Ante la Corte el señor </w:t>
      </w:r>
      <w:proofErr w:type="spellStart"/>
      <w:r w:rsidR="00D60654" w:rsidRPr="00470C7C">
        <w:t>Antônio</w:t>
      </w:r>
      <w:proofErr w:type="spellEnd"/>
      <w:r w:rsidR="00D60654" w:rsidRPr="00470C7C">
        <w:t xml:space="preserve"> </w:t>
      </w:r>
      <w:r w:rsidRPr="00470C7C">
        <w:t>Francisco da Silva</w:t>
      </w:r>
      <w:r w:rsidRPr="00470C7C">
        <w:rPr>
          <w:lang w:val="es-CL"/>
        </w:rPr>
        <w:t xml:space="preserve"> declaró que denunció ese hecho a la policía federal y también a la CPT</w:t>
      </w:r>
      <w:r w:rsidR="00303055" w:rsidRPr="00470C7C">
        <w:rPr>
          <w:lang w:val="es-CL"/>
        </w:rPr>
        <w:t>.</w:t>
      </w:r>
      <w:r w:rsidRPr="00470C7C">
        <w:rPr>
          <w:lang w:val="es-CL"/>
        </w:rPr>
        <w:t xml:space="preserve"> </w:t>
      </w:r>
    </w:p>
    <w:p w14:paraId="5C53A02E" w14:textId="77777777" w:rsidR="00D57137" w:rsidRPr="00470C7C" w:rsidRDefault="00D57137" w:rsidP="00D57137">
      <w:pPr>
        <w:jc w:val="both"/>
        <w:rPr>
          <w:i/>
          <w:lang w:eastAsia="es-ES"/>
        </w:rPr>
      </w:pPr>
    </w:p>
    <w:p w14:paraId="0F34DC01" w14:textId="77777777" w:rsidR="004713F4" w:rsidRPr="00470C7C" w:rsidRDefault="00D57137" w:rsidP="00D57137">
      <w:pPr>
        <w:numPr>
          <w:ilvl w:val="0"/>
          <w:numId w:val="1"/>
        </w:numPr>
        <w:tabs>
          <w:tab w:val="clear" w:pos="4419"/>
          <w:tab w:val="clear" w:pos="8838"/>
        </w:tabs>
        <w:jc w:val="both"/>
      </w:pPr>
      <w:r w:rsidRPr="00470C7C">
        <w:t xml:space="preserve">La Corte resalta que los niños y las niñas son titulares de los derechos establecidos en la Convención Americana, además de contar con las </w:t>
      </w:r>
      <w:r w:rsidRPr="00470C7C">
        <w:rPr>
          <w:bCs/>
        </w:rPr>
        <w:t>medidas especiales de protección contempladas en el artículo 19 de la Convención, las cuales deben ser definidas según las circunstancias particulares de cada caso concreto</w:t>
      </w:r>
      <w:bookmarkStart w:id="368" w:name="_Ref318129080"/>
      <w:r w:rsidRPr="00470C7C">
        <w:rPr>
          <w:rStyle w:val="Refdenotaalpie"/>
          <w:bCs/>
        </w:rPr>
        <w:footnoteReference w:id="458"/>
      </w:r>
      <w:bookmarkEnd w:id="368"/>
      <w:r w:rsidR="004713F4" w:rsidRPr="00470C7C">
        <w:t>. El artículo 19 de la Convención establece la obligación de adoptar medidas de protección especial a favor de toda niña o niño en virtud de su condición de tal, la cual irradia sus efectos en la interpretación de todos los demás derechos cuando el caso se refiera a menores de edad. En esta línea, la Corte ha considerado que la debida protección de los derechos de las niñas y niños, en su calidad de sujetos de derechos, debe tomar en consideración sus características propias y la necesidad de propiciar su desarrollo, ofreciéndoles las condiciones necesarias para que vivan y desarrollen sus aptitudes con pleno aprovechamiento de sus potencialidades</w:t>
      </w:r>
      <w:r w:rsidR="004713F4" w:rsidRPr="00470C7C">
        <w:rPr>
          <w:vertAlign w:val="superscript"/>
        </w:rPr>
        <w:footnoteReference w:id="459"/>
      </w:r>
      <w:r w:rsidR="004713F4" w:rsidRPr="00470C7C">
        <w:t>. A fin de definir el contenido y los alcances de las obligaciones que ha asumido el Estado cuando se analizan los derechos de las niñas y los niños la Corte recurrirá, como lo ha hecho en anteriores ocasiones, a</w:t>
      </w:r>
      <w:r w:rsidR="004713F4" w:rsidRPr="00470C7C">
        <w:rPr>
          <w:bCs/>
        </w:rPr>
        <w:t xml:space="preserve">l </w:t>
      </w:r>
      <w:r w:rsidR="004713F4" w:rsidRPr="00470C7C">
        <w:rPr>
          <w:i/>
        </w:rPr>
        <w:t xml:space="preserve">corpus iuris </w:t>
      </w:r>
      <w:r w:rsidR="004713F4" w:rsidRPr="00470C7C">
        <w:t>internacional de protección de las niñas y los niños</w:t>
      </w:r>
      <w:r w:rsidR="004713F4" w:rsidRPr="00470C7C">
        <w:rPr>
          <w:vertAlign w:val="superscript"/>
        </w:rPr>
        <w:footnoteReference w:id="460"/>
      </w:r>
      <w:r w:rsidR="004713F4" w:rsidRPr="00470C7C">
        <w:t>.</w:t>
      </w:r>
    </w:p>
    <w:p w14:paraId="79E8DD4A" w14:textId="77777777" w:rsidR="004713F4" w:rsidRPr="00470C7C" w:rsidRDefault="004713F4" w:rsidP="004713F4">
      <w:pPr>
        <w:pStyle w:val="Prrafodelista"/>
        <w:rPr>
          <w:bCs/>
        </w:rPr>
      </w:pPr>
    </w:p>
    <w:p w14:paraId="757E524C" w14:textId="77777777" w:rsidR="00E535CD" w:rsidRPr="00470C7C" w:rsidRDefault="00E535CD" w:rsidP="00E535CD">
      <w:pPr>
        <w:numPr>
          <w:ilvl w:val="0"/>
          <w:numId w:val="1"/>
        </w:numPr>
        <w:tabs>
          <w:tab w:val="clear" w:pos="4419"/>
          <w:tab w:val="clear" w:pos="8838"/>
          <w:tab w:val="num" w:pos="720"/>
        </w:tabs>
        <w:jc w:val="both"/>
        <w:rPr>
          <w:bCs/>
        </w:rPr>
      </w:pPr>
      <w:r w:rsidRPr="00470C7C">
        <w:rPr>
          <w:bCs/>
        </w:rPr>
        <w:t>L</w:t>
      </w:r>
      <w:r w:rsidRPr="00470C7C">
        <w:t>as normas contenidas en la Convención sobre los Derechos del Niño y los Convenios 138 y 182 de la OIT</w:t>
      </w:r>
      <w:r w:rsidRPr="00470C7C">
        <w:rPr>
          <w:rStyle w:val="Refdenotaalpie"/>
        </w:rPr>
        <w:footnoteReference w:id="461"/>
      </w:r>
      <w:r w:rsidRPr="00470C7C">
        <w:t xml:space="preserve">, </w:t>
      </w:r>
      <w:r w:rsidRPr="00470C7C">
        <w:rPr>
          <w:bCs/>
        </w:rPr>
        <w:t xml:space="preserve">integran el </w:t>
      </w:r>
      <w:r w:rsidRPr="00470C7C">
        <w:rPr>
          <w:bCs/>
          <w:i/>
        </w:rPr>
        <w:t>corpus iuris</w:t>
      </w:r>
      <w:r w:rsidRPr="00470C7C">
        <w:rPr>
          <w:bCs/>
        </w:rPr>
        <w:t xml:space="preserve"> en la materia. El artículo 32 de la Convención sobre los Derechos del Niño prevé </w:t>
      </w:r>
      <w:r w:rsidR="00C54C3D" w:rsidRPr="00470C7C">
        <w:rPr>
          <w:bCs/>
        </w:rPr>
        <w:t xml:space="preserve">que </w:t>
      </w:r>
      <w:r w:rsidRPr="00470C7C">
        <w:rPr>
          <w:bCs/>
        </w:rPr>
        <w:t>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 El mismo precepto señala que los Estados partes fijarán una edad mínima para trabajar. Por otra parte</w:t>
      </w:r>
      <w:r w:rsidR="00C54C3D" w:rsidRPr="00470C7C">
        <w:rPr>
          <w:bCs/>
        </w:rPr>
        <w:t>,</w:t>
      </w:r>
      <w:r w:rsidRPr="00470C7C">
        <w:rPr>
          <w:bCs/>
        </w:rPr>
        <w:t xml:space="preserve"> el artículo 3 del Convenio 138 de la OIT señala que la edad mínima de admisión a todo tipo de empleo o trabajo que por su naturaleza o las condiciones en que se realice pueda resultar peligroso para la salud, la seguridad o la moralidad de los </w:t>
      </w:r>
      <w:r w:rsidR="00DF57D3" w:rsidRPr="00470C7C">
        <w:rPr>
          <w:bCs/>
        </w:rPr>
        <w:t>niños</w:t>
      </w:r>
      <w:r w:rsidR="00DF57D3" w:rsidRPr="00470C7C">
        <w:rPr>
          <w:bCs/>
          <w:color w:val="FF0000"/>
        </w:rPr>
        <w:t xml:space="preserve"> </w:t>
      </w:r>
      <w:r w:rsidRPr="00470C7C">
        <w:rPr>
          <w:bCs/>
        </w:rPr>
        <w:t xml:space="preserve">no deberá ser inferior a </w:t>
      </w:r>
      <w:r w:rsidR="00C54C3D" w:rsidRPr="00470C7C">
        <w:rPr>
          <w:bCs/>
        </w:rPr>
        <w:t>18</w:t>
      </w:r>
      <w:r w:rsidRPr="00470C7C">
        <w:rPr>
          <w:bCs/>
        </w:rPr>
        <w:t xml:space="preserve"> años.</w:t>
      </w:r>
      <w:r w:rsidRPr="00470C7C">
        <w:t xml:space="preserve"> En el mismo sentido el Convenio 182 de la OIT prevé que todas las formas de esclavitud, sus prácticas análogas, la servidumbre por deudas y la condición de siervo, el trabajo forzoso u obligatorio, y el trabajo que, por su naturaleza o por las condiciones en que se lleva a cabo, es probable que dañe la salud, la seguridad o la moralidad de los niños, entre otros, son considerados como las peores formas de trabajo infantil</w:t>
      </w:r>
      <w:r w:rsidRPr="00470C7C">
        <w:rPr>
          <w:rStyle w:val="Refdenotaalpie"/>
        </w:rPr>
        <w:footnoteReference w:id="462"/>
      </w:r>
      <w:r w:rsidRPr="00470C7C">
        <w:t xml:space="preserve">. </w:t>
      </w:r>
    </w:p>
    <w:p w14:paraId="0A28158A" w14:textId="77777777" w:rsidR="00E535CD" w:rsidRPr="00470C7C" w:rsidRDefault="00E535CD" w:rsidP="00E535CD">
      <w:pPr>
        <w:tabs>
          <w:tab w:val="clear" w:pos="4419"/>
          <w:tab w:val="clear" w:pos="8838"/>
        </w:tabs>
        <w:jc w:val="both"/>
        <w:rPr>
          <w:bCs/>
        </w:rPr>
      </w:pPr>
    </w:p>
    <w:p w14:paraId="3ECF0036" w14:textId="77777777" w:rsidR="00E535CD" w:rsidRPr="00470C7C" w:rsidRDefault="00E535CD" w:rsidP="00E535CD">
      <w:pPr>
        <w:numPr>
          <w:ilvl w:val="0"/>
          <w:numId w:val="1"/>
        </w:numPr>
        <w:tabs>
          <w:tab w:val="clear" w:pos="4419"/>
          <w:tab w:val="clear" w:pos="8838"/>
          <w:tab w:val="num" w:pos="720"/>
        </w:tabs>
        <w:jc w:val="both"/>
        <w:rPr>
          <w:bCs/>
        </w:rPr>
      </w:pPr>
      <w:r w:rsidRPr="00470C7C">
        <w:t>En ese sentido, la Corte destaca que las obligaciones que el Estado debe adoptar para eliminar las peores formas de trabajo infantil tienen carácter prioritario e incluyen, entre otras, elaborar y poner en práctica programas de acción para asegurar el ejercicio y disfrute pleno de sus derechos</w:t>
      </w:r>
      <w:r w:rsidRPr="00470C7C">
        <w:rPr>
          <w:vertAlign w:val="superscript"/>
        </w:rPr>
        <w:footnoteReference w:id="463"/>
      </w:r>
      <w:r w:rsidRPr="00470C7C">
        <w:t>. En concreto, el Estado tiene la obligación de</w:t>
      </w:r>
      <w:r w:rsidR="00DF57D3" w:rsidRPr="00470C7C">
        <w:t>:</w:t>
      </w:r>
      <w:r w:rsidRPr="00470C7C">
        <w:t xml:space="preserve"> i)</w:t>
      </w:r>
      <w:r w:rsidRPr="00470C7C">
        <w:rPr>
          <w:lang w:val="es-ES"/>
        </w:rPr>
        <w:t xml:space="preserve"> impedir la ocupación de niños en las peores formas de trabajo infantil; </w:t>
      </w:r>
      <w:proofErr w:type="spellStart"/>
      <w:r w:rsidRPr="00470C7C">
        <w:rPr>
          <w:lang w:val="es-ES"/>
        </w:rPr>
        <w:t>ii</w:t>
      </w:r>
      <w:proofErr w:type="spellEnd"/>
      <w:r w:rsidRPr="00470C7C">
        <w:rPr>
          <w:lang w:val="es-ES"/>
        </w:rPr>
        <w:t xml:space="preserve">) prestar la asistencia directa necesaria y adecuada para librar a los niños de las peores formas de trabajo infantil y asegurar su rehabilitación e inserción social; </w:t>
      </w:r>
      <w:proofErr w:type="spellStart"/>
      <w:r w:rsidRPr="00470C7C">
        <w:rPr>
          <w:lang w:val="es-ES"/>
        </w:rPr>
        <w:t>iii</w:t>
      </w:r>
      <w:proofErr w:type="spellEnd"/>
      <w:r w:rsidRPr="00470C7C">
        <w:rPr>
          <w:lang w:val="es-ES"/>
        </w:rPr>
        <w:t>) asegurar a todos los niños que hayan sido lib</w:t>
      </w:r>
      <w:r w:rsidR="00DF57D3" w:rsidRPr="00470C7C">
        <w:rPr>
          <w:lang w:val="es-ES"/>
        </w:rPr>
        <w:t>e</w:t>
      </w:r>
      <w:r w:rsidRPr="00470C7C">
        <w:rPr>
          <w:lang w:val="es-ES"/>
        </w:rPr>
        <w:t xml:space="preserve">rados de las peores formas de trabajo infantil el acceso a la enseñanza básica gratuita y, cuando sea posible y adecuado, a la formación profesional; </w:t>
      </w:r>
      <w:proofErr w:type="spellStart"/>
      <w:r w:rsidRPr="00470C7C">
        <w:rPr>
          <w:lang w:val="es-ES"/>
        </w:rPr>
        <w:t>iv</w:t>
      </w:r>
      <w:proofErr w:type="spellEnd"/>
      <w:r w:rsidRPr="00470C7C">
        <w:rPr>
          <w:lang w:val="es-ES"/>
        </w:rPr>
        <w:t>) identificar a los niños que están particularmente expuestos a riesgos y entrar en contacto directo con ellos, y v) tener en cuenta la situación particular de las niñas</w:t>
      </w:r>
      <w:r w:rsidRPr="00470C7C">
        <w:rPr>
          <w:rStyle w:val="Refdenotaalpie"/>
          <w:lang w:val="es-ES"/>
        </w:rPr>
        <w:footnoteReference w:id="464"/>
      </w:r>
      <w:r w:rsidRPr="00470C7C">
        <w:rPr>
          <w:lang w:val="es-ES"/>
        </w:rPr>
        <w:t>.</w:t>
      </w:r>
    </w:p>
    <w:p w14:paraId="2647F07C" w14:textId="77777777" w:rsidR="00E535CD" w:rsidRPr="00470C7C" w:rsidRDefault="00E535CD" w:rsidP="00E535CD">
      <w:pPr>
        <w:tabs>
          <w:tab w:val="clear" w:pos="4419"/>
          <w:tab w:val="clear" w:pos="8838"/>
        </w:tabs>
        <w:jc w:val="both"/>
        <w:rPr>
          <w:lang w:val="es-ES"/>
        </w:rPr>
      </w:pPr>
      <w:r w:rsidRPr="00470C7C">
        <w:rPr>
          <w:lang w:val="es-ES"/>
        </w:rPr>
        <w:t xml:space="preserve"> </w:t>
      </w:r>
    </w:p>
    <w:p w14:paraId="30E188DC" w14:textId="77777777" w:rsidR="00B3636E" w:rsidRPr="00470C7C" w:rsidRDefault="00E535CD" w:rsidP="00E535CD">
      <w:pPr>
        <w:numPr>
          <w:ilvl w:val="0"/>
          <w:numId w:val="1"/>
        </w:numPr>
        <w:tabs>
          <w:tab w:val="clear" w:pos="4419"/>
          <w:tab w:val="clear" w:pos="8838"/>
        </w:tabs>
        <w:jc w:val="both"/>
      </w:pPr>
      <w:r w:rsidRPr="00470C7C">
        <w:t>Los hechos de</w:t>
      </w:r>
      <w:r w:rsidR="00A463CB" w:rsidRPr="00470C7C">
        <w:t xml:space="preserve">l presente caso no dejan duda </w:t>
      </w:r>
      <w:r w:rsidR="00DF57D3" w:rsidRPr="00470C7C">
        <w:t xml:space="preserve">de </w:t>
      </w:r>
      <w:r w:rsidRPr="00470C7C">
        <w:t xml:space="preserve">que </w:t>
      </w:r>
      <w:proofErr w:type="spellStart"/>
      <w:r w:rsidR="00D60654" w:rsidRPr="00470C7C">
        <w:t>Antônio</w:t>
      </w:r>
      <w:proofErr w:type="spellEnd"/>
      <w:r w:rsidR="00D60654" w:rsidRPr="00470C7C">
        <w:t xml:space="preserve"> </w:t>
      </w:r>
      <w:r w:rsidRPr="00470C7C">
        <w:t xml:space="preserve">Francisco da Silva fue sometido a las formas de trabajo indicadas </w:t>
      </w:r>
      <w:r w:rsidRPr="00470C7C">
        <w:rPr>
          <w:i/>
        </w:rPr>
        <w:t xml:space="preserve">supra, </w:t>
      </w:r>
      <w:r w:rsidRPr="00470C7C">
        <w:t xml:space="preserve">pues tal como se determinó previamente fue víctima de esclavitud. Por lo tanto, una vez conocida la situación </w:t>
      </w:r>
      <w:r w:rsidR="00C34197" w:rsidRPr="00470C7C">
        <w:t>concreta</w:t>
      </w:r>
      <w:r w:rsidRPr="00470C7C">
        <w:t xml:space="preserve"> de violencia y esclavitud a la cual el niño había sido sometido</w:t>
      </w:r>
      <w:r w:rsidR="00DF57D3" w:rsidRPr="00470C7C">
        <w:t>,</w:t>
      </w:r>
      <w:r w:rsidRPr="00470C7C">
        <w:t xml:space="preserve"> y la posibilidad de que otros niños estuvieran en la misma condición, así como la gravedad de los hechos en cuestión, el Estado debió adoptar las medidas eficaces para poner fin a la situación de esclavitud identificada y para asegurar la rehabilitación e inserción social de </w:t>
      </w:r>
      <w:proofErr w:type="spellStart"/>
      <w:r w:rsidR="00D60654" w:rsidRPr="00470C7C">
        <w:t>Antônio</w:t>
      </w:r>
      <w:proofErr w:type="spellEnd"/>
      <w:r w:rsidR="00D60654" w:rsidRPr="00470C7C">
        <w:t xml:space="preserve"> </w:t>
      </w:r>
      <w:r w:rsidRPr="00470C7C">
        <w:t>Francisco da Silva, así como asegurar su acceso a la educación básica primaria y</w:t>
      </w:r>
      <w:r w:rsidR="00DF57D3" w:rsidRPr="00470C7C">
        <w:t>,</w:t>
      </w:r>
      <w:r w:rsidRPr="00470C7C">
        <w:t xml:space="preserve"> de haber sido posible</w:t>
      </w:r>
      <w:r w:rsidR="00DF57D3" w:rsidRPr="00470C7C">
        <w:t>,</w:t>
      </w:r>
      <w:r w:rsidRPr="00470C7C">
        <w:t xml:space="preserve"> a la formación profesional</w:t>
      </w:r>
      <w:r w:rsidR="00A66BE0" w:rsidRPr="00470C7C">
        <w:t>.</w:t>
      </w:r>
      <w:r w:rsidRPr="00470C7C">
        <w:t xml:space="preserve"> </w:t>
      </w:r>
    </w:p>
    <w:p w14:paraId="574C2228" w14:textId="77777777" w:rsidR="001217FA" w:rsidRPr="00470C7C" w:rsidRDefault="001217FA" w:rsidP="00242CDD">
      <w:pPr>
        <w:tabs>
          <w:tab w:val="clear" w:pos="4419"/>
          <w:tab w:val="clear" w:pos="8838"/>
        </w:tabs>
        <w:jc w:val="both"/>
        <w:rPr>
          <w:lang w:val="es-EC"/>
        </w:rPr>
      </w:pPr>
    </w:p>
    <w:p w14:paraId="1EC74840" w14:textId="77777777" w:rsidR="001E1449" w:rsidRPr="00470C7C" w:rsidRDefault="001E1449" w:rsidP="001E1449">
      <w:pPr>
        <w:pStyle w:val="Ttulo3"/>
      </w:pPr>
      <w:bookmarkStart w:id="369" w:name="_Toc464813970"/>
      <w:r w:rsidRPr="00470C7C">
        <w:t>B.12</w:t>
      </w:r>
      <w:r w:rsidR="00DC2886" w:rsidRPr="00470C7C">
        <w:t>.</w:t>
      </w:r>
      <w:r w:rsidRPr="00470C7C">
        <w:t xml:space="preserve"> Discriminación estructural</w:t>
      </w:r>
      <w:bookmarkEnd w:id="369"/>
    </w:p>
    <w:p w14:paraId="5E2B926B" w14:textId="77777777" w:rsidR="001E1449" w:rsidRPr="00470C7C" w:rsidRDefault="001E1449" w:rsidP="001E1449">
      <w:pPr>
        <w:pStyle w:val="Prrafodelista"/>
        <w:ind w:left="0"/>
      </w:pPr>
    </w:p>
    <w:p w14:paraId="489D048A" w14:textId="77777777" w:rsidR="006C5E11" w:rsidRPr="00470C7C" w:rsidRDefault="006C5E11" w:rsidP="006C5E11">
      <w:pPr>
        <w:pStyle w:val="Prrafodelista"/>
        <w:numPr>
          <w:ilvl w:val="0"/>
          <w:numId w:val="1"/>
        </w:numPr>
        <w:contextualSpacing w:val="0"/>
      </w:pPr>
      <w:r w:rsidRPr="00470C7C">
        <w:t xml:space="preserve">Con respecto a la discriminación estructural, la Corte hace notar la inclusión de la </w:t>
      </w:r>
      <w:r w:rsidR="000A5049" w:rsidRPr="00470C7C">
        <w:t xml:space="preserve">alegada </w:t>
      </w:r>
      <w:r w:rsidRPr="00470C7C">
        <w:t xml:space="preserve">violación del artículo 24 de la Convención (Igualdad ante la Ley) en el escrito de alegatos finales de los representantes, sin que hayan presentado </w:t>
      </w:r>
      <w:r w:rsidR="000A5049" w:rsidRPr="00470C7C">
        <w:t xml:space="preserve">algún </w:t>
      </w:r>
      <w:r w:rsidRPr="00470C7C">
        <w:t>alegato o explicación para esa inclusión y cambio de postura. En ese sentido, la Corte recuerda que mientras que la obligación general del artículo 1.1 se refiere al deber del Estado de respetar y garantizar “sin discriminación” los derechos contenidos en la Convención Americana, el artículo 24 protege el derecho a “igual protección de la ley”</w:t>
      </w:r>
      <w:r w:rsidRPr="00470C7C">
        <w:rPr>
          <w:rStyle w:val="Refdenotaalpie"/>
        </w:rPr>
        <w:footnoteReference w:id="465"/>
      </w:r>
      <w:r w:rsidRPr="00470C7C">
        <w:t>. Es decir, el artículo 24 de la Convención Americana prohíbe la discriminación de derecho o de hecho, no</w:t>
      </w:r>
      <w:r w:rsidR="00B54FB3" w:rsidRPr="00470C7C">
        <w:t xml:space="preserve"> </w:t>
      </w:r>
      <w:r w:rsidR="004D1879" w:rsidRPr="00470C7C">
        <w:t xml:space="preserve">solo </w:t>
      </w:r>
      <w:r w:rsidRPr="00470C7C">
        <w:t>en cuanto a los derechos contenidos en dicho tratado, sino en lo que respecta a todas las leyes que apruebe el Estado y a su aplicación</w:t>
      </w:r>
      <w:r w:rsidRPr="00470C7C">
        <w:rPr>
          <w:rFonts w:eastAsia="Calibri"/>
          <w:spacing w:val="-2"/>
          <w:vertAlign w:val="superscript"/>
        </w:rPr>
        <w:footnoteReference w:id="466"/>
      </w:r>
      <w:r w:rsidRPr="00470C7C">
        <w:t xml:space="preserve">. </w:t>
      </w:r>
      <w:r w:rsidRPr="00470C7C">
        <w:rPr>
          <w:lang w:eastAsia="es-ES"/>
        </w:rPr>
        <w:t>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w:t>
      </w:r>
      <w:r w:rsidRPr="00470C7C">
        <w:rPr>
          <w:rStyle w:val="Refdenotaalpie"/>
          <w:lang w:eastAsia="es-ES"/>
        </w:rPr>
        <w:footnoteReference w:id="467"/>
      </w:r>
      <w:r w:rsidRPr="00470C7C">
        <w:rPr>
          <w:lang w:eastAsia="es-ES"/>
        </w:rPr>
        <w:t xml:space="preserve"> en relación con las categorías protegidas por el artículo 1.1 de la Convención.</w:t>
      </w:r>
    </w:p>
    <w:p w14:paraId="4AC3EAAA" w14:textId="77777777" w:rsidR="006C5E11" w:rsidRPr="00470C7C" w:rsidRDefault="006C5E11" w:rsidP="006C5E11">
      <w:pPr>
        <w:pStyle w:val="Prrafodelista"/>
        <w:ind w:left="0"/>
      </w:pPr>
    </w:p>
    <w:p w14:paraId="590E4F00" w14:textId="77777777" w:rsidR="006C5E11" w:rsidRPr="00470C7C" w:rsidRDefault="006C5E11" w:rsidP="006C5E11">
      <w:pPr>
        <w:pStyle w:val="Prrafodelista"/>
        <w:numPr>
          <w:ilvl w:val="0"/>
          <w:numId w:val="1"/>
        </w:numPr>
        <w:contextualSpacing w:val="0"/>
        <w:rPr>
          <w:rFonts w:cs="Arial"/>
        </w:rPr>
      </w:pPr>
      <w:r w:rsidRPr="00470C7C">
        <w:t xml:space="preserve">Por otro lado, en relación con el artículo 1.1 de la Convención, la Corte ha establecido que es una norma de carácter general cuyo contenido se extiende a todas las disposiciones del tratado, y dispone la obligación de los Estados Parte de respetar y garantizar el pleno y libre ejercicio de los derechos y libertades allí reconocidas “sin discriminación alguna”. Es decir, cualquiera que sea el origen o la forma que asuma, todo tratamiento que pueda ser considerado discriminatorio respecto del ejercicio de cualquiera de los derechos garantizados en la Convención es </w:t>
      </w:r>
      <w:r w:rsidRPr="00470C7C">
        <w:rPr>
          <w:i/>
        </w:rPr>
        <w:t>per se</w:t>
      </w:r>
      <w:r w:rsidRPr="00470C7C">
        <w:t xml:space="preserve"> incompatible con la misma</w:t>
      </w:r>
      <w:r w:rsidRPr="00470C7C">
        <w:rPr>
          <w:rStyle w:val="Refdenotaalpie"/>
        </w:rPr>
        <w:footnoteReference w:id="468"/>
      </w:r>
      <w:r w:rsidRPr="00470C7C">
        <w:t xml:space="preserve">. </w:t>
      </w:r>
      <w:r w:rsidRPr="00470C7C">
        <w:rPr>
          <w:rFonts w:cs="Arial"/>
        </w:rPr>
        <w:t>El incumplimiento por el Estado, mediante cualquier tratamiento discriminatorio, de la obligación general de respetar y garantizar los derechos humanos, le genera responsabilidad internacional</w:t>
      </w:r>
      <w:r w:rsidRPr="00470C7C">
        <w:rPr>
          <w:rFonts w:cs="Arial"/>
          <w:vertAlign w:val="superscript"/>
        </w:rPr>
        <w:footnoteReference w:id="469"/>
      </w:r>
      <w:r w:rsidRPr="00470C7C">
        <w:rPr>
          <w:rFonts w:cs="Arial"/>
        </w:rPr>
        <w:t>. Es por ello que existe un vínculo indisoluble entre la obligación de respetar y garantizar los derechos humanos y el principio de igualdad y no discriminación</w:t>
      </w:r>
      <w:r w:rsidRPr="00470C7C">
        <w:rPr>
          <w:rFonts w:cs="Arial"/>
          <w:vertAlign w:val="superscript"/>
        </w:rPr>
        <w:footnoteReference w:id="470"/>
      </w:r>
      <w:r w:rsidRPr="00470C7C">
        <w:rPr>
          <w:rFonts w:cs="Arial"/>
        </w:rPr>
        <w:t xml:space="preserve">. Al respecto, la Corte destaca que a diferencia de otros tratados de derechos humanos, la “posición económica” de la persona es una de las causales de discriminación prohibidas por el artículo 1.1 de la Convención Americana. </w:t>
      </w:r>
    </w:p>
    <w:p w14:paraId="14F9ABA3" w14:textId="77777777" w:rsidR="006C5E11" w:rsidRPr="00470C7C" w:rsidRDefault="006C5E11" w:rsidP="006C5E11">
      <w:pPr>
        <w:pStyle w:val="Prrafodelista"/>
        <w:ind w:left="0"/>
        <w:rPr>
          <w:rFonts w:cs="Arial"/>
        </w:rPr>
      </w:pPr>
    </w:p>
    <w:p w14:paraId="493A50A0" w14:textId="77777777" w:rsidR="006C5E11" w:rsidRPr="00470C7C" w:rsidRDefault="006C5E11" w:rsidP="006C5E11">
      <w:pPr>
        <w:pStyle w:val="Estilo1"/>
        <w:numPr>
          <w:ilvl w:val="0"/>
          <w:numId w:val="1"/>
        </w:numPr>
        <w:tabs>
          <w:tab w:val="left" w:pos="567"/>
          <w:tab w:val="left" w:pos="1134"/>
        </w:tabs>
        <w:spacing w:after="0"/>
        <w:ind w:right="0"/>
        <w:jc w:val="both"/>
        <w:rPr>
          <w:i w:val="0"/>
        </w:rPr>
      </w:pPr>
      <w:r w:rsidRPr="00470C7C">
        <w:rPr>
          <w:i w:val="0"/>
        </w:rPr>
        <w:t xml:space="preserve">La Corte ha señalado que “los Estados deben abstenerse de realizar acciones que de cualquier manera vayan dirigidas, directa o indirectamente, a crear situaciones de discriminación </w:t>
      </w:r>
      <w:r w:rsidRPr="00470C7C">
        <w:t>de</w:t>
      </w:r>
      <w:r w:rsidRPr="00470C7C">
        <w:rPr>
          <w:i w:val="0"/>
        </w:rPr>
        <w:t xml:space="preserve"> </w:t>
      </w:r>
      <w:r w:rsidRPr="00470C7C">
        <w:t>jure</w:t>
      </w:r>
      <w:r w:rsidRPr="00470C7C">
        <w:rPr>
          <w:i w:val="0"/>
        </w:rPr>
        <w:t xml:space="preserve"> o </w:t>
      </w:r>
      <w:r w:rsidRPr="00470C7C">
        <w:t>de</w:t>
      </w:r>
      <w:r w:rsidRPr="00470C7C">
        <w:rPr>
          <w:i w:val="0"/>
        </w:rPr>
        <w:t xml:space="preserve"> </w:t>
      </w:r>
      <w:r w:rsidRPr="00470C7C">
        <w:t>facto</w:t>
      </w:r>
      <w:r w:rsidRPr="00470C7C">
        <w:rPr>
          <w:i w:val="0"/>
        </w:rPr>
        <w:t>”</w:t>
      </w:r>
      <w:r w:rsidRPr="00470C7C">
        <w:rPr>
          <w:i w:val="0"/>
          <w:vertAlign w:val="superscript"/>
        </w:rPr>
        <w:footnoteReference w:id="471"/>
      </w:r>
      <w:r w:rsidRPr="00470C7C">
        <w:rPr>
          <w:i w:val="0"/>
        </w:rPr>
        <w:t>. Los Estados están obligados “a adoptar medidas positivas para revertir o cambiar situaciones discriminatorias existentes en sus sociedades, en perjuicio de determinado grupo de personas. Esto implica el deber especial de protección que el Estado debe ejercer con respecto de actuaciones y prácticas de terceros que, bajo su tolerancia o aquiescencia, creen, mantengan o favorezcan las situaciones discriminatorias”</w:t>
      </w:r>
      <w:r w:rsidRPr="00470C7C">
        <w:rPr>
          <w:i w:val="0"/>
          <w:vertAlign w:val="superscript"/>
        </w:rPr>
        <w:footnoteReference w:id="472"/>
      </w:r>
      <w:r w:rsidRPr="00470C7C">
        <w:rPr>
          <w:i w:val="0"/>
        </w:rPr>
        <w:t xml:space="preserve">. </w:t>
      </w:r>
    </w:p>
    <w:p w14:paraId="5D33DDBE" w14:textId="77777777" w:rsidR="006C5E11" w:rsidRPr="00470C7C" w:rsidRDefault="006C5E11" w:rsidP="006C5E11">
      <w:pPr>
        <w:pStyle w:val="Estilo1"/>
        <w:tabs>
          <w:tab w:val="left" w:pos="567"/>
          <w:tab w:val="left" w:pos="1134"/>
        </w:tabs>
        <w:spacing w:after="0"/>
        <w:ind w:left="0" w:right="0" w:firstLine="0"/>
        <w:jc w:val="both"/>
        <w:rPr>
          <w:i w:val="0"/>
        </w:rPr>
      </w:pPr>
    </w:p>
    <w:p w14:paraId="29CEB723" w14:textId="77777777" w:rsidR="006C5E11" w:rsidRPr="00470C7C" w:rsidRDefault="006C5E11" w:rsidP="006C5E11">
      <w:pPr>
        <w:pStyle w:val="Prrafodelista"/>
        <w:numPr>
          <w:ilvl w:val="0"/>
          <w:numId w:val="1"/>
        </w:numPr>
        <w:rPr>
          <w:rFonts w:cs="Times New Roman"/>
          <w:b/>
          <w:szCs w:val="20"/>
          <w:lang w:val="es-ES_tradnl"/>
        </w:rPr>
      </w:pPr>
      <w:r w:rsidRPr="00470C7C">
        <w:rPr>
          <w:lang w:val="es-ES_tradnl"/>
        </w:rPr>
        <w:t>La Corte se ha pronunciado en el sentido de establecer que 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El Tribunal recuerda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sidRPr="00470C7C">
        <w:rPr>
          <w:rStyle w:val="Refdenotaalpie"/>
          <w:lang w:val="es-ES_tradnl"/>
        </w:rPr>
        <w:footnoteReference w:id="473"/>
      </w:r>
      <w:r w:rsidRPr="00470C7C">
        <w:rPr>
          <w:lang w:val="es-ES_tradnl"/>
        </w:rPr>
        <w:t>, como la extrema pobreza o marginación</w:t>
      </w:r>
      <w:r w:rsidRPr="00470C7C">
        <w:rPr>
          <w:rStyle w:val="Refdenotaalpie"/>
          <w:lang w:val="es-ES_tradnl"/>
        </w:rPr>
        <w:footnoteReference w:id="474"/>
      </w:r>
      <w:r w:rsidRPr="00470C7C">
        <w:rPr>
          <w:lang w:val="es-ES_tradnl"/>
        </w:rPr>
        <w:t xml:space="preserve">. </w:t>
      </w:r>
    </w:p>
    <w:p w14:paraId="7A548FE1" w14:textId="77777777" w:rsidR="006C5E11" w:rsidRPr="00470C7C" w:rsidRDefault="006C5E11" w:rsidP="006C5E11">
      <w:pPr>
        <w:pStyle w:val="Prrafodelista"/>
        <w:widowControl w:val="0"/>
        <w:autoSpaceDE w:val="0"/>
        <w:autoSpaceDN w:val="0"/>
        <w:adjustRightInd w:val="0"/>
        <w:ind w:left="0"/>
        <w:rPr>
          <w:rFonts w:cs="Times New Roman"/>
          <w:lang w:val="es-ES_tradnl"/>
        </w:rPr>
      </w:pPr>
    </w:p>
    <w:p w14:paraId="1920A699" w14:textId="77777777" w:rsidR="006C5E11" w:rsidRPr="00470C7C" w:rsidRDefault="003E26D4" w:rsidP="006C5E11">
      <w:pPr>
        <w:pStyle w:val="Prrafodelista"/>
        <w:numPr>
          <w:ilvl w:val="0"/>
          <w:numId w:val="1"/>
        </w:numPr>
      </w:pPr>
      <w:r w:rsidRPr="00470C7C">
        <w:rPr>
          <w:szCs w:val="20"/>
        </w:rPr>
        <w:t xml:space="preserve">La Corte estima que el Estado incurre en responsabilidad internacional en aquellos casos en que, habiendo </w:t>
      </w:r>
      <w:r w:rsidR="00951161" w:rsidRPr="00470C7C">
        <w:rPr>
          <w:szCs w:val="20"/>
        </w:rPr>
        <w:t>discriminación</w:t>
      </w:r>
      <w:r w:rsidRPr="00470C7C">
        <w:rPr>
          <w:szCs w:val="20"/>
        </w:rPr>
        <w:t xml:space="preserve"> estructural, no adopta medidas específicas respecto a la </w:t>
      </w:r>
      <w:r w:rsidR="00951161" w:rsidRPr="00470C7C">
        <w:rPr>
          <w:szCs w:val="20"/>
        </w:rPr>
        <w:t>situación</w:t>
      </w:r>
      <w:r w:rsidRPr="00470C7C">
        <w:rPr>
          <w:szCs w:val="20"/>
        </w:rPr>
        <w:t xml:space="preserve"> particular de </w:t>
      </w:r>
      <w:r w:rsidR="00951161" w:rsidRPr="00470C7C">
        <w:rPr>
          <w:szCs w:val="20"/>
        </w:rPr>
        <w:t>victimización</w:t>
      </w:r>
      <w:r w:rsidRPr="00470C7C">
        <w:rPr>
          <w:szCs w:val="20"/>
        </w:rPr>
        <w:t xml:space="preserve"> en que se concreta la vulnerabilidad sobre un </w:t>
      </w:r>
      <w:r w:rsidR="008775BD" w:rsidRPr="00470C7C">
        <w:rPr>
          <w:szCs w:val="20"/>
        </w:rPr>
        <w:t>círculo</w:t>
      </w:r>
      <w:r w:rsidRPr="00470C7C">
        <w:rPr>
          <w:szCs w:val="20"/>
        </w:rPr>
        <w:t xml:space="preserve"> de personas individualizadas.</w:t>
      </w:r>
      <w:r w:rsidR="006C5E11" w:rsidRPr="00470C7C">
        <w:t xml:space="preserve"> </w:t>
      </w:r>
      <w:r w:rsidRPr="00470C7C">
        <w:t>L</w:t>
      </w:r>
      <w:r w:rsidR="006C5E11" w:rsidRPr="00470C7C">
        <w:t xml:space="preserve">a propia victimización de estas demuestra </w:t>
      </w:r>
      <w:r w:rsidRPr="00470C7C">
        <w:t>su</w:t>
      </w:r>
      <w:r w:rsidR="006C5E11" w:rsidRPr="00470C7C">
        <w:t xml:space="preserve"> particular vulnerabilidad, lo que demanda una acción de protección </w:t>
      </w:r>
      <w:r w:rsidRPr="00470C7C">
        <w:t xml:space="preserve">también </w:t>
      </w:r>
      <w:r w:rsidR="006C5E11" w:rsidRPr="00470C7C">
        <w:t xml:space="preserve">particular, que en el caso de las personas reclutadas en la Hacienda Brasil Verde se ha omitido. </w:t>
      </w:r>
    </w:p>
    <w:p w14:paraId="14A3F8CD" w14:textId="77777777" w:rsidR="006C5E11" w:rsidRPr="00470C7C" w:rsidRDefault="006C5E11" w:rsidP="006C5E11">
      <w:pPr>
        <w:pStyle w:val="Prrafodelista"/>
        <w:ind w:left="0"/>
      </w:pPr>
    </w:p>
    <w:p w14:paraId="718C934E" w14:textId="77777777" w:rsidR="006C5E11" w:rsidRPr="00470C7C" w:rsidRDefault="006C5E11" w:rsidP="006C5E11">
      <w:pPr>
        <w:pStyle w:val="Prrafodelista"/>
        <w:numPr>
          <w:ilvl w:val="0"/>
          <w:numId w:val="1"/>
        </w:numPr>
      </w:pPr>
      <w:r w:rsidRPr="00470C7C">
        <w:t>La Corte constat</w:t>
      </w:r>
      <w:r w:rsidR="00B91200" w:rsidRPr="00470C7C">
        <w:t>a</w:t>
      </w:r>
      <w:r w:rsidR="00BD5E2B" w:rsidRPr="00470C7C">
        <w:t>,</w:t>
      </w:r>
      <w:r w:rsidRPr="00470C7C">
        <w:t xml:space="preserve"> en el presente caso</w:t>
      </w:r>
      <w:r w:rsidR="00BD5E2B" w:rsidRPr="00470C7C">
        <w:t>,</w:t>
      </w:r>
      <w:r w:rsidRPr="00470C7C">
        <w:t xml:space="preserve"> algunas características </w:t>
      </w:r>
      <w:r w:rsidR="00B91200" w:rsidRPr="00470C7C">
        <w:t xml:space="preserve">de particular victimización </w:t>
      </w:r>
      <w:r w:rsidRPr="00470C7C">
        <w:t>compartidas por los 85 trabajadores rescatados el 15 de marzo de 2000: se encontraban en una situación de pobreza</w:t>
      </w:r>
      <w:r w:rsidR="00BD5E2B" w:rsidRPr="00470C7C">
        <w:t>;</w:t>
      </w:r>
      <w:r w:rsidRPr="00470C7C">
        <w:t xml:space="preserve"> provenían de las regiones más pobres del país, con menor desarrollo humano y perspectivas de trabajo y empleo; eran analfabetas, y tenían poca o nula escolarización (supra párr. </w:t>
      </w:r>
      <w:r w:rsidR="00B80B63" w:rsidRPr="00470C7C">
        <w:t>41</w:t>
      </w:r>
      <w:r w:rsidRPr="00470C7C">
        <w:t>). Lo anterior los colocaba en una situación que los hacía más susceptibles de ser reclutados mediante falsas promesas y engaños. Dicha situación de riesgo inmediato para un grupo determinado de personas con características idénticas y originarios de las mismas regiones del país, tiene orígenes históricos y era conocida desde, al menos, 1995, cuando el Gobierno de Brasil reconoció expresamente la existencia de “trabajo esclavo” en el país (</w:t>
      </w:r>
      <w:r w:rsidRPr="00470C7C">
        <w:rPr>
          <w:i/>
        </w:rPr>
        <w:t xml:space="preserve">supra </w:t>
      </w:r>
      <w:r w:rsidRPr="00470C7C">
        <w:t xml:space="preserve">párr. </w:t>
      </w:r>
      <w:r w:rsidR="00B80B63" w:rsidRPr="00470C7C">
        <w:t>111</w:t>
      </w:r>
      <w:r w:rsidRPr="00470C7C">
        <w:t xml:space="preserve">). </w:t>
      </w:r>
    </w:p>
    <w:p w14:paraId="38FC1870" w14:textId="77777777" w:rsidR="006C5E11" w:rsidRPr="00470C7C" w:rsidRDefault="006C5E11" w:rsidP="006C5E11">
      <w:pPr>
        <w:pStyle w:val="Prrafodelista"/>
        <w:ind w:left="0"/>
      </w:pPr>
    </w:p>
    <w:p w14:paraId="3A425954" w14:textId="77777777" w:rsidR="006C5E11" w:rsidRPr="00470C7C" w:rsidRDefault="00BD5E2B" w:rsidP="006C5E11">
      <w:pPr>
        <w:pStyle w:val="Prrafodelista"/>
        <w:numPr>
          <w:ilvl w:val="0"/>
          <w:numId w:val="1"/>
        </w:numPr>
      </w:pPr>
      <w:r w:rsidRPr="00470C7C">
        <w:t>De l</w:t>
      </w:r>
      <w:r w:rsidR="006C5E11" w:rsidRPr="00470C7C">
        <w:t xml:space="preserve">a prueba aportada al expediente se advierte la existencia de una situación basada en la posición económica de las víctimas </w:t>
      </w:r>
      <w:r w:rsidRPr="00470C7C">
        <w:t xml:space="preserve">rescatadas el </w:t>
      </w:r>
      <w:r w:rsidR="006C5E11" w:rsidRPr="00470C7C">
        <w:t>15 de marzo de 2000 que caracterizó un trato discriminatorio. De acuerdo a varios informes de la OIT y del Ministerio de Trabajo de Brasil, “la situación de miseria del obrero es lo que le lleva espontáneamente a aceptar las condiciones de trabajo ofrecidas”</w:t>
      </w:r>
      <w:r w:rsidR="006C5E11" w:rsidRPr="00470C7C">
        <w:rPr>
          <w:rStyle w:val="Refdenotaalpie"/>
        </w:rPr>
        <w:footnoteReference w:id="475"/>
      </w:r>
      <w:r w:rsidR="006C5E11" w:rsidRPr="00470C7C">
        <w:t xml:space="preserve">, </w:t>
      </w:r>
      <w:r w:rsidRPr="00470C7C">
        <w:t xml:space="preserve">toda </w:t>
      </w:r>
      <w:r w:rsidR="006C5E11" w:rsidRPr="00470C7C">
        <w:t>vez que “cuanto peores las condiciones de vida, más dispuestos estarán los trabajadores a enfrentar riesgos del trabajo lejos de casa. La pobreza, en ese sentido, es el principal factor de la esclavitud contemporánea en Brasil, por aumentar la vulnerabilidad de significativa parte de la población, haciéndoles presa fácil de los reclutadores para trabajo esclavo”</w:t>
      </w:r>
      <w:r w:rsidR="006C5E11" w:rsidRPr="00470C7C">
        <w:rPr>
          <w:rStyle w:val="Refdenotaalpie"/>
        </w:rPr>
        <w:footnoteReference w:id="476"/>
      </w:r>
      <w:r w:rsidR="006C5E11" w:rsidRPr="00470C7C">
        <w:t>.</w:t>
      </w:r>
    </w:p>
    <w:p w14:paraId="1E69C0C9" w14:textId="77777777" w:rsidR="006C5E11" w:rsidRPr="00470C7C" w:rsidRDefault="006C5E11" w:rsidP="006C5E11">
      <w:pPr>
        <w:pStyle w:val="Prrafodelista"/>
        <w:ind w:left="0"/>
      </w:pPr>
    </w:p>
    <w:p w14:paraId="5A15AD9E" w14:textId="77777777" w:rsidR="00322854" w:rsidRPr="00470C7C" w:rsidRDefault="006C5E11" w:rsidP="006C5E11">
      <w:pPr>
        <w:pStyle w:val="Prrafodelista"/>
        <w:numPr>
          <w:ilvl w:val="0"/>
          <w:numId w:val="1"/>
        </w:numPr>
        <w:contextualSpacing w:val="0"/>
        <w:rPr>
          <w:b/>
        </w:rPr>
      </w:pPr>
      <w:r w:rsidRPr="00470C7C">
        <w:t xml:space="preserve">Una vez constatada la situación </w:t>
      </w:r>
      <w:r w:rsidR="00F638F0" w:rsidRPr="00470C7C">
        <w:t xml:space="preserve">anterior, la Corte estima que el Estado no consideró la vulnerabilidad </w:t>
      </w:r>
      <w:r w:rsidRPr="00470C7C">
        <w:t>de los 85 trabajadores rescatados el 15 de marzo de 2000</w:t>
      </w:r>
      <w:r w:rsidR="00BD5E2B" w:rsidRPr="00470C7C">
        <w:t>,</w:t>
      </w:r>
      <w:r w:rsidRPr="00470C7C">
        <w:t xml:space="preserve"> en virtud de la discriminación </w:t>
      </w:r>
      <w:r w:rsidR="00A60D61" w:rsidRPr="00470C7C">
        <w:t xml:space="preserve">en </w:t>
      </w:r>
      <w:r w:rsidR="00F638F0" w:rsidRPr="00470C7C">
        <w:t xml:space="preserve">razón </w:t>
      </w:r>
      <w:r w:rsidR="00A60D61" w:rsidRPr="00470C7C">
        <w:t xml:space="preserve">de la posición económica </w:t>
      </w:r>
      <w:r w:rsidRPr="00470C7C">
        <w:t xml:space="preserve">a la que estaban sometidos. Lo anterior constituye una violación al artículo </w:t>
      </w:r>
      <w:r w:rsidR="00F638F0" w:rsidRPr="00470C7C">
        <w:t xml:space="preserve">6.1 </w:t>
      </w:r>
      <w:r w:rsidRPr="00470C7C">
        <w:t>de la Convención Americana</w:t>
      </w:r>
      <w:r w:rsidR="00B4372E" w:rsidRPr="00470C7C">
        <w:t xml:space="preserve">, en relación con el artículo </w:t>
      </w:r>
      <w:r w:rsidR="00F638F0" w:rsidRPr="00470C7C">
        <w:t>1</w:t>
      </w:r>
      <w:r w:rsidR="00B4372E" w:rsidRPr="00470C7C">
        <w:t>.1 del mismo instrumento,</w:t>
      </w:r>
      <w:r w:rsidRPr="00470C7C">
        <w:t xml:space="preserve"> en perjuicio de ellos</w:t>
      </w:r>
      <w:r w:rsidR="005269CC" w:rsidRPr="00470C7C">
        <w:t>.</w:t>
      </w:r>
    </w:p>
    <w:p w14:paraId="0CB274FF" w14:textId="77777777" w:rsidR="00FF020F" w:rsidRPr="00470C7C" w:rsidRDefault="00FF020F" w:rsidP="00140440">
      <w:pPr>
        <w:pStyle w:val="Prrafodelista"/>
        <w:ind w:left="0"/>
        <w:rPr>
          <w:lang w:val="es-EC"/>
        </w:rPr>
      </w:pPr>
    </w:p>
    <w:p w14:paraId="353F1202" w14:textId="77777777" w:rsidR="00207197" w:rsidRPr="00470C7C" w:rsidRDefault="00CA1CA8" w:rsidP="005D2CE2">
      <w:pPr>
        <w:pStyle w:val="Ttulo3"/>
      </w:pPr>
      <w:bookmarkStart w:id="370" w:name="_Toc464813971"/>
      <w:r w:rsidRPr="00470C7C">
        <w:t>B.1</w:t>
      </w:r>
      <w:r w:rsidR="001E1449" w:rsidRPr="00470C7C">
        <w:t>3</w:t>
      </w:r>
      <w:r w:rsidR="00DC2886" w:rsidRPr="00470C7C">
        <w:t>.</w:t>
      </w:r>
      <w:r w:rsidR="00207197" w:rsidRPr="00470C7C">
        <w:t xml:space="preserve"> Conclusión</w:t>
      </w:r>
      <w:bookmarkEnd w:id="370"/>
    </w:p>
    <w:p w14:paraId="4FA2B97B" w14:textId="77777777" w:rsidR="00207197" w:rsidRPr="00470C7C" w:rsidRDefault="00207197" w:rsidP="00140440">
      <w:pPr>
        <w:pStyle w:val="Prrafodelista"/>
        <w:ind w:left="0"/>
        <w:rPr>
          <w:lang w:val="es-EC"/>
        </w:rPr>
      </w:pPr>
    </w:p>
    <w:p w14:paraId="30B28CF6" w14:textId="77777777" w:rsidR="00207197" w:rsidRPr="00470C7C" w:rsidRDefault="00207197" w:rsidP="00F37DC4">
      <w:pPr>
        <w:pStyle w:val="Prrafodelista"/>
        <w:numPr>
          <w:ilvl w:val="0"/>
          <w:numId w:val="1"/>
        </w:numPr>
        <w:contextualSpacing w:val="0"/>
        <w:rPr>
          <w:lang w:val="es-EC"/>
        </w:rPr>
      </w:pPr>
      <w:r w:rsidRPr="00470C7C">
        <w:rPr>
          <w:lang w:val="es-EC"/>
        </w:rPr>
        <w:t>Por todo lo anterior, Brasil no demostró haber adoptado</w:t>
      </w:r>
      <w:r w:rsidR="003A2901" w:rsidRPr="00470C7C">
        <w:rPr>
          <w:lang w:val="es-EC"/>
        </w:rPr>
        <w:t>, respecto del presente caso</w:t>
      </w:r>
      <w:r w:rsidR="00B561E4" w:rsidRPr="00470C7C">
        <w:rPr>
          <w:lang w:val="es-EC"/>
        </w:rPr>
        <w:t xml:space="preserve"> y al momento de los hechos</w:t>
      </w:r>
      <w:r w:rsidR="003A2901" w:rsidRPr="00470C7C">
        <w:rPr>
          <w:lang w:val="es-EC"/>
        </w:rPr>
        <w:t xml:space="preserve">, </w:t>
      </w:r>
      <w:r w:rsidRPr="00470C7C">
        <w:rPr>
          <w:lang w:val="es-EC"/>
        </w:rPr>
        <w:t xml:space="preserve">las medidas específicas, conforme a las circunstancias ya conocidas de trabajadores en situación de esclavitud y de denuncias concretas contra la Hacienda Brasil Verde, para prevenir la ocurrencia de la violación al artículo 6.1 constatada en el presente caso. El Estado no actuó con prontitud dentro de las primeras horas y días luego de la denuncia de esclavitud y violencia realizada por </w:t>
      </w:r>
      <w:r w:rsidR="00AB6218" w:rsidRPr="00470C7C">
        <w:rPr>
          <w:rFonts w:cs="Times New Roman"/>
          <w:szCs w:val="20"/>
          <w:lang w:val="pt-BR"/>
        </w:rPr>
        <w:t>José Francisco Furtado de Sousa</w:t>
      </w:r>
      <w:r w:rsidR="00AB6218" w:rsidRPr="00470C7C">
        <w:rPr>
          <w:lang w:val="es-EC"/>
        </w:rPr>
        <w:t xml:space="preserve"> </w:t>
      </w:r>
      <w:r w:rsidRPr="00470C7C">
        <w:rPr>
          <w:lang w:val="es-EC"/>
        </w:rPr>
        <w:t xml:space="preserve">y </w:t>
      </w:r>
      <w:proofErr w:type="spellStart"/>
      <w:r w:rsidR="00D60654" w:rsidRPr="00470C7C">
        <w:rPr>
          <w:lang w:val="es-EC"/>
        </w:rPr>
        <w:t>Antônio</w:t>
      </w:r>
      <w:proofErr w:type="spellEnd"/>
      <w:r w:rsidR="00D60654" w:rsidRPr="00470C7C">
        <w:rPr>
          <w:lang w:val="es-EC"/>
        </w:rPr>
        <w:t xml:space="preserve"> </w:t>
      </w:r>
      <w:r w:rsidRPr="00470C7C">
        <w:rPr>
          <w:lang w:val="es-EC"/>
        </w:rPr>
        <w:t xml:space="preserve">Francisco da Silva, con gran sacrificio y riesgo personal, dejando perder horas </w:t>
      </w:r>
      <w:r w:rsidR="003A2901" w:rsidRPr="00470C7C">
        <w:rPr>
          <w:lang w:val="es-EC"/>
        </w:rPr>
        <w:t xml:space="preserve">y días </w:t>
      </w:r>
      <w:r w:rsidRPr="00470C7C">
        <w:rPr>
          <w:lang w:val="es-EC"/>
        </w:rPr>
        <w:t>valios</w:t>
      </w:r>
      <w:r w:rsidR="003A2901" w:rsidRPr="00470C7C">
        <w:rPr>
          <w:lang w:val="es-EC"/>
        </w:rPr>
        <w:t>o</w:t>
      </w:r>
      <w:r w:rsidRPr="00470C7C">
        <w:rPr>
          <w:lang w:val="es-EC"/>
        </w:rPr>
        <w:t xml:space="preserve">s. En el período entre la denuncia y la inspección, el Estado no logró coordinar la participación de la Policía Federal activamente en la referida inspección, más allá de la función de protección </w:t>
      </w:r>
      <w:r w:rsidR="00BD5E2B" w:rsidRPr="00470C7C">
        <w:rPr>
          <w:lang w:val="es-EC"/>
        </w:rPr>
        <w:t>de</w:t>
      </w:r>
      <w:r w:rsidRPr="00470C7C">
        <w:rPr>
          <w:lang w:val="es-EC"/>
        </w:rPr>
        <w:t xml:space="preserve">l equipo del Ministerio del Trabajo. Todo esto demuestra que el Estado no actuó con la debida diligencia requerida para prevenir adecuadamente la forma contemporánea de esclavitud constatada en el presente caso y que no actuó como razonablemente era de esperarse de acuerdo a las circunstancias del caso para poner fin a ese tipo de violación. Este incumplimiento del deber de garantía es particularmente serio debido al contexto conocido por el Estado y a las obligaciones impuestas en virtud del artículo 6.1 de la Convención Americana y específicamente </w:t>
      </w:r>
      <w:r w:rsidR="003A2901" w:rsidRPr="00470C7C">
        <w:rPr>
          <w:lang w:val="es-EC"/>
        </w:rPr>
        <w:t xml:space="preserve">derivadas </w:t>
      </w:r>
      <w:r w:rsidRPr="00470C7C">
        <w:rPr>
          <w:lang w:val="es-EC"/>
        </w:rPr>
        <w:t>del carácter</w:t>
      </w:r>
      <w:r w:rsidR="00900A02" w:rsidRPr="00470C7C">
        <w:rPr>
          <w:lang w:val="es-EC"/>
        </w:rPr>
        <w:t xml:space="preserve"> de</w:t>
      </w:r>
      <w:r w:rsidRPr="00470C7C">
        <w:rPr>
          <w:lang w:val="es-EC"/>
        </w:rPr>
        <w:t xml:space="preserve"> </w:t>
      </w:r>
      <w:proofErr w:type="spellStart"/>
      <w:r w:rsidRPr="00470C7C">
        <w:rPr>
          <w:i/>
          <w:lang w:val="es-EC"/>
        </w:rPr>
        <w:t>jus</w:t>
      </w:r>
      <w:proofErr w:type="spellEnd"/>
      <w:r w:rsidRPr="00470C7C">
        <w:rPr>
          <w:i/>
          <w:lang w:val="es-EC"/>
        </w:rPr>
        <w:t xml:space="preserve"> cogens </w:t>
      </w:r>
      <w:r w:rsidRPr="00470C7C">
        <w:rPr>
          <w:lang w:val="es-EC"/>
        </w:rPr>
        <w:t xml:space="preserve">de esta prohibición. </w:t>
      </w:r>
    </w:p>
    <w:p w14:paraId="4CD674B6" w14:textId="77777777" w:rsidR="00207197" w:rsidRPr="00470C7C" w:rsidRDefault="00207197" w:rsidP="00140440">
      <w:pPr>
        <w:pStyle w:val="Prrafodelista"/>
        <w:ind w:left="0"/>
        <w:rPr>
          <w:lang w:val="es-EC"/>
        </w:rPr>
      </w:pPr>
    </w:p>
    <w:p w14:paraId="5A483E8F" w14:textId="77777777" w:rsidR="0027773F" w:rsidRPr="00470C7C" w:rsidRDefault="00207197" w:rsidP="00841077">
      <w:pPr>
        <w:pStyle w:val="Prrafodelista"/>
        <w:numPr>
          <w:ilvl w:val="0"/>
          <w:numId w:val="1"/>
        </w:numPr>
        <w:contextualSpacing w:val="0"/>
        <w:rPr>
          <w:lang w:val="es-EC"/>
        </w:rPr>
      </w:pPr>
      <w:r w:rsidRPr="00470C7C">
        <w:rPr>
          <w:lang w:val="es-EC"/>
        </w:rPr>
        <w:t xml:space="preserve">En razón de todo lo expuesto, el Tribunal considera que el Estado violó el derecho a no ser sometido a </w:t>
      </w:r>
      <w:r w:rsidR="0027773F" w:rsidRPr="00470C7C">
        <w:rPr>
          <w:lang w:val="es-EC"/>
        </w:rPr>
        <w:t xml:space="preserve">esclavitud </w:t>
      </w:r>
      <w:r w:rsidRPr="00470C7C">
        <w:rPr>
          <w:lang w:val="es-EC"/>
        </w:rPr>
        <w:t xml:space="preserve">y trata de personas, en violación del artículo 6.1 de la Convención Americana sobre Derechos Humanos, en relación con </w:t>
      </w:r>
      <w:r w:rsidR="00EC2B75" w:rsidRPr="00470C7C">
        <w:rPr>
          <w:lang w:val="es-EC"/>
        </w:rPr>
        <w:t>los</w:t>
      </w:r>
      <w:r w:rsidR="00C30FB8" w:rsidRPr="00470C7C">
        <w:rPr>
          <w:lang w:val="es-EC"/>
        </w:rPr>
        <w:t xml:space="preserve"> artículo</w:t>
      </w:r>
      <w:r w:rsidR="00EC2B75" w:rsidRPr="00470C7C">
        <w:rPr>
          <w:lang w:val="es-EC"/>
        </w:rPr>
        <w:t>s</w:t>
      </w:r>
      <w:r w:rsidR="00C30FB8" w:rsidRPr="00470C7C">
        <w:rPr>
          <w:lang w:val="es-EC"/>
        </w:rPr>
        <w:t xml:space="preserve"> 1</w:t>
      </w:r>
      <w:r w:rsidR="00EC2B75" w:rsidRPr="00470C7C">
        <w:rPr>
          <w:lang w:val="es-EC"/>
        </w:rPr>
        <w:t>.1, 3, 5, 7, 11 y 22</w:t>
      </w:r>
      <w:r w:rsidR="00C30FB8" w:rsidRPr="00470C7C">
        <w:rPr>
          <w:lang w:val="es-EC"/>
        </w:rPr>
        <w:t xml:space="preserve"> </w:t>
      </w:r>
      <w:r w:rsidRPr="00470C7C">
        <w:rPr>
          <w:lang w:val="es-EC"/>
        </w:rPr>
        <w:t xml:space="preserve">del mismo instrumento, en perjuicio de los 85 trabajadores rescatados el 15 de marzo de 2000 en la Hacienda Brasil Verde, listados en el párrafo </w:t>
      </w:r>
      <w:r w:rsidR="006D753C" w:rsidRPr="00470C7C">
        <w:rPr>
          <w:lang w:val="es-EC"/>
        </w:rPr>
        <w:t>206</w:t>
      </w:r>
      <w:r w:rsidRPr="00470C7C">
        <w:rPr>
          <w:lang w:val="es-EC"/>
        </w:rPr>
        <w:t xml:space="preserve"> de la presente Sentencia. Adicionalmente,</w:t>
      </w:r>
      <w:r w:rsidR="0027773F" w:rsidRPr="00470C7C">
        <w:rPr>
          <w:lang w:val="es-EC"/>
        </w:rPr>
        <w:t xml:space="preserve"> </w:t>
      </w:r>
      <w:r w:rsidR="009B15CC" w:rsidRPr="00470C7C">
        <w:rPr>
          <w:lang w:val="es-EC"/>
        </w:rPr>
        <w:t xml:space="preserve">respecto </w:t>
      </w:r>
      <w:r w:rsidR="00BD5E2B" w:rsidRPr="00470C7C">
        <w:rPr>
          <w:lang w:val="es-EC"/>
        </w:rPr>
        <w:t>de</w:t>
      </w:r>
      <w:r w:rsidR="009B15CC" w:rsidRPr="00470C7C">
        <w:rPr>
          <w:lang w:val="es-EC"/>
        </w:rPr>
        <w:t xml:space="preserve">l </w:t>
      </w:r>
      <w:r w:rsidR="0027773F" w:rsidRPr="00470C7C">
        <w:t xml:space="preserve">señor </w:t>
      </w:r>
      <w:proofErr w:type="spellStart"/>
      <w:r w:rsidR="00D60654" w:rsidRPr="00470C7C">
        <w:t>Antônio</w:t>
      </w:r>
      <w:proofErr w:type="spellEnd"/>
      <w:r w:rsidR="00D60654" w:rsidRPr="00470C7C">
        <w:t xml:space="preserve"> </w:t>
      </w:r>
      <w:r w:rsidR="0027773F" w:rsidRPr="00470C7C">
        <w:t xml:space="preserve">Francisco da Silva </w:t>
      </w:r>
      <w:r w:rsidR="009B15CC" w:rsidRPr="00470C7C">
        <w:t xml:space="preserve">esa violación ocurrió también en relación con el </w:t>
      </w:r>
      <w:r w:rsidR="0027773F" w:rsidRPr="00470C7C">
        <w:t>artículo 19 de la Convención</w:t>
      </w:r>
      <w:r w:rsidR="009B15CC" w:rsidRPr="00470C7C">
        <w:t xml:space="preserve"> Americana, por ser niño al momento de los hechos. </w:t>
      </w:r>
      <w:r w:rsidR="00BA3F90" w:rsidRPr="00470C7C">
        <w:t xml:space="preserve">Finalmente, Brasil es responsable por </w:t>
      </w:r>
      <w:r w:rsidR="00841077" w:rsidRPr="00470C7C">
        <w:t xml:space="preserve">la violación del artículo </w:t>
      </w:r>
      <w:r w:rsidR="00991C4F" w:rsidRPr="00470C7C">
        <w:t>6</w:t>
      </w:r>
      <w:r w:rsidR="00841077" w:rsidRPr="00470C7C">
        <w:t xml:space="preserve">.1 de la Convención Americana, en relación con el artículo </w:t>
      </w:r>
      <w:r w:rsidR="00991C4F" w:rsidRPr="00470C7C">
        <w:t>1</w:t>
      </w:r>
      <w:r w:rsidR="00841077" w:rsidRPr="00470C7C">
        <w:t xml:space="preserve">.1 del mismo instrumento, </w:t>
      </w:r>
      <w:r w:rsidR="000C297B" w:rsidRPr="00470C7C">
        <w:t xml:space="preserve">producida </w:t>
      </w:r>
      <w:r w:rsidR="00841077" w:rsidRPr="00470C7C">
        <w:t xml:space="preserve">en el marco de una situación de discriminación estructural histórica en </w:t>
      </w:r>
      <w:r w:rsidR="00991C4F" w:rsidRPr="00470C7C">
        <w:t xml:space="preserve">razón </w:t>
      </w:r>
      <w:r w:rsidR="00841077" w:rsidRPr="00470C7C">
        <w:t xml:space="preserve">de la posición económica de los 85 trabajadores identificados en el párrafo </w:t>
      </w:r>
      <w:r w:rsidR="006D753C" w:rsidRPr="00470C7C">
        <w:t>206</w:t>
      </w:r>
      <w:r w:rsidR="00841077" w:rsidRPr="00470C7C">
        <w:t xml:space="preserve"> de la presente Sentencia.</w:t>
      </w:r>
    </w:p>
    <w:p w14:paraId="2094E8FD" w14:textId="77777777" w:rsidR="00207197" w:rsidRPr="00470C7C" w:rsidRDefault="00207197" w:rsidP="00963163">
      <w:pPr>
        <w:pStyle w:val="Prrafodelista"/>
        <w:tabs>
          <w:tab w:val="right" w:pos="0"/>
        </w:tabs>
        <w:ind w:left="0"/>
        <w:rPr>
          <w:lang w:val="es-EC"/>
        </w:rPr>
      </w:pPr>
    </w:p>
    <w:p w14:paraId="0BBB011D" w14:textId="77777777" w:rsidR="0069414E" w:rsidRPr="00470C7C" w:rsidRDefault="00864574" w:rsidP="008705BA">
      <w:pPr>
        <w:pStyle w:val="Ttulo1"/>
        <w:keepLines w:val="0"/>
        <w:tabs>
          <w:tab w:val="center" w:pos="4419"/>
          <w:tab w:val="right" w:pos="8838"/>
        </w:tabs>
        <w:spacing w:before="0" w:after="0"/>
        <w:rPr>
          <w:rFonts w:eastAsiaTheme="minorHAnsi" w:cstheme="minorBidi"/>
          <w:bCs w:val="0"/>
          <w:caps w:val="0"/>
          <w:noProof/>
          <w:szCs w:val="22"/>
        </w:rPr>
      </w:pPr>
      <w:bookmarkStart w:id="371" w:name="_Toc460432518"/>
      <w:bookmarkStart w:id="372" w:name="_Toc464813972"/>
      <w:bookmarkStart w:id="373" w:name="_Toc429519511"/>
      <w:bookmarkStart w:id="374" w:name="_Toc430339016"/>
      <w:bookmarkStart w:id="375" w:name="_Toc451267358"/>
      <w:r w:rsidRPr="00470C7C">
        <w:rPr>
          <w:rFonts w:eastAsiaTheme="minorHAnsi" w:cstheme="minorBidi"/>
          <w:bCs w:val="0"/>
          <w:caps w:val="0"/>
          <w:noProof/>
          <w:szCs w:val="22"/>
        </w:rPr>
        <w:t>VIII-2</w:t>
      </w:r>
      <w:bookmarkEnd w:id="371"/>
      <w:bookmarkEnd w:id="372"/>
    </w:p>
    <w:p w14:paraId="202668CA" w14:textId="77777777" w:rsidR="004D4500" w:rsidRPr="00470C7C" w:rsidRDefault="004D4500" w:rsidP="008705BA">
      <w:pPr>
        <w:pStyle w:val="Ttulo1"/>
        <w:rPr>
          <w:lang w:val="es-ES"/>
        </w:rPr>
      </w:pPr>
      <w:bookmarkStart w:id="376" w:name="_Toc464813973"/>
      <w:r w:rsidRPr="00470C7C">
        <w:rPr>
          <w:noProof/>
        </w:rPr>
        <w:t>DERECHO</w:t>
      </w:r>
      <w:r w:rsidR="00E86A1A" w:rsidRPr="00470C7C">
        <w:rPr>
          <w:noProof/>
        </w:rPr>
        <w:t>S</w:t>
      </w:r>
      <w:r w:rsidRPr="00470C7C">
        <w:rPr>
          <w:noProof/>
        </w:rPr>
        <w:t xml:space="preserve"> A LAS GARANTÍAS JUDICIALES</w:t>
      </w:r>
      <w:r w:rsidRPr="00470C7C">
        <w:rPr>
          <w:noProof/>
          <w:vertAlign w:val="superscript"/>
        </w:rPr>
        <w:footnoteReference w:id="477"/>
      </w:r>
      <w:r w:rsidRPr="00470C7C">
        <w:rPr>
          <w:noProof/>
        </w:rPr>
        <w:t xml:space="preserve"> Y </w:t>
      </w:r>
      <w:r w:rsidR="001450BB" w:rsidRPr="00470C7C">
        <w:rPr>
          <w:noProof/>
        </w:rPr>
        <w:t xml:space="preserve">A LA </w:t>
      </w:r>
      <w:r w:rsidRPr="00470C7C">
        <w:rPr>
          <w:noProof/>
        </w:rPr>
        <w:t>PROTECCIÓN JUDICIAL</w:t>
      </w:r>
      <w:bookmarkEnd w:id="373"/>
      <w:bookmarkEnd w:id="374"/>
      <w:bookmarkEnd w:id="375"/>
      <w:r w:rsidRPr="00470C7C">
        <w:rPr>
          <w:noProof/>
          <w:vertAlign w:val="superscript"/>
        </w:rPr>
        <w:footnoteReference w:id="478"/>
      </w:r>
      <w:bookmarkEnd w:id="376"/>
    </w:p>
    <w:p w14:paraId="7C8ECA25" w14:textId="77777777" w:rsidR="004D4500" w:rsidRPr="00470C7C" w:rsidRDefault="004D4500" w:rsidP="00140440">
      <w:pPr>
        <w:jc w:val="both"/>
        <w:rPr>
          <w:rFonts w:cs="Arial"/>
          <w:noProof/>
          <w:szCs w:val="20"/>
          <w:lang w:val="es-ES_tradnl"/>
        </w:rPr>
      </w:pPr>
    </w:p>
    <w:p w14:paraId="0CEDF990"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bookmarkStart w:id="377" w:name="_Ref319671385"/>
      <w:r w:rsidRPr="00470C7C">
        <w:rPr>
          <w:rFonts w:cs="Arial"/>
          <w:noProof/>
          <w:szCs w:val="20"/>
          <w:lang w:val="es-CO"/>
        </w:rPr>
        <w:t>En este capítulo la Corte procederá a analizar los argumentos presentados</w:t>
      </w:r>
      <w:r w:rsidRPr="00470C7C">
        <w:rPr>
          <w:rFonts w:cs="Arial"/>
          <w:noProof/>
          <w:szCs w:val="20"/>
          <w:lang w:val="es-ES_tradnl"/>
        </w:rPr>
        <w:t xml:space="preserve"> por las partes y desarrollará las consideraciones de derecho pertinentes relacionadas con las alegadas vulneraciones a </w:t>
      </w:r>
      <w:r w:rsidR="00E86A1A" w:rsidRPr="00470C7C">
        <w:rPr>
          <w:rFonts w:cs="Arial"/>
          <w:noProof/>
          <w:szCs w:val="20"/>
          <w:lang w:val="es-ES_tradnl"/>
        </w:rPr>
        <w:t xml:space="preserve">los derechos a </w:t>
      </w:r>
      <w:r w:rsidRPr="00470C7C">
        <w:rPr>
          <w:rFonts w:cs="Arial"/>
          <w:noProof/>
          <w:szCs w:val="20"/>
          <w:lang w:val="es-ES_tradnl"/>
        </w:rPr>
        <w:t xml:space="preserve">las garantías judiciales y a la protección judicial. Para este efecto, se realizará un análisis en el siguiente orden: a) la alegada falta de debida diligencia; b) la alegada vulneración al plazo razonable en el proceso penal, y c) la alegada </w:t>
      </w:r>
      <w:r w:rsidRPr="00470C7C">
        <w:rPr>
          <w:spacing w:val="-3"/>
          <w:szCs w:val="20"/>
          <w:lang w:val="es-ES"/>
        </w:rPr>
        <w:t>ausencia de protección judicial efectiva</w:t>
      </w:r>
      <w:r w:rsidRPr="00470C7C">
        <w:rPr>
          <w:rFonts w:cs="Arial"/>
          <w:noProof/>
          <w:szCs w:val="20"/>
          <w:lang w:val="es-ES_tradnl"/>
        </w:rPr>
        <w:t xml:space="preserve">. Además, la Corte analizará las investigaciones realizadas con relación a las alegadas desapariciones de </w:t>
      </w:r>
      <w:r w:rsidR="008B075C" w:rsidRPr="00470C7C">
        <w:rPr>
          <w:rFonts w:cs="Arial"/>
          <w:noProof/>
          <w:szCs w:val="20"/>
          <w:lang w:val="es-ES_tradnl"/>
        </w:rPr>
        <w:t>Iron Canuto da Silva</w:t>
      </w:r>
      <w:r w:rsidRPr="00470C7C">
        <w:rPr>
          <w:rFonts w:cs="Arial"/>
          <w:noProof/>
          <w:szCs w:val="20"/>
          <w:lang w:val="es-ES_tradnl"/>
        </w:rPr>
        <w:t xml:space="preserve"> y </w:t>
      </w:r>
      <w:r w:rsidR="00200C04" w:rsidRPr="00470C7C">
        <w:rPr>
          <w:rFonts w:cs="Arial"/>
          <w:noProof/>
          <w:szCs w:val="20"/>
          <w:lang w:val="es-ES_tradnl"/>
        </w:rPr>
        <w:t>Luis Ferreira da Cruz</w:t>
      </w:r>
      <w:r w:rsidRPr="00470C7C">
        <w:rPr>
          <w:rFonts w:cs="Arial"/>
          <w:noProof/>
          <w:szCs w:val="20"/>
          <w:lang w:val="es-ES_tradnl"/>
        </w:rPr>
        <w:t>.</w:t>
      </w:r>
    </w:p>
    <w:p w14:paraId="208BB034" w14:textId="77777777" w:rsidR="00D81AA1" w:rsidRPr="00470C7C" w:rsidRDefault="00D81AA1" w:rsidP="00D81AA1">
      <w:pPr>
        <w:pStyle w:val="Ttulo8"/>
        <w:tabs>
          <w:tab w:val="right" w:pos="0"/>
        </w:tabs>
        <w:autoSpaceDE w:val="0"/>
        <w:autoSpaceDN w:val="0"/>
        <w:adjustRightInd w:val="0"/>
        <w:contextualSpacing w:val="0"/>
        <w:jc w:val="both"/>
        <w:rPr>
          <w:rFonts w:eastAsiaTheme="minorHAnsi" w:cs="Arial"/>
          <w:noProof/>
          <w:szCs w:val="20"/>
          <w:lang w:val="es-ES_tradnl"/>
        </w:rPr>
      </w:pPr>
    </w:p>
    <w:p w14:paraId="29F378C8" w14:textId="77777777" w:rsidR="00D81AA1" w:rsidRPr="00470C7C" w:rsidRDefault="00D81AA1" w:rsidP="008B0BCC">
      <w:pPr>
        <w:pStyle w:val="Ttulo2"/>
        <w:numPr>
          <w:ilvl w:val="0"/>
          <w:numId w:val="20"/>
        </w:numPr>
        <w:rPr>
          <w:rFonts w:eastAsiaTheme="minorHAnsi"/>
          <w:noProof/>
        </w:rPr>
      </w:pPr>
      <w:bookmarkStart w:id="378" w:name="_Toc464813974"/>
      <w:r w:rsidRPr="00470C7C">
        <w:rPr>
          <w:rFonts w:eastAsiaTheme="minorHAnsi"/>
          <w:noProof/>
        </w:rPr>
        <w:t>Argumentos de las partes y de la Comisión</w:t>
      </w:r>
      <w:bookmarkEnd w:id="378"/>
    </w:p>
    <w:p w14:paraId="7C6D6BD7" w14:textId="77777777" w:rsidR="00D81AA1" w:rsidRPr="00470C7C" w:rsidRDefault="00D81AA1" w:rsidP="00D81AA1">
      <w:pPr>
        <w:autoSpaceDE w:val="0"/>
        <w:autoSpaceDN w:val="0"/>
        <w:adjustRightInd w:val="0"/>
        <w:jc w:val="both"/>
        <w:rPr>
          <w:rFonts w:cs="Arial"/>
          <w:szCs w:val="20"/>
          <w:lang w:val="es-ES_tradnl"/>
        </w:rPr>
      </w:pPr>
    </w:p>
    <w:p w14:paraId="0CCF197C"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La </w:t>
      </w:r>
      <w:r w:rsidRPr="00470C7C">
        <w:rPr>
          <w:rFonts w:cs="Arial"/>
          <w:b/>
          <w:i/>
          <w:szCs w:val="20"/>
        </w:rPr>
        <w:t>Comisión</w:t>
      </w:r>
      <w:r w:rsidRPr="00470C7C">
        <w:rPr>
          <w:rFonts w:cs="Arial"/>
          <w:szCs w:val="20"/>
        </w:rPr>
        <w:t xml:space="preserve"> consideró que el Estado es responsable por no adoptar medidas para tutelar las garantías judiciales dentro de un plazo razonable. Al respecto, la Comisión señaló que el Estado es responsable por la violación del artículo 8 de la Convención, al faltar a su deber de prevenir e investigar el trabajo esclavo, pues a pesar de conocer de la existencia de esa situación desde 1988 en la Hacienda Brasil Verde, a través de las denuncias que se habían presentado, no fue diligente para determinar la responsabilidad de los </w:t>
      </w:r>
      <w:r w:rsidR="00B53AFC" w:rsidRPr="00470C7C">
        <w:rPr>
          <w:rFonts w:cs="Arial"/>
          <w:szCs w:val="20"/>
        </w:rPr>
        <w:t>hechos</w:t>
      </w:r>
      <w:r w:rsidRPr="00470C7C">
        <w:rPr>
          <w:rFonts w:cs="Arial"/>
          <w:b/>
          <w:szCs w:val="20"/>
        </w:rPr>
        <w:t>.</w:t>
      </w:r>
      <w:r w:rsidRPr="00470C7C">
        <w:rPr>
          <w:rFonts w:cs="Arial"/>
          <w:szCs w:val="20"/>
        </w:rPr>
        <w:t xml:space="preserve">  </w:t>
      </w:r>
    </w:p>
    <w:p w14:paraId="00115FA0" w14:textId="77777777" w:rsidR="00D81AA1" w:rsidRPr="00470C7C" w:rsidRDefault="00D81AA1" w:rsidP="00D81AA1">
      <w:pPr>
        <w:pStyle w:val="Prrafodelista"/>
        <w:autoSpaceDE w:val="0"/>
        <w:autoSpaceDN w:val="0"/>
        <w:adjustRightInd w:val="0"/>
        <w:ind w:left="0"/>
        <w:rPr>
          <w:rFonts w:cs="Arial"/>
          <w:szCs w:val="20"/>
        </w:rPr>
      </w:pPr>
    </w:p>
    <w:p w14:paraId="358E2BBB"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La Comisión señaló que el proceso penal que se inició en junio de 1997 y que culminó en 2008 estuvo caracterizado por los factores estructurales de impunidad, a saber: i) la existencia de una demora injustificada causada por el conflicto competencial entre los ámbitos federal y estadual, cuyo trámite duró </w:t>
      </w:r>
      <w:r w:rsidR="00BB4816" w:rsidRPr="00470C7C">
        <w:rPr>
          <w:rFonts w:cs="Arial"/>
          <w:szCs w:val="20"/>
        </w:rPr>
        <w:t xml:space="preserve">casi </w:t>
      </w:r>
      <w:r w:rsidRPr="00470C7C">
        <w:rPr>
          <w:rFonts w:cs="Arial"/>
          <w:szCs w:val="20"/>
        </w:rPr>
        <w:t xml:space="preserve">10 años; </w:t>
      </w:r>
      <w:proofErr w:type="spellStart"/>
      <w:r w:rsidRPr="00470C7C">
        <w:rPr>
          <w:rFonts w:cs="Arial"/>
          <w:szCs w:val="20"/>
        </w:rPr>
        <w:t>ii</w:t>
      </w:r>
      <w:proofErr w:type="spellEnd"/>
      <w:r w:rsidRPr="00470C7C">
        <w:rPr>
          <w:rFonts w:cs="Arial"/>
          <w:szCs w:val="20"/>
        </w:rPr>
        <w:t xml:space="preserve">) la ausencia de una auténtica voluntad de investigar con la debida diligencia; </w:t>
      </w:r>
      <w:proofErr w:type="spellStart"/>
      <w:r w:rsidRPr="00470C7C">
        <w:rPr>
          <w:rFonts w:cs="Arial"/>
          <w:szCs w:val="20"/>
        </w:rPr>
        <w:t>iii</w:t>
      </w:r>
      <w:proofErr w:type="spellEnd"/>
      <w:r w:rsidRPr="00470C7C">
        <w:rPr>
          <w:rFonts w:cs="Arial"/>
          <w:szCs w:val="20"/>
        </w:rPr>
        <w:t xml:space="preserve">) la opción dada al dueño de la hacienda sobre la suspensión del proceso a cambio de que le otorgara una cesta básica a las víctimas; y </w:t>
      </w:r>
      <w:proofErr w:type="spellStart"/>
      <w:r w:rsidRPr="00470C7C">
        <w:rPr>
          <w:rFonts w:cs="Arial"/>
          <w:szCs w:val="20"/>
        </w:rPr>
        <w:t>iv</w:t>
      </w:r>
      <w:proofErr w:type="spellEnd"/>
      <w:r w:rsidRPr="00470C7C">
        <w:rPr>
          <w:rFonts w:cs="Arial"/>
          <w:szCs w:val="20"/>
        </w:rPr>
        <w:t xml:space="preserve">) la extinción de la punibilidad por prescripción, no obstante que las conductas de esclavitud y </w:t>
      </w:r>
      <w:r w:rsidR="001B63D0" w:rsidRPr="00470C7C">
        <w:rPr>
          <w:rFonts w:cs="Arial"/>
          <w:szCs w:val="20"/>
        </w:rPr>
        <w:t>trabajo forzoso</w:t>
      </w:r>
      <w:r w:rsidRPr="00470C7C">
        <w:rPr>
          <w:rFonts w:cs="Arial"/>
          <w:szCs w:val="20"/>
        </w:rPr>
        <w:t xml:space="preserve"> constituyeron graves violaciones de derechos humanos que, conforme a la jurisprudencia de la Corte, no deben estar sujetas a dicha figura.</w:t>
      </w:r>
    </w:p>
    <w:p w14:paraId="2A307E07" w14:textId="77777777" w:rsidR="00D81AA1" w:rsidRPr="00470C7C" w:rsidRDefault="00D81AA1" w:rsidP="00D81AA1">
      <w:pPr>
        <w:autoSpaceDE w:val="0"/>
        <w:autoSpaceDN w:val="0"/>
        <w:adjustRightInd w:val="0"/>
        <w:rPr>
          <w:rFonts w:cs="Arial"/>
          <w:szCs w:val="20"/>
        </w:rPr>
      </w:pPr>
    </w:p>
    <w:p w14:paraId="215F9289" w14:textId="77777777" w:rsidR="00D81AA1" w:rsidRPr="00470C7C" w:rsidRDefault="00D81AA1" w:rsidP="00D81AA1">
      <w:pPr>
        <w:pStyle w:val="Prrafodelista"/>
        <w:numPr>
          <w:ilvl w:val="0"/>
          <w:numId w:val="1"/>
        </w:numPr>
        <w:autoSpaceDE w:val="0"/>
        <w:autoSpaceDN w:val="0"/>
        <w:adjustRightInd w:val="0"/>
        <w:contextualSpacing w:val="0"/>
        <w:rPr>
          <w:rFonts w:cs="Arial"/>
          <w:b/>
          <w:szCs w:val="20"/>
        </w:rPr>
      </w:pPr>
      <w:r w:rsidRPr="00470C7C">
        <w:rPr>
          <w:rFonts w:cs="Arial"/>
          <w:szCs w:val="20"/>
        </w:rPr>
        <w:t>Asimismo, la Comisión consideró que el Estado es responsable por la violación de</w:t>
      </w:r>
      <w:r w:rsidR="00D22394" w:rsidRPr="00470C7C">
        <w:rPr>
          <w:rFonts w:cs="Arial"/>
          <w:szCs w:val="20"/>
        </w:rPr>
        <w:t>l</w:t>
      </w:r>
      <w:r w:rsidRPr="00470C7C">
        <w:rPr>
          <w:rFonts w:cs="Arial"/>
          <w:szCs w:val="20"/>
        </w:rPr>
        <w:t xml:space="preserve"> artículo 25 de la Convención, pues </w:t>
      </w:r>
      <w:r w:rsidR="0019084B" w:rsidRPr="00470C7C">
        <w:rPr>
          <w:rFonts w:cs="Arial"/>
          <w:szCs w:val="20"/>
        </w:rPr>
        <w:t xml:space="preserve">a pesar de tener conocimiento </w:t>
      </w:r>
      <w:r w:rsidRPr="00470C7C">
        <w:rPr>
          <w:rFonts w:cs="Arial"/>
          <w:szCs w:val="20"/>
        </w:rPr>
        <w:t xml:space="preserve">de la situación </w:t>
      </w:r>
      <w:r w:rsidR="00531F92" w:rsidRPr="00470C7C">
        <w:rPr>
          <w:rFonts w:cs="Arial"/>
          <w:szCs w:val="20"/>
        </w:rPr>
        <w:t>existente  d</w:t>
      </w:r>
      <w:r w:rsidRPr="00470C7C">
        <w:rPr>
          <w:rFonts w:cs="Arial"/>
          <w:szCs w:val="20"/>
        </w:rPr>
        <w:t>esde 1989 en la Hacienda Brasil Verde, las víctimas no contaron con mecanismos judiciales efectivos para la protección de sus derechos, la sanción de los responsables y la obtención de una reparación; pues no se realizó una investigación completa y efectiva para esclarecer la responsabilidad de los hechos, ni se garantizó un recurso judicial efectivo para proteger a los trabajadores contra actos que violaban sus derechos. La Comisión agregó que la situación de impunidad imperante en el presente caso persiste hasta la fecha.</w:t>
      </w:r>
    </w:p>
    <w:p w14:paraId="6A8549E3" w14:textId="77777777" w:rsidR="00D81AA1" w:rsidRPr="00470C7C" w:rsidRDefault="00D81AA1" w:rsidP="00D81AA1">
      <w:pPr>
        <w:pStyle w:val="Prrafodelista"/>
        <w:rPr>
          <w:rFonts w:cs="Arial"/>
          <w:b/>
          <w:szCs w:val="20"/>
        </w:rPr>
      </w:pPr>
    </w:p>
    <w:p w14:paraId="16708B8B"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La Comisión </w:t>
      </w:r>
      <w:r w:rsidR="00531F92" w:rsidRPr="00470C7C">
        <w:rPr>
          <w:rFonts w:cs="Arial"/>
          <w:szCs w:val="20"/>
        </w:rPr>
        <w:t>adujo</w:t>
      </w:r>
      <w:r w:rsidRPr="00470C7C">
        <w:rPr>
          <w:rFonts w:cs="Arial"/>
          <w:szCs w:val="20"/>
        </w:rPr>
        <w:t xml:space="preserve"> que el Estado no garantizó el acceso a la justicia, la determinación de la verdad de los hechos, la investigación y sanción de los responsables, ni la reparación de las consecuencias de las violaciones.</w:t>
      </w:r>
    </w:p>
    <w:p w14:paraId="76A6138F" w14:textId="77777777" w:rsidR="00D81AA1" w:rsidRPr="00470C7C" w:rsidRDefault="00D81AA1" w:rsidP="00D81AA1">
      <w:pPr>
        <w:pStyle w:val="Prrafodelista"/>
        <w:rPr>
          <w:rFonts w:cs="Arial"/>
          <w:szCs w:val="20"/>
        </w:rPr>
      </w:pPr>
    </w:p>
    <w:p w14:paraId="5C493A67"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Asimismo, </w:t>
      </w:r>
      <w:r w:rsidR="00FE1C39" w:rsidRPr="00470C7C">
        <w:rPr>
          <w:rFonts w:cs="Arial"/>
          <w:szCs w:val="20"/>
        </w:rPr>
        <w:t xml:space="preserve">la Comisión alegó que en el caso se ejemplifican acciones concretas en el acceso a la justicia que se enmarcan dentro de la discriminación estructural; puesto que no solo no se abrieron procesos penales cuando se encontraron irregularidades laborales, sino que al abrirse los procesos laborales se llegó a un acuerdo conciliatorio con el dueño de la Hacienda, sin tomar en consideración a las víctimas; y en dicho acuerdo las autoridades destacaron que si el imputado volvía a incurrir en prácticas de trabajo esclavo, tendría que pagar una multa por cada trabajador, fuera “blanco o negro”. </w:t>
      </w:r>
    </w:p>
    <w:p w14:paraId="0052592A" w14:textId="77777777" w:rsidR="00D81AA1" w:rsidRPr="00470C7C" w:rsidRDefault="00D81AA1" w:rsidP="00D81AA1">
      <w:pPr>
        <w:pStyle w:val="Prrafodelista"/>
        <w:rPr>
          <w:rFonts w:cs="Arial"/>
          <w:szCs w:val="20"/>
        </w:rPr>
      </w:pPr>
    </w:p>
    <w:p w14:paraId="72334844"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Finalmente, </w:t>
      </w:r>
      <w:r w:rsidR="00FE1C39" w:rsidRPr="00470C7C">
        <w:rPr>
          <w:rFonts w:cs="Arial"/>
          <w:szCs w:val="20"/>
        </w:rPr>
        <w:t xml:space="preserve">la Comisión señaló que la prescripción de los delitos de sometimiento a trabajo esclavo resulta incompatible con las obligaciones internacionales del Estado brasileño, y que la aplicación de la normativa interna que permite la prescripción de este delito no puede seguir siendo un obstáculo para la investigación de los hechos y el castigo de los responsables. Por tanto, la Comisión indicó que el Estado era responsable de la violación a los artículos 8.1 y 25.1, en relación con los artículos 1.1 y 2 de la Convención Americana. </w:t>
      </w:r>
    </w:p>
    <w:p w14:paraId="346858C2" w14:textId="77777777" w:rsidR="00D81AA1" w:rsidRPr="00470C7C" w:rsidRDefault="00D81AA1" w:rsidP="00D81AA1">
      <w:pPr>
        <w:pStyle w:val="Prrafodelista"/>
        <w:rPr>
          <w:rFonts w:cs="Arial"/>
          <w:szCs w:val="20"/>
        </w:rPr>
      </w:pPr>
    </w:p>
    <w:p w14:paraId="2221DCAD"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 Los </w:t>
      </w:r>
      <w:r w:rsidRPr="00470C7C">
        <w:rPr>
          <w:rFonts w:cs="Arial"/>
          <w:b/>
          <w:i/>
          <w:szCs w:val="20"/>
        </w:rPr>
        <w:t>representantes</w:t>
      </w:r>
      <w:r w:rsidRPr="00470C7C">
        <w:rPr>
          <w:rFonts w:cs="Arial"/>
          <w:szCs w:val="20"/>
        </w:rPr>
        <w:t xml:space="preserve"> señalaron que el Estado brasileño es responsable por violar el  derecho a la protección judicial previsto en el artículo 8 de la Convención, en perjuicio de las personas que trabajaron en la Hacienda Brasil Verde, pues a pesar de tener conocimiento de la existencia de actos constitutivos de reducción a condiciones análogas de esclavitud, faltó a su deber de investigar los actos dentro de un plazo razonable. Además, alegaron que el Estado no actuó con la urgencia que ameritaba el caso, a efecto de remover a las víctimas de la situación de violación en que se encontraban.</w:t>
      </w:r>
    </w:p>
    <w:p w14:paraId="081B964B" w14:textId="77777777" w:rsidR="00D81AA1" w:rsidRPr="00470C7C" w:rsidRDefault="00D81AA1" w:rsidP="00D81AA1">
      <w:pPr>
        <w:jc w:val="both"/>
        <w:rPr>
          <w:rFonts w:cs="Arial"/>
          <w:szCs w:val="20"/>
        </w:rPr>
      </w:pPr>
    </w:p>
    <w:p w14:paraId="25616CA0"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Asimismo, los representantes destacaron que después de 18 años existe una absoluta impunidad respecto de los hechos denunciados, dado que el Estado omitió cumplir con su obligación de investigar graves violaciones de derechos humanos en un tiempo razonable; por lo que es internacionalmente responsable por la </w:t>
      </w:r>
      <w:r w:rsidR="00AD4C88" w:rsidRPr="00470C7C">
        <w:rPr>
          <w:rFonts w:cs="Arial"/>
          <w:szCs w:val="20"/>
        </w:rPr>
        <w:t>“</w:t>
      </w:r>
      <w:r w:rsidRPr="00470C7C">
        <w:rPr>
          <w:rFonts w:cs="Arial"/>
          <w:szCs w:val="20"/>
        </w:rPr>
        <w:t>violación continua</w:t>
      </w:r>
      <w:r w:rsidR="00AD4C88" w:rsidRPr="00470C7C">
        <w:rPr>
          <w:rFonts w:cs="Arial"/>
          <w:szCs w:val="20"/>
        </w:rPr>
        <w:t>”</w:t>
      </w:r>
      <w:r w:rsidRPr="00470C7C">
        <w:rPr>
          <w:rFonts w:cs="Arial"/>
          <w:szCs w:val="20"/>
        </w:rPr>
        <w:t xml:space="preserve"> de las garantías judiciales protegidas en el artículo 8 de la Convención, en perjuicio de las personas que se encontraron trabajando en la Hacienda Brasil Verde</w:t>
      </w:r>
      <w:r w:rsidR="00AD4C88" w:rsidRPr="00470C7C">
        <w:rPr>
          <w:rFonts w:cs="Arial"/>
          <w:szCs w:val="20"/>
        </w:rPr>
        <w:t xml:space="preserve"> antes del 10 de diciembre de 1998</w:t>
      </w:r>
      <w:r w:rsidRPr="00470C7C">
        <w:rPr>
          <w:rFonts w:cs="Arial"/>
          <w:szCs w:val="20"/>
        </w:rPr>
        <w:t>. Finalmente, los representantes señalaron que el Estado no cumplió con los requisitos de oficiosidad y exhaustividad como deber de garantía de debida diligencia.</w:t>
      </w:r>
    </w:p>
    <w:p w14:paraId="25910480" w14:textId="77777777" w:rsidR="00D81AA1" w:rsidRPr="00470C7C" w:rsidRDefault="00D81AA1" w:rsidP="00D81AA1">
      <w:pPr>
        <w:autoSpaceDE w:val="0"/>
        <w:autoSpaceDN w:val="0"/>
        <w:adjustRightInd w:val="0"/>
        <w:rPr>
          <w:rFonts w:cs="Arial"/>
          <w:szCs w:val="20"/>
        </w:rPr>
      </w:pPr>
    </w:p>
    <w:p w14:paraId="47667C30"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Los representantes señalaron </w:t>
      </w:r>
      <w:r w:rsidR="00762EF0" w:rsidRPr="00470C7C">
        <w:rPr>
          <w:rFonts w:cs="Arial"/>
          <w:szCs w:val="20"/>
        </w:rPr>
        <w:t xml:space="preserve">también </w:t>
      </w:r>
      <w:r w:rsidRPr="00470C7C">
        <w:rPr>
          <w:rFonts w:cs="Arial"/>
          <w:szCs w:val="20"/>
        </w:rPr>
        <w:t xml:space="preserve">que el Estado brasileño es responsable por violar las garantías judiciales previstas en el artículo 25 de la Convención, en perjuicio de las personas que se encontraron trabajando en la Hacienda Brasil Verde, al faltar a su deber de investigar con diligencia y exhaustividad los actos de manera oportuna e inmediata. Además, indicaron que las víctimas no recibieron protección alguna en relación a su seguridad física, ni fueron orientadas por las autoridades a fin de recibir asistencia integral. </w:t>
      </w:r>
      <w:r w:rsidR="00C14F62" w:rsidRPr="00470C7C">
        <w:rPr>
          <w:rFonts w:cs="Arial"/>
          <w:szCs w:val="20"/>
        </w:rPr>
        <w:t>Los representantes señalaron que las víctimas no habían tenido ninguna participación en el proceso</w:t>
      </w:r>
      <w:r w:rsidR="00CE556A" w:rsidRPr="00470C7C">
        <w:rPr>
          <w:rFonts w:cs="Arial"/>
          <w:szCs w:val="20"/>
        </w:rPr>
        <w:t>,</w:t>
      </w:r>
      <w:r w:rsidR="00C14F62" w:rsidRPr="00470C7C">
        <w:rPr>
          <w:rFonts w:cs="Arial"/>
          <w:szCs w:val="20"/>
        </w:rPr>
        <w:t xml:space="preserve"> por lo que no pudieron hacer valer sus derechos.</w:t>
      </w:r>
    </w:p>
    <w:p w14:paraId="41B72789" w14:textId="77777777" w:rsidR="00D81AA1" w:rsidRPr="00470C7C" w:rsidRDefault="00D81AA1" w:rsidP="00D81AA1">
      <w:pPr>
        <w:pStyle w:val="Prrafodelista"/>
        <w:rPr>
          <w:rFonts w:cs="Arial"/>
          <w:szCs w:val="20"/>
        </w:rPr>
      </w:pPr>
    </w:p>
    <w:p w14:paraId="2A749467"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Asimismo, los representantes alegaron que l</w:t>
      </w:r>
      <w:r w:rsidR="001B63D0" w:rsidRPr="00470C7C">
        <w:rPr>
          <w:rFonts w:cs="Arial"/>
          <w:szCs w:val="20"/>
        </w:rPr>
        <w:t>a</w:t>
      </w:r>
      <w:r w:rsidRPr="00470C7C">
        <w:rPr>
          <w:rFonts w:cs="Arial"/>
          <w:szCs w:val="20"/>
        </w:rPr>
        <w:t>s formas contemporáneas de esclavitud</w:t>
      </w:r>
      <w:r w:rsidR="001B63D0" w:rsidRPr="00470C7C">
        <w:rPr>
          <w:rFonts w:cs="Arial"/>
          <w:szCs w:val="20"/>
        </w:rPr>
        <w:t xml:space="preserve"> son </w:t>
      </w:r>
      <w:r w:rsidRPr="00470C7C">
        <w:rPr>
          <w:rFonts w:cs="Arial"/>
          <w:szCs w:val="20"/>
        </w:rPr>
        <w:t xml:space="preserve">graves violaciones de derechos humanos, cuya prohibición absoluta por el derecho internacional es una norma de </w:t>
      </w:r>
      <w:proofErr w:type="spellStart"/>
      <w:r w:rsidRPr="00470C7C">
        <w:rPr>
          <w:rFonts w:cs="Arial"/>
          <w:i/>
          <w:szCs w:val="20"/>
        </w:rPr>
        <w:t>jus</w:t>
      </w:r>
      <w:proofErr w:type="spellEnd"/>
      <w:r w:rsidRPr="00470C7C">
        <w:rPr>
          <w:rFonts w:cs="Arial"/>
          <w:i/>
          <w:szCs w:val="20"/>
        </w:rPr>
        <w:t xml:space="preserve"> cogens</w:t>
      </w:r>
      <w:r w:rsidRPr="00470C7C">
        <w:rPr>
          <w:rFonts w:cs="Arial"/>
          <w:szCs w:val="20"/>
        </w:rPr>
        <w:t>, siendo inadmisibles las disposiciones de prescripción. De acuerdo con los representantes</w:t>
      </w:r>
      <w:r w:rsidR="00C413E2" w:rsidRPr="00470C7C">
        <w:rPr>
          <w:rFonts w:cs="Arial"/>
          <w:szCs w:val="20"/>
        </w:rPr>
        <w:t>,</w:t>
      </w:r>
      <w:r w:rsidRPr="00470C7C">
        <w:rPr>
          <w:rFonts w:cs="Arial"/>
          <w:szCs w:val="20"/>
        </w:rPr>
        <w:t xml:space="preserve"> los hechos permanecen en la impunidad, debido en gran parte a la prescripción de los delitos por los cuales podría haber sido abierto un proceso penal. </w:t>
      </w:r>
    </w:p>
    <w:p w14:paraId="556E00E5" w14:textId="77777777" w:rsidR="00D81AA1" w:rsidRPr="00470C7C" w:rsidRDefault="00D81AA1" w:rsidP="00D81AA1">
      <w:pPr>
        <w:pStyle w:val="Prrafodelista"/>
        <w:rPr>
          <w:rFonts w:cs="Arial"/>
          <w:szCs w:val="20"/>
        </w:rPr>
      </w:pPr>
    </w:p>
    <w:p w14:paraId="782523FC"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Además, los representantes indicaron que la falta de actuación efectiva por parte de las autoridades frente a las denuncias y la recurrencia de los hechos denunciados evidencian una situación de discriminación estructural </w:t>
      </w:r>
      <w:r w:rsidR="00C413E2" w:rsidRPr="00470C7C">
        <w:rPr>
          <w:rFonts w:cs="Arial"/>
          <w:szCs w:val="20"/>
        </w:rPr>
        <w:t>en la respuesta</w:t>
      </w:r>
      <w:r w:rsidRPr="00470C7C">
        <w:rPr>
          <w:rFonts w:cs="Arial"/>
          <w:szCs w:val="20"/>
        </w:rPr>
        <w:t xml:space="preserve"> del Estado, </w:t>
      </w:r>
      <w:r w:rsidR="00C413E2" w:rsidRPr="00470C7C">
        <w:rPr>
          <w:rFonts w:cs="Arial"/>
          <w:szCs w:val="20"/>
        </w:rPr>
        <w:t xml:space="preserve">lo </w:t>
      </w:r>
      <w:r w:rsidRPr="00470C7C">
        <w:rPr>
          <w:rFonts w:cs="Arial"/>
          <w:szCs w:val="20"/>
        </w:rPr>
        <w:t>que permite la perpetuación de una situación de explotación a un grupo determinado de personas. Finalmente, los representantes alegaron que el Estado tenía un deber de actuar e investigar con diligencia urgente debido a que las autoridades habían tenido conocimiento de que en la Hacienda Brasil Verde podía haber niñas, niños y adolescentes.</w:t>
      </w:r>
    </w:p>
    <w:p w14:paraId="43E26FBC" w14:textId="77777777" w:rsidR="00D81AA1" w:rsidRPr="00470C7C" w:rsidRDefault="00D81AA1" w:rsidP="00D81AA1">
      <w:pPr>
        <w:pStyle w:val="Prrafodelista"/>
        <w:rPr>
          <w:rFonts w:cs="Arial"/>
          <w:szCs w:val="20"/>
        </w:rPr>
      </w:pPr>
    </w:p>
    <w:p w14:paraId="60E55C6E"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El </w:t>
      </w:r>
      <w:r w:rsidRPr="00470C7C">
        <w:rPr>
          <w:rFonts w:cs="Arial"/>
          <w:b/>
          <w:i/>
          <w:szCs w:val="20"/>
        </w:rPr>
        <w:t>Estado</w:t>
      </w:r>
      <w:r w:rsidRPr="00470C7C">
        <w:rPr>
          <w:rFonts w:cs="Arial"/>
          <w:szCs w:val="20"/>
        </w:rPr>
        <w:t xml:space="preserve"> alegó que la Comisión no señaló de manera clara y específica en que consistió la violación a la obligación de observar las garantías judiciales, y agregó que la eventual falla en la parte de la investigación y persecución en materia penal no debía ser materia de responsabilidad por parte del Estado. </w:t>
      </w:r>
    </w:p>
    <w:p w14:paraId="5A17DFB2" w14:textId="77777777" w:rsidR="00D81AA1" w:rsidRPr="00470C7C" w:rsidRDefault="00D81AA1" w:rsidP="00D81AA1">
      <w:pPr>
        <w:pStyle w:val="Prrafodelista"/>
        <w:rPr>
          <w:rFonts w:cs="Arial"/>
          <w:szCs w:val="20"/>
        </w:rPr>
      </w:pPr>
    </w:p>
    <w:p w14:paraId="60ED938B"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Además, el Estado señaló que actuó con debida diligencia durante las diversas visitas de fiscalización a la Hacienda Brasil Verde, y que en dichas fiscalizaciones los agentes estatales desempeñaron sus funciones de manera adecuada y determinaron que no se encontraba configurada la práctica de trabajo esclavo </w:t>
      </w:r>
      <w:r w:rsidR="00CE7BF2" w:rsidRPr="00470C7C">
        <w:rPr>
          <w:rFonts w:cs="Arial"/>
          <w:szCs w:val="20"/>
        </w:rPr>
        <w:t>o</w:t>
      </w:r>
      <w:r w:rsidRPr="00470C7C">
        <w:rPr>
          <w:rFonts w:cs="Arial"/>
          <w:szCs w:val="20"/>
        </w:rPr>
        <w:t xml:space="preserve"> condiciones de esclavitud. </w:t>
      </w:r>
    </w:p>
    <w:p w14:paraId="15421A35" w14:textId="77777777" w:rsidR="00D81AA1" w:rsidRPr="00470C7C" w:rsidRDefault="00D81AA1" w:rsidP="00D81AA1">
      <w:pPr>
        <w:pStyle w:val="Prrafodelista"/>
        <w:rPr>
          <w:rFonts w:cs="Arial"/>
          <w:szCs w:val="20"/>
        </w:rPr>
      </w:pPr>
    </w:p>
    <w:p w14:paraId="23F42D83"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Por otro lado, el Estado indicó que existían elementos que justificaron la demora en el proceso </w:t>
      </w:r>
      <w:r w:rsidR="007B42C7" w:rsidRPr="00470C7C">
        <w:rPr>
          <w:rFonts w:cs="Arial"/>
          <w:szCs w:val="20"/>
        </w:rPr>
        <w:t xml:space="preserve">penal iniciado en 1997 </w:t>
      </w:r>
      <w:r w:rsidRPr="00470C7C">
        <w:rPr>
          <w:rFonts w:cs="Arial"/>
          <w:szCs w:val="20"/>
        </w:rPr>
        <w:t xml:space="preserve">y que representaban complejidades especiales, tales como que los acusados vivían en ciudades diferentes al lugar en donde fue instaurada la acción penal, el domicilio del señor </w:t>
      </w:r>
      <w:proofErr w:type="spellStart"/>
      <w:r w:rsidRPr="00470C7C">
        <w:rPr>
          <w:rFonts w:cs="Arial"/>
          <w:szCs w:val="20"/>
        </w:rPr>
        <w:t>Quagliato</w:t>
      </w:r>
      <w:proofErr w:type="spellEnd"/>
      <w:r w:rsidRPr="00470C7C">
        <w:rPr>
          <w:rFonts w:cs="Arial"/>
          <w:szCs w:val="20"/>
        </w:rPr>
        <w:t xml:space="preserve"> Neto era desconocido para las autoridades, la distancia geográfica complicaba la obtención de pruebas y la</w:t>
      </w:r>
      <w:r w:rsidR="007B42C7" w:rsidRPr="00470C7C">
        <w:rPr>
          <w:rFonts w:cs="Arial"/>
          <w:szCs w:val="20"/>
        </w:rPr>
        <w:t xml:space="preserve"> “absoluta indefinición jurídica” sobre la competencia para procesar el delito de</w:t>
      </w:r>
      <w:r w:rsidRPr="00470C7C">
        <w:rPr>
          <w:rFonts w:cs="Arial"/>
          <w:szCs w:val="20"/>
        </w:rPr>
        <w:t xml:space="preserve"> reducción a condiciones análogas a esclavitud. </w:t>
      </w:r>
    </w:p>
    <w:p w14:paraId="6982AE4A" w14:textId="77777777" w:rsidR="00D81AA1" w:rsidRPr="00470C7C" w:rsidRDefault="00D81AA1" w:rsidP="00D81AA1">
      <w:pPr>
        <w:autoSpaceDE w:val="0"/>
        <w:autoSpaceDN w:val="0"/>
        <w:adjustRightInd w:val="0"/>
        <w:rPr>
          <w:rFonts w:cs="Arial"/>
          <w:szCs w:val="20"/>
        </w:rPr>
      </w:pPr>
    </w:p>
    <w:p w14:paraId="55653375"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El Estado señaló que los procedimientos de investigación conducidos por el Ministerio Público son instrumentos adecuados y efectivos para </w:t>
      </w:r>
      <w:r w:rsidR="005A29DA" w:rsidRPr="00470C7C">
        <w:rPr>
          <w:rFonts w:cs="Arial"/>
          <w:szCs w:val="20"/>
        </w:rPr>
        <w:t>la investigación y persecución</w:t>
      </w:r>
      <w:r w:rsidRPr="00470C7C">
        <w:rPr>
          <w:rFonts w:cs="Arial"/>
          <w:szCs w:val="20"/>
        </w:rPr>
        <w:t xml:space="preserve"> penal. Indicó que de las fiscalizaciones realizadas en la Hacienda Brasil Verde no se llegó a la conclusión de que existiera trabajo esclavo, y que las infracciones administrativas que se verificaron, como condiciones degradantes y jornadas exhaustivas, no podían ser caracterizadas como delitos de acuerdo a la normativa vigente al momento de los hechos.</w:t>
      </w:r>
    </w:p>
    <w:p w14:paraId="267402E5" w14:textId="77777777" w:rsidR="00D81AA1" w:rsidRPr="00470C7C" w:rsidRDefault="00D81AA1" w:rsidP="00D81AA1">
      <w:pPr>
        <w:pStyle w:val="Prrafodelista"/>
        <w:rPr>
          <w:rFonts w:cs="Arial"/>
          <w:szCs w:val="20"/>
        </w:rPr>
      </w:pPr>
    </w:p>
    <w:p w14:paraId="4B9FDA8A"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Finalmente, el Estado alegó que el Ministerio Público tiene competencia para conducir procedimientos autónomos de investigación criminal, como en el presente caso, y que dichos procedimientos deben ser igualmente considerados recursos adecuados y efectivos para la investigación de crímenes que representan violaciones a la Convención Americana.</w:t>
      </w:r>
    </w:p>
    <w:p w14:paraId="4E8FC7AF" w14:textId="77777777" w:rsidR="00D81AA1" w:rsidRPr="00470C7C" w:rsidRDefault="00D81AA1" w:rsidP="00D81AA1">
      <w:pPr>
        <w:jc w:val="both"/>
        <w:rPr>
          <w:rFonts w:cs="Arial"/>
          <w:noProof/>
          <w:szCs w:val="20"/>
          <w:lang w:val="es-ES_tradnl"/>
        </w:rPr>
      </w:pPr>
    </w:p>
    <w:p w14:paraId="7CEC5F75" w14:textId="77777777" w:rsidR="00D81AA1" w:rsidRPr="00470C7C" w:rsidRDefault="00D81AA1" w:rsidP="008B0BCC">
      <w:pPr>
        <w:pStyle w:val="Ttulo2"/>
        <w:numPr>
          <w:ilvl w:val="0"/>
          <w:numId w:val="20"/>
        </w:numPr>
        <w:rPr>
          <w:rFonts w:eastAsiaTheme="minorHAnsi" w:cs="Arial"/>
          <w:noProof/>
          <w:lang w:val="es-ES_tradnl"/>
        </w:rPr>
      </w:pPr>
      <w:bookmarkStart w:id="379" w:name="_Toc464813975"/>
      <w:r w:rsidRPr="00470C7C">
        <w:rPr>
          <w:rFonts w:eastAsiaTheme="minorHAnsi"/>
          <w:noProof/>
        </w:rPr>
        <w:t>Consideraciones de la Corte</w:t>
      </w:r>
      <w:bookmarkEnd w:id="379"/>
    </w:p>
    <w:p w14:paraId="1317185F" w14:textId="77777777" w:rsidR="00D81AA1" w:rsidRPr="00470C7C" w:rsidRDefault="00D81AA1" w:rsidP="00D81AA1">
      <w:pPr>
        <w:jc w:val="both"/>
        <w:rPr>
          <w:szCs w:val="20"/>
        </w:rPr>
      </w:pPr>
    </w:p>
    <w:p w14:paraId="780EBA91" w14:textId="77777777" w:rsidR="00D81AA1" w:rsidRPr="00470C7C" w:rsidRDefault="00D81AA1" w:rsidP="00D81AA1">
      <w:pPr>
        <w:numPr>
          <w:ilvl w:val="0"/>
          <w:numId w:val="1"/>
        </w:numPr>
        <w:tabs>
          <w:tab w:val="clear" w:pos="4419"/>
          <w:tab w:val="clear" w:pos="8838"/>
        </w:tabs>
        <w:contextualSpacing/>
        <w:jc w:val="both"/>
        <w:rPr>
          <w:b/>
          <w:szCs w:val="20"/>
        </w:rPr>
      </w:pPr>
      <w:r w:rsidRPr="00470C7C">
        <w:rPr>
          <w:rFonts w:cs="Arial"/>
          <w:iCs/>
          <w:szCs w:val="20"/>
        </w:rPr>
        <w:t xml:space="preserve">Antes de </w:t>
      </w:r>
      <w:r w:rsidR="00B44E89" w:rsidRPr="00470C7C">
        <w:rPr>
          <w:rFonts w:cs="Arial"/>
          <w:iCs/>
          <w:szCs w:val="20"/>
        </w:rPr>
        <w:t>iniciar</w:t>
      </w:r>
      <w:r w:rsidRPr="00470C7C">
        <w:rPr>
          <w:rFonts w:cs="Arial"/>
          <w:iCs/>
          <w:szCs w:val="20"/>
        </w:rPr>
        <w:t xml:space="preserve"> el análisis de los alegatos, la Corte recuerda que </w:t>
      </w:r>
      <w:r w:rsidR="001B63D0" w:rsidRPr="00470C7C">
        <w:rPr>
          <w:rFonts w:cs="Arial"/>
          <w:iCs/>
          <w:szCs w:val="20"/>
        </w:rPr>
        <w:t xml:space="preserve">su </w:t>
      </w:r>
      <w:r w:rsidRPr="00470C7C">
        <w:rPr>
          <w:noProof/>
          <w:szCs w:val="20"/>
          <w:lang w:eastAsia="es-ES"/>
        </w:rPr>
        <w:t xml:space="preserve">competencia contenciosa </w:t>
      </w:r>
      <w:r w:rsidR="001B63D0" w:rsidRPr="00470C7C">
        <w:rPr>
          <w:noProof/>
          <w:szCs w:val="20"/>
          <w:lang w:eastAsia="es-ES"/>
        </w:rPr>
        <w:t xml:space="preserve">en el presente caso se limita a </w:t>
      </w:r>
      <w:r w:rsidRPr="00470C7C">
        <w:rPr>
          <w:noProof/>
          <w:szCs w:val="20"/>
          <w:lang w:eastAsia="es-ES"/>
        </w:rPr>
        <w:t xml:space="preserve">las actuaciones judiciales que hayan comenzado o se hayan </w:t>
      </w:r>
      <w:r w:rsidR="0099000B" w:rsidRPr="00470C7C">
        <w:rPr>
          <w:noProof/>
          <w:szCs w:val="20"/>
          <w:lang w:eastAsia="es-ES"/>
        </w:rPr>
        <w:t xml:space="preserve">continuado </w:t>
      </w:r>
      <w:r w:rsidRPr="00470C7C">
        <w:rPr>
          <w:noProof/>
          <w:szCs w:val="20"/>
          <w:lang w:eastAsia="es-ES"/>
        </w:rPr>
        <w:t>después del reconocimiento de competencia efectuado por el Estado e</w:t>
      </w:r>
      <w:r w:rsidR="001B63D0" w:rsidRPr="00470C7C">
        <w:rPr>
          <w:noProof/>
          <w:szCs w:val="20"/>
          <w:lang w:eastAsia="es-ES"/>
        </w:rPr>
        <w:t>l 10 de</w:t>
      </w:r>
      <w:r w:rsidRPr="00470C7C">
        <w:rPr>
          <w:noProof/>
          <w:szCs w:val="20"/>
          <w:lang w:eastAsia="es-ES"/>
        </w:rPr>
        <w:t xml:space="preserve"> diciembre de 1998. Los procesos ocurridos en 1989, 1992, 1993 y 1996 no serán parte del análisis de la Corte por haber concluido antes del reconocimiento de competencia realizado por el Estado, </w:t>
      </w:r>
      <w:r w:rsidR="001B63D0" w:rsidRPr="00470C7C">
        <w:rPr>
          <w:noProof/>
          <w:szCs w:val="20"/>
          <w:lang w:eastAsia="es-ES"/>
        </w:rPr>
        <w:t>sin</w:t>
      </w:r>
      <w:r w:rsidR="00B654E8" w:rsidRPr="00470C7C">
        <w:rPr>
          <w:noProof/>
          <w:szCs w:val="20"/>
          <w:lang w:eastAsia="es-ES"/>
        </w:rPr>
        <w:t xml:space="preserve"> </w:t>
      </w:r>
      <w:r w:rsidR="001B63D0" w:rsidRPr="00470C7C">
        <w:rPr>
          <w:noProof/>
          <w:szCs w:val="20"/>
          <w:lang w:eastAsia="es-ES"/>
        </w:rPr>
        <w:t xml:space="preserve">perjuicio de poder </w:t>
      </w:r>
      <w:r w:rsidRPr="00470C7C">
        <w:rPr>
          <w:noProof/>
          <w:szCs w:val="20"/>
          <w:lang w:eastAsia="es-ES"/>
        </w:rPr>
        <w:t>ser tomados en cuenta como contexto.</w:t>
      </w:r>
      <w:r w:rsidR="0099000B" w:rsidRPr="00470C7C">
        <w:rPr>
          <w:noProof/>
          <w:szCs w:val="20"/>
          <w:lang w:eastAsia="es-ES"/>
        </w:rPr>
        <w:t xml:space="preserve"> En ese sentido, en el presente capítulo la Corte analizará las actuaciones a partir de 10 de diciembre de 1998 realizadas: i) en el proceso penal </w:t>
      </w:r>
      <w:r w:rsidR="004233E4" w:rsidRPr="00470C7C">
        <w:rPr>
          <w:noProof/>
          <w:szCs w:val="20"/>
          <w:lang w:eastAsia="es-ES"/>
        </w:rPr>
        <w:t xml:space="preserve">No. </w:t>
      </w:r>
      <w:r w:rsidR="00176C77" w:rsidRPr="00470C7C">
        <w:rPr>
          <w:noProof/>
          <w:szCs w:val="20"/>
          <w:lang w:eastAsia="es-ES"/>
        </w:rPr>
        <w:t>1997.39</w:t>
      </w:r>
      <w:r w:rsidR="00F81532" w:rsidRPr="00470C7C">
        <w:rPr>
          <w:noProof/>
          <w:szCs w:val="20"/>
          <w:lang w:eastAsia="es-ES"/>
        </w:rPr>
        <w:t>.01.831-3</w:t>
      </w:r>
      <w:r w:rsidR="0099000B" w:rsidRPr="00470C7C">
        <w:rPr>
          <w:noProof/>
          <w:szCs w:val="20"/>
          <w:lang w:eastAsia="es-ES"/>
        </w:rPr>
        <w:t xml:space="preserve"> </w:t>
      </w:r>
      <w:r w:rsidR="004233E4" w:rsidRPr="00470C7C">
        <w:rPr>
          <w:noProof/>
          <w:szCs w:val="20"/>
          <w:lang w:eastAsia="es-ES"/>
        </w:rPr>
        <w:t>y la Acción Civil Pública</w:t>
      </w:r>
      <w:r w:rsidR="00B44E89" w:rsidRPr="00470C7C">
        <w:rPr>
          <w:noProof/>
          <w:szCs w:val="20"/>
          <w:lang w:eastAsia="es-ES"/>
        </w:rPr>
        <w:t>,</w:t>
      </w:r>
      <w:r w:rsidR="004233E4" w:rsidRPr="00470C7C">
        <w:rPr>
          <w:noProof/>
          <w:szCs w:val="20"/>
          <w:lang w:eastAsia="es-ES"/>
        </w:rPr>
        <w:t xml:space="preserve"> </w:t>
      </w:r>
      <w:r w:rsidR="0099000B" w:rsidRPr="00470C7C">
        <w:rPr>
          <w:noProof/>
          <w:szCs w:val="20"/>
          <w:lang w:eastAsia="es-ES"/>
        </w:rPr>
        <w:t>iniciado</w:t>
      </w:r>
      <w:r w:rsidR="004233E4" w:rsidRPr="00470C7C">
        <w:rPr>
          <w:noProof/>
          <w:szCs w:val="20"/>
          <w:lang w:eastAsia="es-ES"/>
        </w:rPr>
        <w:t>s</w:t>
      </w:r>
      <w:r w:rsidR="0099000B" w:rsidRPr="00470C7C">
        <w:rPr>
          <w:noProof/>
          <w:szCs w:val="20"/>
          <w:lang w:eastAsia="es-ES"/>
        </w:rPr>
        <w:t xml:space="preserve"> en 1997</w:t>
      </w:r>
      <w:r w:rsidR="00B44E89" w:rsidRPr="00470C7C">
        <w:rPr>
          <w:noProof/>
          <w:szCs w:val="20"/>
          <w:lang w:eastAsia="es-ES"/>
        </w:rPr>
        <w:t>,</w:t>
      </w:r>
      <w:r w:rsidR="0099000B" w:rsidRPr="00470C7C">
        <w:rPr>
          <w:noProof/>
          <w:szCs w:val="20"/>
          <w:lang w:eastAsia="es-ES"/>
        </w:rPr>
        <w:t xml:space="preserve"> respecto de la inspección de 10 de marzo de 1997; ii) </w:t>
      </w:r>
      <w:r w:rsidR="004233E4" w:rsidRPr="00470C7C">
        <w:rPr>
          <w:noProof/>
          <w:szCs w:val="20"/>
          <w:lang w:eastAsia="es-ES"/>
        </w:rPr>
        <w:t>los procesos iniciados en virtud de la inspección de 15 de marzo de 2000.</w:t>
      </w:r>
      <w:r w:rsidR="0099000B" w:rsidRPr="00470C7C">
        <w:rPr>
          <w:b/>
          <w:noProof/>
          <w:szCs w:val="20"/>
          <w:lang w:eastAsia="es-ES"/>
        </w:rPr>
        <w:t xml:space="preserve"> </w:t>
      </w:r>
    </w:p>
    <w:p w14:paraId="68184682" w14:textId="77777777" w:rsidR="00D81AA1" w:rsidRPr="00470C7C" w:rsidRDefault="00D81AA1" w:rsidP="00D81AA1">
      <w:pPr>
        <w:tabs>
          <w:tab w:val="clear" w:pos="4419"/>
          <w:tab w:val="clear" w:pos="8838"/>
        </w:tabs>
        <w:contextualSpacing/>
        <w:jc w:val="both"/>
        <w:rPr>
          <w:noProof/>
          <w:szCs w:val="20"/>
          <w:lang w:eastAsia="es-ES"/>
        </w:rPr>
      </w:pPr>
    </w:p>
    <w:p w14:paraId="0655D08E" w14:textId="77777777" w:rsidR="00D81AA1" w:rsidRPr="00470C7C" w:rsidRDefault="00D81AA1" w:rsidP="00A47A97">
      <w:pPr>
        <w:pStyle w:val="Ttulo3"/>
      </w:pPr>
      <w:bookmarkStart w:id="380" w:name="_Toc464813976"/>
      <w:r w:rsidRPr="00470C7C">
        <w:rPr>
          <w:noProof/>
          <w:lang w:eastAsia="es-ES"/>
        </w:rPr>
        <w:t>B.1</w:t>
      </w:r>
      <w:r w:rsidR="00DC2886" w:rsidRPr="00470C7C">
        <w:rPr>
          <w:noProof/>
          <w:lang w:eastAsia="es-ES"/>
        </w:rPr>
        <w:t>.</w:t>
      </w:r>
      <w:r w:rsidRPr="00470C7C">
        <w:rPr>
          <w:noProof/>
          <w:lang w:eastAsia="es-ES"/>
        </w:rPr>
        <w:t xml:space="preserve"> Debida diligencia</w:t>
      </w:r>
      <w:bookmarkEnd w:id="380"/>
    </w:p>
    <w:p w14:paraId="252E9D92" w14:textId="77777777" w:rsidR="00D81AA1" w:rsidRPr="00470C7C" w:rsidRDefault="00D81AA1" w:rsidP="00D81AA1">
      <w:pPr>
        <w:pStyle w:val="Prrafodelista"/>
        <w:tabs>
          <w:tab w:val="left" w:pos="720"/>
        </w:tabs>
        <w:ind w:left="0"/>
        <w:outlineLvl w:val="2"/>
        <w:rPr>
          <w:rFonts w:cs="Arial"/>
          <w:noProof/>
          <w:szCs w:val="20"/>
          <w:lang w:val="es-ES_tradnl"/>
        </w:rPr>
      </w:pPr>
    </w:p>
    <w:p w14:paraId="085FB68B" w14:textId="77777777" w:rsidR="00D81AA1" w:rsidRPr="00470C7C" w:rsidRDefault="00D81AA1" w:rsidP="00D81AA1">
      <w:pPr>
        <w:numPr>
          <w:ilvl w:val="0"/>
          <w:numId w:val="1"/>
        </w:numPr>
        <w:tabs>
          <w:tab w:val="clear" w:pos="4419"/>
          <w:tab w:val="clear" w:pos="8838"/>
        </w:tabs>
        <w:contextualSpacing/>
        <w:jc w:val="both"/>
        <w:rPr>
          <w:szCs w:val="20"/>
        </w:rPr>
      </w:pPr>
      <w:r w:rsidRPr="00470C7C">
        <w:rPr>
          <w:spacing w:val="-3"/>
          <w:szCs w:val="20"/>
          <w:lang w:val="es-ES"/>
        </w:rPr>
        <w:t xml:space="preserve">La Corte recuerda que en virtud de que la protección contra la esclavitud y sus formas análogas es una obligación internacional </w:t>
      </w:r>
      <w:r w:rsidRPr="00470C7C">
        <w:rPr>
          <w:i/>
          <w:iCs/>
          <w:spacing w:val="-3"/>
          <w:szCs w:val="20"/>
          <w:lang w:val="es-ES"/>
        </w:rPr>
        <w:t xml:space="preserve">erga omnes, </w:t>
      </w:r>
      <w:r w:rsidRPr="00470C7C">
        <w:rPr>
          <w:spacing w:val="-3"/>
          <w:szCs w:val="20"/>
          <w:lang w:val="es-ES"/>
        </w:rPr>
        <w:t>derivada “de los principios y reglas relativos a los derechos básicos de la persona humana” (</w:t>
      </w:r>
      <w:r w:rsidRPr="00470C7C">
        <w:rPr>
          <w:i/>
          <w:spacing w:val="-3"/>
          <w:szCs w:val="20"/>
          <w:lang w:val="es-ES"/>
        </w:rPr>
        <w:t xml:space="preserve">supra </w:t>
      </w:r>
      <w:r w:rsidRPr="00470C7C">
        <w:rPr>
          <w:spacing w:val="-3"/>
          <w:szCs w:val="20"/>
          <w:lang w:val="es-ES"/>
        </w:rPr>
        <w:t xml:space="preserve">párr. </w:t>
      </w:r>
      <w:r w:rsidR="00B44E89" w:rsidRPr="00470C7C">
        <w:rPr>
          <w:spacing w:val="-3"/>
          <w:szCs w:val="20"/>
          <w:lang w:val="es-ES"/>
        </w:rPr>
        <w:t>249</w:t>
      </w:r>
      <w:r w:rsidRPr="00470C7C">
        <w:rPr>
          <w:spacing w:val="-3"/>
          <w:szCs w:val="20"/>
          <w:lang w:val="es-ES"/>
        </w:rPr>
        <w:t xml:space="preserve">), cuando los Estados tengan conocimiento de un acto constitutivo de esclavitud, servidumbre o trata de personas, en los términos de lo dispuesto por el artículo 6 de la Convención Americana, deben iniciar </w:t>
      </w:r>
      <w:r w:rsidRPr="00470C7C">
        <w:rPr>
          <w:i/>
          <w:spacing w:val="-3"/>
          <w:szCs w:val="20"/>
          <w:lang w:val="es-ES"/>
        </w:rPr>
        <w:t xml:space="preserve">ex </w:t>
      </w:r>
      <w:proofErr w:type="spellStart"/>
      <w:r w:rsidRPr="00470C7C">
        <w:rPr>
          <w:i/>
          <w:spacing w:val="-3"/>
          <w:szCs w:val="20"/>
          <w:lang w:val="es-ES"/>
        </w:rPr>
        <w:t>officio</w:t>
      </w:r>
      <w:proofErr w:type="spellEnd"/>
      <w:r w:rsidRPr="00470C7C">
        <w:rPr>
          <w:spacing w:val="-3"/>
          <w:szCs w:val="20"/>
          <w:lang w:val="es-ES"/>
        </w:rPr>
        <w:t xml:space="preserve"> la investigación pertinente a efecto de establecer las responsabilidades individuales que correspondan</w:t>
      </w:r>
      <w:r w:rsidRPr="00470C7C">
        <w:rPr>
          <w:rStyle w:val="Refdenotaalpie"/>
          <w:spacing w:val="-3"/>
          <w:lang w:val="es-ES"/>
        </w:rPr>
        <w:footnoteReference w:id="479"/>
      </w:r>
      <w:r w:rsidRPr="00470C7C">
        <w:rPr>
          <w:spacing w:val="-3"/>
          <w:szCs w:val="20"/>
          <w:lang w:val="es-ES"/>
        </w:rPr>
        <w:t>.</w:t>
      </w:r>
    </w:p>
    <w:p w14:paraId="5AEAB76E" w14:textId="77777777" w:rsidR="00D81AA1" w:rsidRPr="00470C7C" w:rsidRDefault="00D81AA1" w:rsidP="00D81AA1">
      <w:pPr>
        <w:pStyle w:val="Prrafodelista"/>
        <w:rPr>
          <w:spacing w:val="-3"/>
          <w:szCs w:val="20"/>
          <w:lang w:val="es-ES"/>
        </w:rPr>
      </w:pPr>
    </w:p>
    <w:p w14:paraId="798BD4FE" w14:textId="77777777" w:rsidR="00D81AA1" w:rsidRPr="00470C7C" w:rsidRDefault="00D81AA1" w:rsidP="00D81AA1">
      <w:pPr>
        <w:numPr>
          <w:ilvl w:val="0"/>
          <w:numId w:val="1"/>
        </w:numPr>
        <w:tabs>
          <w:tab w:val="clear" w:pos="4419"/>
          <w:tab w:val="clear" w:pos="8838"/>
        </w:tabs>
        <w:contextualSpacing/>
        <w:jc w:val="both"/>
        <w:rPr>
          <w:szCs w:val="20"/>
        </w:rPr>
      </w:pPr>
      <w:r w:rsidRPr="00470C7C">
        <w:rPr>
          <w:spacing w:val="-3"/>
          <w:szCs w:val="20"/>
          <w:lang w:val="es-ES"/>
        </w:rPr>
        <w:t>En el presente caso el Estado tenía un deber de actuar con debida diligencia que se v</w:t>
      </w:r>
      <w:r w:rsidR="008E18B4" w:rsidRPr="00470C7C">
        <w:rPr>
          <w:spacing w:val="-3"/>
          <w:szCs w:val="20"/>
          <w:lang w:val="es-ES"/>
        </w:rPr>
        <w:t>e</w:t>
      </w:r>
      <w:r w:rsidRPr="00470C7C">
        <w:rPr>
          <w:spacing w:val="-3"/>
          <w:szCs w:val="20"/>
          <w:lang w:val="es-ES"/>
        </w:rPr>
        <w:t>ía incrementado por la gravedad de los hechos denunciados y la naturaleza de la obligación; era necesario que el Estado actuara diligentemente a fin de prevenir que los hechos quedaran en una situación de impunidad, como ocurrió en el presente caso.</w:t>
      </w:r>
    </w:p>
    <w:p w14:paraId="047712E8" w14:textId="77777777" w:rsidR="00D81AA1" w:rsidRPr="00470C7C" w:rsidRDefault="00D81AA1" w:rsidP="00D81AA1">
      <w:pPr>
        <w:tabs>
          <w:tab w:val="clear" w:pos="4419"/>
          <w:tab w:val="clear" w:pos="8838"/>
        </w:tabs>
        <w:contextualSpacing/>
        <w:jc w:val="both"/>
        <w:rPr>
          <w:szCs w:val="20"/>
        </w:rPr>
      </w:pPr>
    </w:p>
    <w:p w14:paraId="671D00DB" w14:textId="77777777" w:rsidR="00CA246A" w:rsidRPr="00470C7C" w:rsidRDefault="00D81AA1" w:rsidP="00D81AA1">
      <w:pPr>
        <w:numPr>
          <w:ilvl w:val="0"/>
          <w:numId w:val="1"/>
        </w:numPr>
        <w:tabs>
          <w:tab w:val="clear" w:pos="4419"/>
          <w:tab w:val="clear" w:pos="8838"/>
        </w:tabs>
        <w:contextualSpacing/>
        <w:jc w:val="both"/>
        <w:rPr>
          <w:szCs w:val="20"/>
          <w:lang w:val="es-ES"/>
        </w:rPr>
      </w:pPr>
      <w:r w:rsidRPr="00470C7C">
        <w:rPr>
          <w:szCs w:val="20"/>
        </w:rPr>
        <w:t xml:space="preserve">La Corte reitera que en el presente caso existía una debida diligencia excepcional que era necesaria </w:t>
      </w:r>
      <w:r w:rsidR="00F86733" w:rsidRPr="00470C7C">
        <w:rPr>
          <w:szCs w:val="20"/>
        </w:rPr>
        <w:t>en atención de</w:t>
      </w:r>
      <w:r w:rsidRPr="00470C7C">
        <w:rPr>
          <w:szCs w:val="20"/>
        </w:rPr>
        <w:t xml:space="preserve"> la particular situación de vulnerabilidad en que se encontraban </w:t>
      </w:r>
      <w:r w:rsidRPr="00470C7C">
        <w:rPr>
          <w:szCs w:val="20"/>
          <w:lang w:val="es-ES"/>
        </w:rPr>
        <w:t>los trabajadores de la Hacienda Brasil Verde y a la extrema gravedad de la situación que le fue denunciada al Estado;</w:t>
      </w:r>
      <w:r w:rsidRPr="00470C7C">
        <w:rPr>
          <w:szCs w:val="20"/>
        </w:rPr>
        <w:t xml:space="preserve"> por lo que era imperat</w:t>
      </w:r>
      <w:r w:rsidR="00CB64C4" w:rsidRPr="00470C7C">
        <w:rPr>
          <w:szCs w:val="20"/>
        </w:rPr>
        <w:t>ivo</w:t>
      </w:r>
      <w:r w:rsidRPr="00470C7C">
        <w:rPr>
          <w:szCs w:val="20"/>
        </w:rPr>
        <w:t xml:space="preserve"> tomar las medidas pertinentes </w:t>
      </w:r>
      <w:r w:rsidRPr="00470C7C">
        <w:rPr>
          <w:szCs w:val="20"/>
          <w:lang w:val="es-ES"/>
        </w:rPr>
        <w:t>con el fin de evitar retrasos en la tramitación de los procesos, de manera que se garantizara la pronta resolución y ejecución de los mismos</w:t>
      </w:r>
      <w:r w:rsidRPr="00470C7C">
        <w:rPr>
          <w:rStyle w:val="Refdenotaalpie"/>
          <w:lang w:val="es-ES"/>
        </w:rPr>
        <w:footnoteReference w:id="480"/>
      </w:r>
      <w:r w:rsidRPr="00470C7C">
        <w:rPr>
          <w:szCs w:val="20"/>
          <w:lang w:val="es-ES"/>
        </w:rPr>
        <w:t>.</w:t>
      </w:r>
      <w:r w:rsidRPr="00470C7C">
        <w:rPr>
          <w:szCs w:val="20"/>
        </w:rPr>
        <w:t xml:space="preserve"> En ese sentido</w:t>
      </w:r>
      <w:r w:rsidR="008C14EB" w:rsidRPr="00470C7C">
        <w:rPr>
          <w:szCs w:val="20"/>
        </w:rPr>
        <w:t xml:space="preserve"> el Tribunal Europeo</w:t>
      </w:r>
      <w:r w:rsidR="00176C77" w:rsidRPr="00470C7C">
        <w:rPr>
          <w:szCs w:val="20"/>
        </w:rPr>
        <w:t xml:space="preserve"> también </w:t>
      </w:r>
      <w:r w:rsidRPr="00470C7C">
        <w:rPr>
          <w:szCs w:val="20"/>
        </w:rPr>
        <w:t xml:space="preserve">ha indicado que se exige una diligencia especial en aquellos casos en los cuales está en juego la integridad de la persona, y ha señalado que existe una obligación positiva de penalizar e investigar cualquier acto dirigido a mantener una persona en situación de esclavitud, servidumbre o </w:t>
      </w:r>
      <w:r w:rsidR="001B63D0" w:rsidRPr="00470C7C">
        <w:rPr>
          <w:szCs w:val="20"/>
        </w:rPr>
        <w:t>trabajo forzoso</w:t>
      </w:r>
      <w:r w:rsidRPr="00470C7C">
        <w:rPr>
          <w:rStyle w:val="Refdenotaalpie"/>
        </w:rPr>
        <w:footnoteReference w:id="481"/>
      </w:r>
      <w:r w:rsidRPr="00470C7C">
        <w:rPr>
          <w:szCs w:val="20"/>
        </w:rPr>
        <w:t xml:space="preserve">. Además, ha establecido </w:t>
      </w:r>
      <w:r w:rsidR="00176C77" w:rsidRPr="00470C7C">
        <w:rPr>
          <w:szCs w:val="20"/>
        </w:rPr>
        <w:t xml:space="preserve">que la </w:t>
      </w:r>
      <w:r w:rsidRPr="00470C7C">
        <w:rPr>
          <w:szCs w:val="20"/>
        </w:rPr>
        <w:t xml:space="preserve">obligación de investigar </w:t>
      </w:r>
      <w:r w:rsidR="00176C77" w:rsidRPr="00470C7C">
        <w:rPr>
          <w:szCs w:val="20"/>
        </w:rPr>
        <w:t xml:space="preserve">la trata de personas </w:t>
      </w:r>
      <w:r w:rsidRPr="00470C7C">
        <w:rPr>
          <w:szCs w:val="20"/>
        </w:rPr>
        <w:t xml:space="preserve">no debe depender de una denuncia, sino que una vez que las autoridades toman conocimiento de la situación debe actuar de oficio. Finalmente, </w:t>
      </w:r>
      <w:r w:rsidR="00176C77" w:rsidRPr="00470C7C">
        <w:rPr>
          <w:szCs w:val="20"/>
        </w:rPr>
        <w:t xml:space="preserve">se </w:t>
      </w:r>
      <w:r w:rsidRPr="00470C7C">
        <w:rPr>
          <w:szCs w:val="20"/>
        </w:rPr>
        <w:t>ha señalado que el requisito de debida diligencia está implícito en todos los casos, pero cuando existe la posibilidad de rescatar a las personas de la situación denunciada, la investigación debe ser emprendida con urgencia</w:t>
      </w:r>
      <w:r w:rsidRPr="00470C7C">
        <w:rPr>
          <w:rStyle w:val="Refdenotaalpie"/>
        </w:rPr>
        <w:footnoteReference w:id="482"/>
      </w:r>
      <w:r w:rsidRPr="00470C7C">
        <w:rPr>
          <w:szCs w:val="20"/>
        </w:rPr>
        <w:t xml:space="preserve">. </w:t>
      </w:r>
    </w:p>
    <w:p w14:paraId="5EB6C2B3" w14:textId="77777777" w:rsidR="00A77667" w:rsidRPr="00470C7C" w:rsidRDefault="00A77667" w:rsidP="00A77667">
      <w:pPr>
        <w:tabs>
          <w:tab w:val="clear" w:pos="4419"/>
          <w:tab w:val="clear" w:pos="8838"/>
        </w:tabs>
        <w:contextualSpacing/>
        <w:jc w:val="both"/>
        <w:rPr>
          <w:szCs w:val="20"/>
          <w:lang w:val="es-ES"/>
        </w:rPr>
      </w:pPr>
    </w:p>
    <w:p w14:paraId="24583182" w14:textId="77777777" w:rsidR="00CA246A" w:rsidRPr="00470C7C" w:rsidRDefault="00A77667" w:rsidP="00A77667">
      <w:pPr>
        <w:numPr>
          <w:ilvl w:val="0"/>
          <w:numId w:val="1"/>
        </w:numPr>
        <w:tabs>
          <w:tab w:val="clear" w:pos="4419"/>
          <w:tab w:val="clear" w:pos="8838"/>
        </w:tabs>
        <w:contextualSpacing/>
        <w:jc w:val="both"/>
        <w:rPr>
          <w:szCs w:val="20"/>
          <w:lang w:val="es-ES"/>
        </w:rPr>
      </w:pPr>
      <w:r w:rsidRPr="00470C7C">
        <w:rPr>
          <w:szCs w:val="20"/>
        </w:rPr>
        <w:t xml:space="preserve">Con el fin de analizar la debida diligencia, la Corte recuerda brevemente las actuaciones en el proceso penal: </w:t>
      </w:r>
      <w:r w:rsidR="00CA246A" w:rsidRPr="00470C7C">
        <w:rPr>
          <w:rFonts w:cs="Arial"/>
          <w:szCs w:val="20"/>
        </w:rPr>
        <w:t xml:space="preserve">el 10 de marzo de 1997 </w:t>
      </w:r>
      <w:r w:rsidR="00CA246A" w:rsidRPr="00470C7C">
        <w:rPr>
          <w:rFonts w:cs="Arial"/>
          <w:szCs w:val="20"/>
          <w:lang w:val="es-ES"/>
        </w:rPr>
        <w:t xml:space="preserve">José da Costa Oliveira y José Ferreira dos Santos rindieron una declaración ante el Departamento de Policía Federal de Pará, Delegación de </w:t>
      </w:r>
      <w:proofErr w:type="spellStart"/>
      <w:r w:rsidR="00CA246A" w:rsidRPr="00470C7C">
        <w:rPr>
          <w:rFonts w:cs="Arial"/>
          <w:szCs w:val="20"/>
          <w:lang w:val="es-ES"/>
        </w:rPr>
        <w:t>Marabá</w:t>
      </w:r>
      <w:proofErr w:type="spellEnd"/>
      <w:r w:rsidR="00CA246A" w:rsidRPr="00470C7C">
        <w:rPr>
          <w:rFonts w:cs="Arial"/>
          <w:szCs w:val="20"/>
          <w:lang w:val="es-ES"/>
        </w:rPr>
        <w:t xml:space="preserve">, en la cual relataron haber trabajado y escapado de la </w:t>
      </w:r>
      <w:r w:rsidR="00CA246A" w:rsidRPr="00470C7C">
        <w:rPr>
          <w:rFonts w:cs="Arial"/>
          <w:iCs/>
          <w:szCs w:val="20"/>
          <w:lang w:val="es-ES"/>
        </w:rPr>
        <w:t>Hacienda Brasil Verde</w:t>
      </w:r>
      <w:r w:rsidR="00CA246A" w:rsidRPr="00470C7C">
        <w:rPr>
          <w:rFonts w:cs="Arial"/>
          <w:i/>
          <w:iCs/>
          <w:szCs w:val="20"/>
          <w:lang w:val="es-ES"/>
        </w:rPr>
        <w:t xml:space="preserve"> </w:t>
      </w:r>
      <w:r w:rsidR="00CA246A" w:rsidRPr="00470C7C">
        <w:rPr>
          <w:rFonts w:cs="Arial"/>
          <w:szCs w:val="20"/>
          <w:lang w:val="es-ES"/>
        </w:rPr>
        <w:t>(</w:t>
      </w:r>
      <w:r w:rsidR="00CA246A" w:rsidRPr="00470C7C">
        <w:rPr>
          <w:rFonts w:cs="Arial"/>
          <w:i/>
          <w:szCs w:val="20"/>
          <w:lang w:val="es-ES"/>
        </w:rPr>
        <w:t>supra</w:t>
      </w:r>
      <w:r w:rsidR="00CA246A" w:rsidRPr="00470C7C">
        <w:rPr>
          <w:rFonts w:cs="Arial"/>
          <w:szCs w:val="20"/>
          <w:lang w:val="es-ES"/>
        </w:rPr>
        <w:t xml:space="preserve"> párr. </w:t>
      </w:r>
      <w:r w:rsidR="000B7430" w:rsidRPr="00470C7C">
        <w:rPr>
          <w:rFonts w:cs="Arial"/>
          <w:szCs w:val="20"/>
          <w:lang w:val="es-ES"/>
        </w:rPr>
        <w:t>143</w:t>
      </w:r>
      <w:r w:rsidR="00CA246A" w:rsidRPr="00470C7C">
        <w:rPr>
          <w:rFonts w:cs="Arial"/>
          <w:szCs w:val="20"/>
          <w:lang w:val="es-ES"/>
        </w:rPr>
        <w:t>). Como consecuencia del informe del Ministerio del Trabajo, el 30 de junio de 1997 el Ministerio Público Federal presentó una denuncia penal contra Raimundo Alves de Rocha</w:t>
      </w:r>
      <w:r w:rsidR="0036131F" w:rsidRPr="00470C7C">
        <w:rPr>
          <w:rFonts w:cs="Arial"/>
          <w:szCs w:val="20"/>
          <w:lang w:val="es-ES"/>
        </w:rPr>
        <w:t>,</w:t>
      </w:r>
      <w:r w:rsidR="00CA246A" w:rsidRPr="00470C7C">
        <w:rPr>
          <w:rFonts w:cs="Times New Roman"/>
          <w:szCs w:val="20"/>
          <w:lang w:val="es-ES"/>
        </w:rPr>
        <w:t xml:space="preserve">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00CA246A" w:rsidRPr="00470C7C">
        <w:rPr>
          <w:rFonts w:cs="Arial"/>
          <w:szCs w:val="20"/>
          <w:lang w:val="es-ES"/>
        </w:rPr>
        <w:t xml:space="preserve">Alves Vieira </w:t>
      </w:r>
      <w:r w:rsidR="00CA246A" w:rsidRPr="00470C7C">
        <w:rPr>
          <w:rFonts w:cs="Times New Roman"/>
          <w:szCs w:val="20"/>
          <w:lang w:val="es-ES"/>
        </w:rPr>
        <w:t xml:space="preserve">y </w:t>
      </w:r>
      <w:r w:rsidR="00CA246A" w:rsidRPr="00470C7C">
        <w:rPr>
          <w:rFonts w:cs="Arial"/>
          <w:szCs w:val="20"/>
          <w:lang w:val="es-ES"/>
        </w:rPr>
        <w:t xml:space="preserve">João </w:t>
      </w:r>
      <w:proofErr w:type="spellStart"/>
      <w:r w:rsidR="00CA246A" w:rsidRPr="00470C7C">
        <w:rPr>
          <w:rFonts w:cs="Arial"/>
          <w:szCs w:val="20"/>
          <w:lang w:val="es-ES"/>
        </w:rPr>
        <w:t>Luiz</w:t>
      </w:r>
      <w:proofErr w:type="spellEnd"/>
      <w:r w:rsidR="00CA246A" w:rsidRPr="00470C7C">
        <w:rPr>
          <w:rFonts w:cs="Arial"/>
          <w:szCs w:val="20"/>
          <w:lang w:val="es-ES"/>
        </w:rPr>
        <w:t xml:space="preserve"> </w:t>
      </w:r>
      <w:proofErr w:type="spellStart"/>
      <w:r w:rsidR="00CA246A" w:rsidRPr="00470C7C">
        <w:rPr>
          <w:rFonts w:cs="Arial"/>
          <w:szCs w:val="20"/>
          <w:lang w:val="es-ES"/>
        </w:rPr>
        <w:t>Quagliato</w:t>
      </w:r>
      <w:proofErr w:type="spellEnd"/>
      <w:r w:rsidR="00CA246A" w:rsidRPr="00470C7C">
        <w:rPr>
          <w:rFonts w:cs="Arial"/>
          <w:szCs w:val="20"/>
          <w:lang w:val="es-ES"/>
        </w:rPr>
        <w:t xml:space="preserve"> Neto (</w:t>
      </w:r>
      <w:r w:rsidR="00CA246A" w:rsidRPr="00470C7C">
        <w:rPr>
          <w:rFonts w:cs="Arial"/>
          <w:i/>
          <w:szCs w:val="20"/>
          <w:lang w:val="es-ES"/>
        </w:rPr>
        <w:t>supra</w:t>
      </w:r>
      <w:r w:rsidR="00CA246A" w:rsidRPr="00470C7C">
        <w:rPr>
          <w:rFonts w:cs="Arial"/>
          <w:szCs w:val="20"/>
          <w:lang w:val="es-ES"/>
        </w:rPr>
        <w:t xml:space="preserve"> párr. </w:t>
      </w:r>
      <w:r w:rsidR="000B7430" w:rsidRPr="00470C7C">
        <w:rPr>
          <w:rFonts w:cs="Arial"/>
          <w:szCs w:val="20"/>
          <w:lang w:val="es-ES"/>
        </w:rPr>
        <w:t>145</w:t>
      </w:r>
      <w:r w:rsidR="00CA246A" w:rsidRPr="00470C7C">
        <w:rPr>
          <w:rFonts w:cs="Arial"/>
          <w:szCs w:val="20"/>
          <w:lang w:val="es-ES"/>
        </w:rPr>
        <w:t>).</w:t>
      </w:r>
      <w:r w:rsidR="00CA246A" w:rsidRPr="00470C7C">
        <w:rPr>
          <w:rFonts w:cs="Arial"/>
          <w:b/>
          <w:szCs w:val="20"/>
        </w:rPr>
        <w:t xml:space="preserve"> </w:t>
      </w:r>
      <w:r w:rsidR="00CA246A" w:rsidRPr="00470C7C">
        <w:rPr>
          <w:rFonts w:cs="Arial"/>
          <w:szCs w:val="20"/>
          <w:lang w:val="es-ES"/>
        </w:rPr>
        <w:t xml:space="preserve">El 23 de septiembre de 1999, a petición del Ministerio Público, el juez federal autorizó la suspensión condicional por dos años del proceso instaurado contra João </w:t>
      </w:r>
      <w:proofErr w:type="spellStart"/>
      <w:r w:rsidR="00CA246A" w:rsidRPr="00470C7C">
        <w:rPr>
          <w:rFonts w:cs="Arial"/>
          <w:szCs w:val="20"/>
          <w:lang w:val="es-ES"/>
        </w:rPr>
        <w:t>Luiz</w:t>
      </w:r>
      <w:proofErr w:type="spellEnd"/>
      <w:r w:rsidR="00CA246A" w:rsidRPr="00470C7C">
        <w:rPr>
          <w:rFonts w:cs="Arial"/>
          <w:szCs w:val="20"/>
          <w:lang w:val="es-ES"/>
        </w:rPr>
        <w:t xml:space="preserve"> </w:t>
      </w:r>
      <w:proofErr w:type="spellStart"/>
      <w:r w:rsidR="00CA246A" w:rsidRPr="00470C7C">
        <w:rPr>
          <w:rFonts w:cs="Arial"/>
          <w:szCs w:val="20"/>
          <w:lang w:val="es-ES"/>
        </w:rPr>
        <w:t>Quagliato</w:t>
      </w:r>
      <w:proofErr w:type="spellEnd"/>
      <w:r w:rsidR="00CA246A" w:rsidRPr="00470C7C">
        <w:rPr>
          <w:rFonts w:cs="Arial"/>
          <w:szCs w:val="20"/>
          <w:lang w:val="es-ES"/>
        </w:rPr>
        <w:t xml:space="preserve"> Neto (</w:t>
      </w:r>
      <w:r w:rsidR="00CA246A" w:rsidRPr="00470C7C">
        <w:rPr>
          <w:rFonts w:cs="Arial"/>
          <w:i/>
          <w:szCs w:val="20"/>
          <w:lang w:val="es-ES"/>
        </w:rPr>
        <w:t>supra</w:t>
      </w:r>
      <w:r w:rsidR="00CA246A" w:rsidRPr="00470C7C">
        <w:rPr>
          <w:rFonts w:cs="Arial"/>
          <w:szCs w:val="20"/>
          <w:lang w:val="es-ES"/>
        </w:rPr>
        <w:t xml:space="preserve"> párr. </w:t>
      </w:r>
      <w:r w:rsidR="000B7430" w:rsidRPr="00470C7C">
        <w:rPr>
          <w:rFonts w:cs="Arial"/>
          <w:szCs w:val="20"/>
          <w:lang w:val="es-ES"/>
        </w:rPr>
        <w:t>149</w:t>
      </w:r>
      <w:r w:rsidR="00CA246A" w:rsidRPr="00470C7C">
        <w:rPr>
          <w:rFonts w:cs="Arial"/>
          <w:szCs w:val="20"/>
          <w:lang w:val="es-ES"/>
        </w:rPr>
        <w:t>).</w:t>
      </w:r>
      <w:r w:rsidR="00CA246A" w:rsidRPr="00470C7C">
        <w:rPr>
          <w:rFonts w:cs="Times New Roman"/>
          <w:szCs w:val="20"/>
          <w:lang w:val="es-ES"/>
        </w:rPr>
        <w:t xml:space="preserve"> </w:t>
      </w:r>
      <w:r w:rsidR="00CA246A" w:rsidRPr="00470C7C">
        <w:rPr>
          <w:rFonts w:cs="Arial"/>
          <w:szCs w:val="20"/>
          <w:lang w:val="es-ES"/>
        </w:rPr>
        <w:t>El 16 de marzo de 2001 el juez federal sustituto a cargo del caso declaró la incompetencia absoluta de la Justicia Federal para juzgar el proceso (</w:t>
      </w:r>
      <w:r w:rsidR="00CA246A" w:rsidRPr="00470C7C">
        <w:rPr>
          <w:rFonts w:cs="Arial"/>
          <w:i/>
          <w:szCs w:val="20"/>
          <w:lang w:val="es-ES"/>
        </w:rPr>
        <w:t>supra</w:t>
      </w:r>
      <w:r w:rsidR="00CA246A" w:rsidRPr="00470C7C">
        <w:rPr>
          <w:rFonts w:cs="Arial"/>
          <w:szCs w:val="20"/>
          <w:lang w:val="es-ES"/>
        </w:rPr>
        <w:t xml:space="preserve"> párr. </w:t>
      </w:r>
      <w:r w:rsidR="000B7430" w:rsidRPr="00470C7C">
        <w:rPr>
          <w:rFonts w:cs="Arial"/>
          <w:szCs w:val="20"/>
          <w:lang w:val="es-ES"/>
        </w:rPr>
        <w:t>151</w:t>
      </w:r>
      <w:r w:rsidR="00CA246A" w:rsidRPr="00470C7C">
        <w:rPr>
          <w:rFonts w:cs="Arial"/>
          <w:szCs w:val="20"/>
          <w:lang w:val="es-ES"/>
        </w:rPr>
        <w:t xml:space="preserve">). El 8 de agosto de 2001 el proceso fue reanudado por la justicia estadual de </w:t>
      </w:r>
      <w:proofErr w:type="spellStart"/>
      <w:r w:rsidR="00CA246A" w:rsidRPr="00470C7C">
        <w:rPr>
          <w:rFonts w:cs="Arial"/>
          <w:szCs w:val="20"/>
          <w:lang w:val="es-ES"/>
        </w:rPr>
        <w:t>Xinguara</w:t>
      </w:r>
      <w:proofErr w:type="spellEnd"/>
      <w:r w:rsidR="00CA246A" w:rsidRPr="00470C7C">
        <w:rPr>
          <w:rFonts w:cs="Arial"/>
          <w:szCs w:val="20"/>
          <w:lang w:val="es-ES"/>
        </w:rPr>
        <w:t xml:space="preserve">, y el 25 de octubre de 2001 la Fiscalía ratificó la denuncia; posteriormente, el 23 de mayo de 2002 el juez acogió la denuncia. El 8 de noviembre de 2004, la justicia estadual se declaró incompetente para conocer del proceso penal, lo cual generó un conflicto de competencias. El 26 de septiembre de 2007 el Superior Tribunal de Justicia informó que había decidido que la jurisdicción competente era la federal. El 11 de diciembre de 2007 se remitió el expediente a la jurisdicción federal de </w:t>
      </w:r>
      <w:proofErr w:type="spellStart"/>
      <w:r w:rsidR="00CA246A" w:rsidRPr="00470C7C">
        <w:rPr>
          <w:rFonts w:cs="Arial"/>
          <w:szCs w:val="20"/>
          <w:lang w:val="es-ES"/>
        </w:rPr>
        <w:t>Marabá</w:t>
      </w:r>
      <w:proofErr w:type="spellEnd"/>
      <w:r w:rsidR="00CA246A" w:rsidRPr="00470C7C">
        <w:rPr>
          <w:rFonts w:cs="Arial"/>
          <w:szCs w:val="20"/>
          <w:lang w:val="es-ES"/>
        </w:rPr>
        <w:t>, Pará (</w:t>
      </w:r>
      <w:r w:rsidR="00CA246A" w:rsidRPr="00470C7C">
        <w:rPr>
          <w:rFonts w:cs="Arial"/>
          <w:i/>
          <w:szCs w:val="20"/>
          <w:lang w:val="es-ES"/>
        </w:rPr>
        <w:t>supra</w:t>
      </w:r>
      <w:r w:rsidR="000B7430" w:rsidRPr="00470C7C">
        <w:rPr>
          <w:rFonts w:cs="Arial"/>
          <w:szCs w:val="20"/>
          <w:lang w:val="es-ES"/>
        </w:rPr>
        <w:t xml:space="preserve"> párr</w:t>
      </w:r>
      <w:r w:rsidR="00CA246A" w:rsidRPr="00470C7C">
        <w:rPr>
          <w:rFonts w:cs="Arial"/>
          <w:szCs w:val="20"/>
          <w:lang w:val="es-ES"/>
        </w:rPr>
        <w:t xml:space="preserve">. </w:t>
      </w:r>
      <w:r w:rsidR="000B7430" w:rsidRPr="00470C7C">
        <w:rPr>
          <w:rFonts w:cs="Arial"/>
          <w:szCs w:val="20"/>
          <w:lang w:val="es-ES"/>
        </w:rPr>
        <w:t>155</w:t>
      </w:r>
      <w:r w:rsidR="00CA246A" w:rsidRPr="00470C7C">
        <w:rPr>
          <w:rFonts w:cs="Arial"/>
          <w:szCs w:val="20"/>
          <w:lang w:val="es-ES"/>
        </w:rPr>
        <w:t>).</w:t>
      </w:r>
    </w:p>
    <w:p w14:paraId="667011F4" w14:textId="77777777" w:rsidR="00CA246A" w:rsidRPr="00470C7C" w:rsidRDefault="00CA246A" w:rsidP="00CA246A">
      <w:pPr>
        <w:pStyle w:val="Prrafodelista"/>
        <w:autoSpaceDE w:val="0"/>
        <w:autoSpaceDN w:val="0"/>
        <w:adjustRightInd w:val="0"/>
        <w:ind w:left="0"/>
        <w:rPr>
          <w:rFonts w:cs="Arial"/>
          <w:szCs w:val="20"/>
          <w:lang w:val="es-ES"/>
        </w:rPr>
      </w:pPr>
    </w:p>
    <w:p w14:paraId="746DB3A6" w14:textId="77777777" w:rsidR="00D81AA1" w:rsidRPr="00470C7C" w:rsidRDefault="00CA246A" w:rsidP="004C2D81">
      <w:pPr>
        <w:pStyle w:val="Prrafodelista"/>
        <w:numPr>
          <w:ilvl w:val="0"/>
          <w:numId w:val="1"/>
        </w:numPr>
        <w:contextualSpacing w:val="0"/>
        <w:rPr>
          <w:rFonts w:cs="Arial"/>
          <w:noProof/>
          <w:szCs w:val="20"/>
        </w:rPr>
      </w:pPr>
      <w:r w:rsidRPr="00470C7C">
        <w:rPr>
          <w:rFonts w:cs="Arial"/>
          <w:szCs w:val="20"/>
          <w:lang w:val="es-ES"/>
        </w:rPr>
        <w:t xml:space="preserve"> El 10 de julio de 2008</w:t>
      </w:r>
      <w:r w:rsidR="00712042" w:rsidRPr="00470C7C">
        <w:rPr>
          <w:rFonts w:cs="Arial"/>
          <w:szCs w:val="20"/>
          <w:lang w:val="es-ES"/>
        </w:rPr>
        <w:t>,</w:t>
      </w:r>
      <w:r w:rsidR="00FF686C" w:rsidRPr="00470C7C">
        <w:rPr>
          <w:rFonts w:cs="Arial"/>
          <w:szCs w:val="20"/>
          <w:lang w:val="es-ES"/>
        </w:rPr>
        <w:t xml:space="preserve"> mediante sentencia judicial, un</w:t>
      </w:r>
      <w:r w:rsidRPr="00470C7C">
        <w:rPr>
          <w:rFonts w:cs="Arial"/>
          <w:szCs w:val="20"/>
          <w:lang w:val="es-ES"/>
        </w:rPr>
        <w:t xml:space="preserve"> Juez Federal de Pará declaró que teniendo en cuenta que habían pasado más de 10 años desde que se había realizado la denuncia, que la pena máxima a aplicarse era de ocho años y que la prescripción de la pena era de 12 años,</w:t>
      </w:r>
      <w:r w:rsidR="00B54FB3" w:rsidRPr="00470C7C">
        <w:rPr>
          <w:rFonts w:cs="Arial"/>
          <w:szCs w:val="20"/>
          <w:lang w:val="es-ES"/>
        </w:rPr>
        <w:t xml:space="preserve"> </w:t>
      </w:r>
      <w:r w:rsidR="004D1879" w:rsidRPr="00470C7C">
        <w:rPr>
          <w:rFonts w:cs="Arial"/>
          <w:szCs w:val="20"/>
          <w:lang w:val="es-ES"/>
        </w:rPr>
        <w:t xml:space="preserve">solo </w:t>
      </w:r>
      <w:r w:rsidRPr="00470C7C">
        <w:rPr>
          <w:rFonts w:cs="Arial"/>
          <w:szCs w:val="20"/>
          <w:lang w:val="es-ES"/>
        </w:rPr>
        <w:t xml:space="preserve">en caso de ser condenados a la pena </w:t>
      </w:r>
      <w:r w:rsidR="00176C77" w:rsidRPr="00470C7C">
        <w:rPr>
          <w:rFonts w:cs="Arial"/>
          <w:szCs w:val="20"/>
          <w:lang w:val="es-ES"/>
        </w:rPr>
        <w:t xml:space="preserve">máxima </w:t>
      </w:r>
      <w:r w:rsidRPr="00470C7C">
        <w:rPr>
          <w:rFonts w:cs="Arial"/>
          <w:szCs w:val="20"/>
          <w:lang w:val="es-ES"/>
        </w:rPr>
        <w:t xml:space="preserve">no se daría la prescripción. Al respecto, el juez afirmó que era bastante improbable que fueran condenados a dicha pena por lo que la prescripción sería inevitable. Con base en lo anterior, así como en la falta de acción por parte del Estado, </w:t>
      </w:r>
      <w:r w:rsidR="00712042" w:rsidRPr="00470C7C">
        <w:rPr>
          <w:rFonts w:cs="Arial"/>
          <w:szCs w:val="20"/>
          <w:lang w:val="es-ES"/>
        </w:rPr>
        <w:t xml:space="preserve">los principios de </w:t>
      </w:r>
      <w:r w:rsidRPr="00470C7C">
        <w:rPr>
          <w:rFonts w:cs="Arial"/>
          <w:szCs w:val="20"/>
          <w:lang w:val="es-ES"/>
        </w:rPr>
        <w:t xml:space="preserve">política criminal y economía procesal, el juez decidió declarar extinta la acción penal respecto de Raimundo Alves da </w:t>
      </w:r>
      <w:r w:rsidRPr="00470C7C">
        <w:rPr>
          <w:rFonts w:cs="Arial"/>
          <w:bCs/>
          <w:szCs w:val="20"/>
          <w:lang w:val="es-ES"/>
        </w:rPr>
        <w:t xml:space="preserve">Rocha y </w:t>
      </w:r>
      <w:proofErr w:type="spellStart"/>
      <w:r w:rsidR="00D60654" w:rsidRPr="00470C7C">
        <w:rPr>
          <w:rFonts w:cs="Arial"/>
          <w:bCs/>
          <w:szCs w:val="20"/>
          <w:lang w:val="es-ES"/>
        </w:rPr>
        <w:t>Antônio</w:t>
      </w:r>
      <w:proofErr w:type="spellEnd"/>
      <w:r w:rsidR="00D60654" w:rsidRPr="00470C7C">
        <w:rPr>
          <w:rFonts w:cs="Arial"/>
          <w:bCs/>
          <w:szCs w:val="20"/>
          <w:lang w:val="es-ES"/>
        </w:rPr>
        <w:t xml:space="preserve"> </w:t>
      </w:r>
      <w:r w:rsidRPr="00470C7C">
        <w:rPr>
          <w:rFonts w:cs="Arial"/>
          <w:bCs/>
          <w:szCs w:val="20"/>
          <w:lang w:val="es-ES"/>
        </w:rPr>
        <w:t xml:space="preserve">Alves Vieira </w:t>
      </w:r>
      <w:r w:rsidRPr="00470C7C">
        <w:rPr>
          <w:rFonts w:cs="Arial"/>
          <w:szCs w:val="20"/>
          <w:lang w:val="es-ES"/>
        </w:rPr>
        <w:t>(</w:t>
      </w:r>
      <w:r w:rsidRPr="00470C7C">
        <w:rPr>
          <w:rFonts w:cs="Arial"/>
          <w:i/>
          <w:szCs w:val="20"/>
          <w:lang w:val="es-ES"/>
        </w:rPr>
        <w:t>supra</w:t>
      </w:r>
      <w:r w:rsidRPr="00470C7C">
        <w:rPr>
          <w:rFonts w:cs="Arial"/>
          <w:szCs w:val="20"/>
          <w:lang w:val="es-ES"/>
        </w:rPr>
        <w:t xml:space="preserve"> párr. </w:t>
      </w:r>
      <w:r w:rsidR="006D753C" w:rsidRPr="00470C7C">
        <w:rPr>
          <w:rFonts w:cs="Arial"/>
          <w:szCs w:val="20"/>
          <w:lang w:val="es-ES"/>
        </w:rPr>
        <w:t>157</w:t>
      </w:r>
      <w:r w:rsidRPr="00470C7C">
        <w:rPr>
          <w:rFonts w:cs="Arial"/>
          <w:szCs w:val="20"/>
          <w:lang w:val="es-ES"/>
        </w:rPr>
        <w:t>)</w:t>
      </w:r>
      <w:r w:rsidRPr="00470C7C">
        <w:rPr>
          <w:rFonts w:cs="Arial"/>
          <w:bCs/>
          <w:szCs w:val="20"/>
          <w:lang w:val="es-ES"/>
        </w:rPr>
        <w:t>.</w:t>
      </w:r>
    </w:p>
    <w:p w14:paraId="2F91EABB" w14:textId="77777777" w:rsidR="00EB4A55" w:rsidRPr="00470C7C" w:rsidRDefault="00EB4A55" w:rsidP="00EB4A55">
      <w:pPr>
        <w:pStyle w:val="Prrafodelista"/>
        <w:rPr>
          <w:rFonts w:cs="Arial"/>
          <w:noProof/>
          <w:szCs w:val="20"/>
        </w:rPr>
      </w:pPr>
    </w:p>
    <w:p w14:paraId="0BE6D27E" w14:textId="77777777" w:rsidR="00EB4A55" w:rsidRPr="00470C7C" w:rsidRDefault="00653CC8" w:rsidP="004C2D81">
      <w:pPr>
        <w:pStyle w:val="Prrafodelista"/>
        <w:numPr>
          <w:ilvl w:val="0"/>
          <w:numId w:val="1"/>
        </w:numPr>
        <w:contextualSpacing w:val="0"/>
        <w:rPr>
          <w:rFonts w:cs="Arial"/>
          <w:noProof/>
          <w:szCs w:val="20"/>
        </w:rPr>
      </w:pPr>
      <w:r w:rsidRPr="00470C7C">
        <w:rPr>
          <w:szCs w:val="20"/>
        </w:rPr>
        <w:t>La</w:t>
      </w:r>
      <w:r w:rsidR="00EB4A55" w:rsidRPr="00470C7C">
        <w:rPr>
          <w:szCs w:val="20"/>
        </w:rPr>
        <w:t xml:space="preserve"> Corte estima que se produjo una demora en el desarrollo del proceso, y que los conflictos de competencia y la falta de actuación diligente por parte de las autoridades judiciales ocasionaron retrasos en el proceso penal. Este Tribunal considera que el Estado no ha demostrado que haya existido una justificación para la inacción de las autoridades judiciales, </w:t>
      </w:r>
      <w:r w:rsidR="00875D9C" w:rsidRPr="00470C7C">
        <w:rPr>
          <w:szCs w:val="20"/>
        </w:rPr>
        <w:t xml:space="preserve">los largos espacios de tiempo sin que existieran actuaciones, </w:t>
      </w:r>
      <w:r w:rsidR="00EB4A55" w:rsidRPr="00470C7C">
        <w:rPr>
          <w:szCs w:val="20"/>
        </w:rPr>
        <w:t>la demora prolongada del proceso penal ni el retraso derivado de los conflictos de competencia. Por ello, la Corte considera</w:t>
      </w:r>
      <w:r w:rsidR="00EB4A55" w:rsidRPr="00470C7C">
        <w:rPr>
          <w:rFonts w:cs="Arial"/>
          <w:szCs w:val="20"/>
        </w:rPr>
        <w:t xml:space="preserve"> que las autoridades judiciales no procuraron en forma diligente que </w:t>
      </w:r>
      <w:r w:rsidR="00594B57" w:rsidRPr="00470C7C">
        <w:rPr>
          <w:rFonts w:cs="Arial"/>
          <w:szCs w:val="20"/>
        </w:rPr>
        <w:t>se llegara a una resolución</w:t>
      </w:r>
      <w:r w:rsidR="00EB4A55" w:rsidRPr="00470C7C">
        <w:rPr>
          <w:rFonts w:cs="Arial"/>
          <w:szCs w:val="20"/>
        </w:rPr>
        <w:t xml:space="preserve"> en e</w:t>
      </w:r>
      <w:r w:rsidR="009E68C2" w:rsidRPr="00470C7C">
        <w:rPr>
          <w:rFonts w:cs="Arial"/>
          <w:szCs w:val="20"/>
        </w:rPr>
        <w:t>se</w:t>
      </w:r>
      <w:r w:rsidR="00EB4A55" w:rsidRPr="00470C7C">
        <w:rPr>
          <w:rFonts w:cs="Arial"/>
          <w:szCs w:val="20"/>
        </w:rPr>
        <w:t xml:space="preserve"> proceso penal.</w:t>
      </w:r>
    </w:p>
    <w:p w14:paraId="3125D4FC" w14:textId="77777777" w:rsidR="004C2D81" w:rsidRPr="00470C7C" w:rsidRDefault="004C2D81" w:rsidP="004C2D81">
      <w:pPr>
        <w:pStyle w:val="Prrafodelista"/>
        <w:ind w:left="0"/>
        <w:contextualSpacing w:val="0"/>
        <w:rPr>
          <w:rFonts w:cs="Arial"/>
          <w:noProof/>
          <w:szCs w:val="20"/>
        </w:rPr>
      </w:pPr>
    </w:p>
    <w:p w14:paraId="13689DA4" w14:textId="77777777" w:rsidR="0039404C" w:rsidRPr="00470C7C" w:rsidRDefault="00D81AA1" w:rsidP="0039404C">
      <w:pPr>
        <w:numPr>
          <w:ilvl w:val="0"/>
          <w:numId w:val="1"/>
        </w:numPr>
        <w:tabs>
          <w:tab w:val="clear" w:pos="4419"/>
          <w:tab w:val="clear" w:pos="8838"/>
        </w:tabs>
        <w:contextualSpacing/>
        <w:jc w:val="both"/>
        <w:rPr>
          <w:szCs w:val="20"/>
        </w:rPr>
      </w:pPr>
      <w:r w:rsidRPr="00470C7C">
        <w:rPr>
          <w:szCs w:val="20"/>
          <w:lang w:val="es-ES"/>
        </w:rPr>
        <w:t xml:space="preserve">Tomando en cuenta que: i) en el presente caso la integridad de los trabajadores de la Hacienda Brasil Verde estaba en riesgo; </w:t>
      </w:r>
      <w:proofErr w:type="spellStart"/>
      <w:r w:rsidRPr="00470C7C">
        <w:rPr>
          <w:szCs w:val="20"/>
          <w:lang w:val="es-ES"/>
        </w:rPr>
        <w:t>ii</w:t>
      </w:r>
      <w:proofErr w:type="spellEnd"/>
      <w:r w:rsidRPr="00470C7C">
        <w:rPr>
          <w:szCs w:val="20"/>
          <w:lang w:val="es-ES"/>
        </w:rPr>
        <w:t xml:space="preserve">) la consecuente urgencia derivada de su situación de trabajo en condiciones análogas a esclavitud, y </w:t>
      </w:r>
      <w:proofErr w:type="spellStart"/>
      <w:r w:rsidRPr="00470C7C">
        <w:rPr>
          <w:szCs w:val="20"/>
          <w:lang w:val="es-ES"/>
        </w:rPr>
        <w:t>iii</w:t>
      </w:r>
      <w:proofErr w:type="spellEnd"/>
      <w:r w:rsidRPr="00470C7C">
        <w:rPr>
          <w:szCs w:val="20"/>
          <w:lang w:val="es-ES"/>
        </w:rPr>
        <w:t xml:space="preserve">) la importancia en la resolución de los procesos para la reparación de los trabajadores, así como para la interrupción de la situación de esclavitud que existía en las haciendas, la Corte considera que existía una obligación especial de actuar con debida diligencia, y que esta obligación no fue cumplida por el Estado. Por lo anterior, </w:t>
      </w:r>
      <w:r w:rsidRPr="00470C7C">
        <w:rPr>
          <w:szCs w:val="20"/>
        </w:rPr>
        <w:t>la Corte concluye que el Estado vulneró la garantía judicial de debida diligencia</w:t>
      </w:r>
      <w:r w:rsidR="00144A58" w:rsidRPr="00470C7C">
        <w:rPr>
          <w:szCs w:val="20"/>
        </w:rPr>
        <w:t>,</w:t>
      </w:r>
      <w:r w:rsidRPr="00470C7C">
        <w:rPr>
          <w:szCs w:val="20"/>
        </w:rPr>
        <w:t xml:space="preserve"> prevista en el artículo 8.1 </w:t>
      </w:r>
      <w:r w:rsidR="00144A58" w:rsidRPr="00470C7C">
        <w:rPr>
          <w:szCs w:val="20"/>
        </w:rPr>
        <w:t xml:space="preserve">de la Convención Americana sobre Derechos Humanos, </w:t>
      </w:r>
      <w:r w:rsidRPr="00470C7C">
        <w:rPr>
          <w:szCs w:val="20"/>
        </w:rPr>
        <w:t xml:space="preserve">en relación con el artículo 1.1 </w:t>
      </w:r>
      <w:r w:rsidR="00144A58" w:rsidRPr="00470C7C">
        <w:rPr>
          <w:szCs w:val="20"/>
        </w:rPr>
        <w:t>del mismo in</w:t>
      </w:r>
      <w:r w:rsidR="0048084C" w:rsidRPr="00470C7C">
        <w:rPr>
          <w:szCs w:val="20"/>
        </w:rPr>
        <w:t>s</w:t>
      </w:r>
      <w:r w:rsidR="00144A58" w:rsidRPr="00470C7C">
        <w:rPr>
          <w:szCs w:val="20"/>
        </w:rPr>
        <w:t>trumento,</w:t>
      </w:r>
      <w:r w:rsidRPr="00470C7C">
        <w:rPr>
          <w:szCs w:val="20"/>
        </w:rPr>
        <w:t xml:space="preserve"> en perjuicio de </w:t>
      </w:r>
      <w:r w:rsidRPr="00470C7C">
        <w:rPr>
          <w:szCs w:val="20"/>
          <w:lang w:val="es-ES"/>
        </w:rPr>
        <w:t xml:space="preserve">los 43 trabajadores de la Hacienda Brasil Verde que se encontraron durante la fiscalización de 23 de abril de 1997 y que fueron identificados por la Corte en el presente litigio </w:t>
      </w:r>
      <w:r w:rsidRPr="00470C7C">
        <w:rPr>
          <w:szCs w:val="20"/>
        </w:rPr>
        <w:t>(</w:t>
      </w:r>
      <w:r w:rsidRPr="00470C7C">
        <w:rPr>
          <w:i/>
          <w:szCs w:val="20"/>
        </w:rPr>
        <w:t>supra</w:t>
      </w:r>
      <w:r w:rsidRPr="00470C7C">
        <w:rPr>
          <w:szCs w:val="20"/>
        </w:rPr>
        <w:t xml:space="preserve"> párr. </w:t>
      </w:r>
      <w:r w:rsidR="00144A58" w:rsidRPr="00470C7C">
        <w:rPr>
          <w:szCs w:val="20"/>
        </w:rPr>
        <w:t>199</w:t>
      </w:r>
      <w:r w:rsidRPr="00470C7C">
        <w:rPr>
          <w:szCs w:val="20"/>
        </w:rPr>
        <w:t>).</w:t>
      </w:r>
      <w:r w:rsidR="0039404C" w:rsidRPr="00470C7C">
        <w:rPr>
          <w:szCs w:val="20"/>
        </w:rPr>
        <w:t xml:space="preserve"> </w:t>
      </w:r>
    </w:p>
    <w:p w14:paraId="2F746B1B" w14:textId="77777777" w:rsidR="0039404C" w:rsidRPr="00470C7C" w:rsidRDefault="0039404C" w:rsidP="0039404C">
      <w:pPr>
        <w:tabs>
          <w:tab w:val="clear" w:pos="4419"/>
          <w:tab w:val="clear" w:pos="8838"/>
        </w:tabs>
        <w:contextualSpacing/>
        <w:jc w:val="both"/>
        <w:rPr>
          <w:szCs w:val="20"/>
        </w:rPr>
      </w:pPr>
    </w:p>
    <w:p w14:paraId="203DAC13" w14:textId="77777777" w:rsidR="0039404C" w:rsidRPr="00470C7C" w:rsidRDefault="0039404C" w:rsidP="00A47A97">
      <w:pPr>
        <w:pStyle w:val="Ttulo3"/>
      </w:pPr>
      <w:bookmarkStart w:id="381" w:name="_Toc464813977"/>
      <w:r w:rsidRPr="00470C7C">
        <w:t>B.2</w:t>
      </w:r>
      <w:r w:rsidR="00DC2886" w:rsidRPr="00470C7C">
        <w:t>.</w:t>
      </w:r>
      <w:r w:rsidRPr="00470C7C">
        <w:t xml:space="preserve"> Plazo razonable</w:t>
      </w:r>
      <w:bookmarkEnd w:id="381"/>
    </w:p>
    <w:p w14:paraId="78FF1064" w14:textId="77777777" w:rsidR="0039404C" w:rsidRPr="00470C7C" w:rsidRDefault="0039404C" w:rsidP="0039404C">
      <w:pPr>
        <w:rPr>
          <w:szCs w:val="20"/>
          <w:lang w:val="es-ES_tradnl"/>
        </w:rPr>
      </w:pPr>
    </w:p>
    <w:p w14:paraId="6C24D512" w14:textId="77777777" w:rsidR="0039404C" w:rsidRPr="00470C7C" w:rsidRDefault="00D81AA1" w:rsidP="0039404C">
      <w:pPr>
        <w:numPr>
          <w:ilvl w:val="0"/>
          <w:numId w:val="1"/>
        </w:numPr>
        <w:tabs>
          <w:tab w:val="clear" w:pos="4419"/>
          <w:tab w:val="clear" w:pos="8838"/>
        </w:tabs>
        <w:contextualSpacing/>
        <w:jc w:val="both"/>
        <w:rPr>
          <w:szCs w:val="20"/>
        </w:rPr>
      </w:pPr>
      <w:r w:rsidRPr="00470C7C">
        <w:rPr>
          <w:szCs w:val="20"/>
          <w:lang w:val="es-ES_tradnl"/>
        </w:rPr>
        <w:t>E</w:t>
      </w:r>
      <w:r w:rsidRPr="00470C7C">
        <w:rPr>
          <w:szCs w:val="20"/>
          <w:lang w:val="es-PE"/>
        </w:rPr>
        <w:t>n cuanto a la celeridad del proceso este Tribunal ha señalado que el “plazo razonable” al que se refiere el artículo 8.1 de la Convención se debe apreciar en relación con la duración total del procedimiento que se desarrolla hasta que se dicta la sentencia definitiva</w:t>
      </w:r>
      <w:r w:rsidRPr="00470C7C">
        <w:rPr>
          <w:rStyle w:val="Refdenotaalpie"/>
          <w:lang w:val="es-PE"/>
        </w:rPr>
        <w:footnoteReference w:id="483"/>
      </w:r>
      <w:r w:rsidRPr="00470C7C">
        <w:rPr>
          <w:szCs w:val="20"/>
          <w:lang w:val="es-PE"/>
        </w:rPr>
        <w:t>. El derecho de acceso a la justicia implica que la solución de la controversia se produzca en tiempo razonable</w:t>
      </w:r>
      <w:r w:rsidRPr="00470C7C">
        <w:rPr>
          <w:rStyle w:val="Refdenotaalpie"/>
          <w:lang w:val="es-PE"/>
        </w:rPr>
        <w:footnoteReference w:id="484"/>
      </w:r>
      <w:r w:rsidRPr="00470C7C">
        <w:rPr>
          <w:szCs w:val="20"/>
          <w:lang w:val="es-PE"/>
        </w:rPr>
        <w:t>, ya que una demora prolongada puede llegar a constituir, por sí misma, una violación de las garantías judiciales</w:t>
      </w:r>
      <w:r w:rsidRPr="00470C7C">
        <w:rPr>
          <w:rStyle w:val="Refdenotaalpie"/>
          <w:lang w:val="es-PE"/>
        </w:rPr>
        <w:footnoteReference w:id="485"/>
      </w:r>
      <w:r w:rsidRPr="00470C7C">
        <w:rPr>
          <w:szCs w:val="20"/>
          <w:lang w:val="es-PE"/>
        </w:rPr>
        <w:t xml:space="preserve">. </w:t>
      </w:r>
    </w:p>
    <w:p w14:paraId="5C0F0069" w14:textId="77777777" w:rsidR="0039404C" w:rsidRPr="00470C7C" w:rsidRDefault="0039404C" w:rsidP="0039404C">
      <w:pPr>
        <w:tabs>
          <w:tab w:val="clear" w:pos="4419"/>
          <w:tab w:val="clear" w:pos="8838"/>
        </w:tabs>
        <w:contextualSpacing/>
        <w:jc w:val="both"/>
        <w:rPr>
          <w:szCs w:val="20"/>
        </w:rPr>
      </w:pPr>
    </w:p>
    <w:p w14:paraId="468F9323" w14:textId="77777777" w:rsidR="0039404C" w:rsidRPr="00470C7C" w:rsidRDefault="00D81AA1" w:rsidP="0039404C">
      <w:pPr>
        <w:numPr>
          <w:ilvl w:val="0"/>
          <w:numId w:val="1"/>
        </w:numPr>
        <w:tabs>
          <w:tab w:val="clear" w:pos="4419"/>
          <w:tab w:val="clear" w:pos="8838"/>
        </w:tabs>
        <w:contextualSpacing/>
        <w:jc w:val="both"/>
        <w:rPr>
          <w:szCs w:val="20"/>
        </w:rPr>
      </w:pPr>
      <w:r w:rsidRPr="00470C7C">
        <w:rPr>
          <w:rFonts w:cs="Arial"/>
          <w:szCs w:val="20"/>
        </w:rPr>
        <w:t xml:space="preserve">Respecto al presunto incumplimiento de la garantía judicial de plazo razonable en el proceso penal, la Corte examinará los cuatro criterios establecidos en su jurisprudencia en la materia: i) la complejidad del asunto; </w:t>
      </w:r>
      <w:proofErr w:type="spellStart"/>
      <w:r w:rsidRPr="00470C7C">
        <w:rPr>
          <w:rFonts w:cs="Arial"/>
          <w:szCs w:val="20"/>
        </w:rPr>
        <w:t>ii</w:t>
      </w:r>
      <w:proofErr w:type="spellEnd"/>
      <w:r w:rsidRPr="00470C7C">
        <w:rPr>
          <w:rFonts w:cs="Arial"/>
          <w:szCs w:val="20"/>
        </w:rPr>
        <w:t xml:space="preserve">) la actividad procesal del interesado; </w:t>
      </w:r>
      <w:proofErr w:type="spellStart"/>
      <w:r w:rsidRPr="00470C7C">
        <w:rPr>
          <w:rFonts w:cs="Arial"/>
          <w:szCs w:val="20"/>
        </w:rPr>
        <w:t>iii</w:t>
      </w:r>
      <w:proofErr w:type="spellEnd"/>
      <w:r w:rsidRPr="00470C7C">
        <w:rPr>
          <w:rFonts w:cs="Arial"/>
          <w:szCs w:val="20"/>
        </w:rPr>
        <w:t xml:space="preserve">) la conducta de las autoridades judiciales, y </w:t>
      </w:r>
      <w:proofErr w:type="spellStart"/>
      <w:r w:rsidRPr="00470C7C">
        <w:rPr>
          <w:rFonts w:cs="Arial"/>
          <w:szCs w:val="20"/>
        </w:rPr>
        <w:t>iv</w:t>
      </w:r>
      <w:proofErr w:type="spellEnd"/>
      <w:r w:rsidRPr="00470C7C">
        <w:rPr>
          <w:rFonts w:cs="Arial"/>
          <w:szCs w:val="20"/>
        </w:rPr>
        <w:t>) la afectación generada en la situación jurídica de la persona involucrada en el proceso</w:t>
      </w:r>
      <w:r w:rsidRPr="00470C7C">
        <w:rPr>
          <w:rStyle w:val="Refdenotaalpie"/>
          <w:rFonts w:cs="Arial"/>
        </w:rPr>
        <w:footnoteReference w:id="486"/>
      </w:r>
      <w:r w:rsidRPr="00470C7C">
        <w:rPr>
          <w:rFonts w:cs="Arial"/>
          <w:szCs w:val="20"/>
        </w:rPr>
        <w:t>. La Corte recuerda que corresponde al Estado justificar, con fundamento en los criterios señalados, la razón por la cual ha requerido del tiempo transcurrido para tratar el caso y, de no demostrarlo, la Corte tiene amplias atribuciones para hacer su propia estimación al respecto</w:t>
      </w:r>
      <w:r w:rsidRPr="00470C7C">
        <w:rPr>
          <w:rStyle w:val="Refdenotaalpie"/>
          <w:rFonts w:cs="Arial"/>
        </w:rPr>
        <w:footnoteReference w:id="487"/>
      </w:r>
      <w:r w:rsidRPr="00470C7C">
        <w:rPr>
          <w:rFonts w:cs="Arial"/>
          <w:szCs w:val="20"/>
        </w:rPr>
        <w:t>.</w:t>
      </w:r>
      <w:r w:rsidR="0039404C" w:rsidRPr="00470C7C">
        <w:rPr>
          <w:rFonts w:cs="Arial"/>
          <w:szCs w:val="20"/>
        </w:rPr>
        <w:t xml:space="preserve"> </w:t>
      </w:r>
    </w:p>
    <w:p w14:paraId="0D0C7B23" w14:textId="77777777" w:rsidR="0039404C" w:rsidRPr="00470C7C" w:rsidRDefault="0039404C" w:rsidP="0039404C">
      <w:pPr>
        <w:pStyle w:val="Prrafodelista"/>
        <w:rPr>
          <w:rFonts w:cs="Arial"/>
          <w:szCs w:val="20"/>
        </w:rPr>
      </w:pPr>
    </w:p>
    <w:p w14:paraId="32DCA3E4" w14:textId="77777777" w:rsidR="001450BB" w:rsidRPr="00470C7C" w:rsidRDefault="00D81AA1" w:rsidP="001450BB">
      <w:pPr>
        <w:numPr>
          <w:ilvl w:val="0"/>
          <w:numId w:val="1"/>
        </w:numPr>
        <w:tabs>
          <w:tab w:val="clear" w:pos="4419"/>
          <w:tab w:val="clear" w:pos="8838"/>
        </w:tabs>
        <w:contextualSpacing/>
        <w:jc w:val="both"/>
        <w:rPr>
          <w:szCs w:val="20"/>
        </w:rPr>
      </w:pPr>
      <w:r w:rsidRPr="00470C7C">
        <w:rPr>
          <w:rFonts w:cs="Arial"/>
          <w:szCs w:val="20"/>
        </w:rPr>
        <w:t>En el presente caso, el proceso penal sobre la inspección realizada en abril de 1997 comenzó con la denuncia presentada por el Ministerio Público Federal en junio del mismo año y concluyó con la declaratoria de prescripción emitida en 2008 (</w:t>
      </w:r>
      <w:r w:rsidRPr="00470C7C">
        <w:rPr>
          <w:rFonts w:cs="Arial"/>
          <w:i/>
          <w:szCs w:val="20"/>
        </w:rPr>
        <w:t xml:space="preserve">supra </w:t>
      </w:r>
      <w:r w:rsidR="00446C55" w:rsidRPr="00470C7C">
        <w:rPr>
          <w:rFonts w:cs="Arial"/>
          <w:szCs w:val="20"/>
        </w:rPr>
        <w:t>párr</w:t>
      </w:r>
      <w:r w:rsidRPr="00470C7C">
        <w:rPr>
          <w:rFonts w:cs="Arial"/>
          <w:szCs w:val="20"/>
        </w:rPr>
        <w:t xml:space="preserve">. </w:t>
      </w:r>
      <w:r w:rsidR="002F0B17" w:rsidRPr="00470C7C">
        <w:rPr>
          <w:rFonts w:cs="Arial"/>
          <w:szCs w:val="20"/>
        </w:rPr>
        <w:t>157</w:t>
      </w:r>
      <w:r w:rsidRPr="00470C7C">
        <w:rPr>
          <w:rFonts w:cs="Arial"/>
          <w:szCs w:val="20"/>
        </w:rPr>
        <w:t xml:space="preserve">), por lo que la duración del proceso fue de aproximadamente 11 años. En vista de lo anterior, la Corte entrará ahora a determinar si el plazo transcurrido es razonable conforme a los criterios establecidos en su jurisprudencia. </w:t>
      </w:r>
    </w:p>
    <w:p w14:paraId="558821D1" w14:textId="77777777" w:rsidR="001450BB" w:rsidRPr="00470C7C" w:rsidRDefault="001450BB" w:rsidP="001450BB">
      <w:pPr>
        <w:pStyle w:val="Prrafodelista"/>
        <w:rPr>
          <w:szCs w:val="20"/>
        </w:rPr>
      </w:pPr>
    </w:p>
    <w:p w14:paraId="62862D69" w14:textId="77777777" w:rsidR="00D81AA1" w:rsidRPr="00470C7C" w:rsidRDefault="00D81AA1" w:rsidP="008B0BCC">
      <w:pPr>
        <w:pStyle w:val="Prrafodelista"/>
        <w:numPr>
          <w:ilvl w:val="0"/>
          <w:numId w:val="23"/>
        </w:numPr>
        <w:rPr>
          <w:i/>
          <w:szCs w:val="20"/>
        </w:rPr>
      </w:pPr>
      <w:r w:rsidRPr="00470C7C">
        <w:rPr>
          <w:i/>
          <w:szCs w:val="20"/>
        </w:rPr>
        <w:t>Complejidad del asunto</w:t>
      </w:r>
    </w:p>
    <w:p w14:paraId="5088F0DB" w14:textId="77777777" w:rsidR="00D81AA1" w:rsidRPr="00470C7C" w:rsidRDefault="00D81AA1" w:rsidP="00D81AA1">
      <w:pPr>
        <w:jc w:val="both"/>
        <w:rPr>
          <w:szCs w:val="20"/>
        </w:rPr>
      </w:pPr>
    </w:p>
    <w:p w14:paraId="308CE7FD" w14:textId="77777777" w:rsidR="00D81AA1" w:rsidRPr="00470C7C" w:rsidRDefault="00D81AA1" w:rsidP="00D81AA1">
      <w:pPr>
        <w:pStyle w:val="Prrafodelista"/>
        <w:numPr>
          <w:ilvl w:val="0"/>
          <w:numId w:val="1"/>
        </w:numPr>
        <w:rPr>
          <w:szCs w:val="20"/>
        </w:rPr>
      </w:pPr>
      <w:r w:rsidRPr="00470C7C">
        <w:rPr>
          <w:rFonts w:cs="Helvetica"/>
          <w:szCs w:val="20"/>
        </w:rPr>
        <w:t>Este Tribunal ha tenido en cuenta diversos criterios para determinar la complejidad de un proceso. Entre ellos, la complejidad de la prueba, la pluralidad de sujetos procesales o la cantidad de víctimas, el tiempo transcurrido desde la violación</w:t>
      </w:r>
      <w:r w:rsidR="00C34197" w:rsidRPr="00470C7C">
        <w:rPr>
          <w:rFonts w:cs="Helvetica"/>
          <w:szCs w:val="20"/>
        </w:rPr>
        <w:t>,</w:t>
      </w:r>
      <w:r w:rsidRPr="00470C7C">
        <w:rPr>
          <w:rFonts w:cs="Helvetica"/>
          <w:szCs w:val="20"/>
        </w:rPr>
        <w:t xml:space="preserve"> las características del recurso consagradas en la legislación interna y el contexto en el que ocurrió la violación</w:t>
      </w:r>
      <w:r w:rsidRPr="00470C7C">
        <w:rPr>
          <w:rStyle w:val="Refdenotaalpie"/>
        </w:rPr>
        <w:footnoteReference w:id="488"/>
      </w:r>
      <w:r w:rsidRPr="00470C7C">
        <w:rPr>
          <w:rFonts w:cs="Helvetica"/>
          <w:szCs w:val="20"/>
        </w:rPr>
        <w:t>.</w:t>
      </w:r>
    </w:p>
    <w:p w14:paraId="28AC9400" w14:textId="77777777" w:rsidR="00D81AA1" w:rsidRPr="00470C7C" w:rsidRDefault="00D81AA1" w:rsidP="00D81AA1">
      <w:pPr>
        <w:pStyle w:val="Prrafodelista"/>
        <w:ind w:left="0"/>
        <w:rPr>
          <w:szCs w:val="20"/>
        </w:rPr>
      </w:pPr>
    </w:p>
    <w:p w14:paraId="7FB69B96" w14:textId="77777777" w:rsidR="00D81AA1" w:rsidRPr="00470C7C" w:rsidRDefault="00D81AA1" w:rsidP="00D81AA1">
      <w:pPr>
        <w:pStyle w:val="Prrafodelista"/>
        <w:numPr>
          <w:ilvl w:val="0"/>
          <w:numId w:val="1"/>
        </w:numPr>
        <w:rPr>
          <w:szCs w:val="20"/>
        </w:rPr>
      </w:pPr>
      <w:r w:rsidRPr="00470C7C">
        <w:rPr>
          <w:rFonts w:cs="BookAntiqua"/>
          <w:szCs w:val="20"/>
          <w:lang w:val="es-CO"/>
        </w:rPr>
        <w:t xml:space="preserve">La Corte observa que en el presente caso las características del proceso no </w:t>
      </w:r>
      <w:r w:rsidRPr="00470C7C">
        <w:rPr>
          <w:rFonts w:cs="Helvetica"/>
          <w:szCs w:val="20"/>
          <w:lang w:val="es-CO"/>
        </w:rPr>
        <w:t xml:space="preserve">configuraban una complejidad particularmente alta. Las denuncias en contra de </w:t>
      </w:r>
      <w:r w:rsidRPr="00470C7C">
        <w:rPr>
          <w:rFonts w:cs="Arial"/>
          <w:szCs w:val="20"/>
          <w:lang w:val="es-CO"/>
        </w:rPr>
        <w:t xml:space="preserve">Raimundo Alves de Rocha, </w:t>
      </w:r>
      <w:proofErr w:type="spellStart"/>
      <w:r w:rsidR="00D60654" w:rsidRPr="00470C7C">
        <w:rPr>
          <w:rFonts w:cs="Arial"/>
          <w:szCs w:val="20"/>
          <w:lang w:val="es-CO"/>
        </w:rPr>
        <w:t>Antônio</w:t>
      </w:r>
      <w:proofErr w:type="spellEnd"/>
      <w:r w:rsidR="00D60654" w:rsidRPr="00470C7C">
        <w:rPr>
          <w:rFonts w:cs="Arial"/>
          <w:szCs w:val="20"/>
          <w:lang w:val="es-CO"/>
        </w:rPr>
        <w:t xml:space="preserve"> </w:t>
      </w:r>
      <w:r w:rsidRPr="00470C7C">
        <w:rPr>
          <w:rFonts w:cs="Arial"/>
          <w:szCs w:val="20"/>
          <w:lang w:val="es-CO"/>
        </w:rPr>
        <w:t xml:space="preserve">Alves Vieira </w:t>
      </w:r>
      <w:r w:rsidRPr="00470C7C">
        <w:rPr>
          <w:rFonts w:cs="Times New Roman"/>
          <w:szCs w:val="20"/>
          <w:lang w:val="es-CO"/>
        </w:rPr>
        <w:t xml:space="preserve">y </w:t>
      </w:r>
      <w:r w:rsidRPr="00470C7C">
        <w:rPr>
          <w:rFonts w:cs="Arial"/>
          <w:szCs w:val="20"/>
          <w:lang w:val="es-CO"/>
        </w:rPr>
        <w:t xml:space="preserve">João </w:t>
      </w:r>
      <w:proofErr w:type="spellStart"/>
      <w:r w:rsidRPr="00470C7C">
        <w:rPr>
          <w:rFonts w:cs="Arial"/>
          <w:szCs w:val="20"/>
          <w:lang w:val="es-CO"/>
        </w:rPr>
        <w:t>Luiz</w:t>
      </w:r>
      <w:proofErr w:type="spellEnd"/>
      <w:r w:rsidRPr="00470C7C">
        <w:rPr>
          <w:rFonts w:cs="Arial"/>
          <w:szCs w:val="20"/>
          <w:lang w:val="es-CO"/>
        </w:rPr>
        <w:t xml:space="preserve"> </w:t>
      </w:r>
      <w:proofErr w:type="spellStart"/>
      <w:r w:rsidRPr="00470C7C">
        <w:rPr>
          <w:rFonts w:cs="Arial"/>
          <w:szCs w:val="20"/>
          <w:lang w:val="es-CO"/>
        </w:rPr>
        <w:t>Quagliato</w:t>
      </w:r>
      <w:proofErr w:type="spellEnd"/>
      <w:r w:rsidRPr="00470C7C">
        <w:rPr>
          <w:rFonts w:cs="Arial"/>
          <w:szCs w:val="20"/>
          <w:lang w:val="es-CO"/>
        </w:rPr>
        <w:t xml:space="preserve"> Neto estaban fundamentadas en la inspección de abril de 1997 a la Hacienda Brasil Verde, y el Ministerio Público Federal contaba con información suficiente para presentar las denuncias. Además, la pluralidad de sujetos procesales tampoco era un inconveniente por ser un grupo delimitado y específico. La Corte no encuentra motivos particulares que podrían justificar una complejidad especial en el caso analizado, que justificara una duración de más de 10 años del proceso. </w:t>
      </w:r>
    </w:p>
    <w:p w14:paraId="1B7BD6A9" w14:textId="77777777" w:rsidR="00D81AA1" w:rsidRPr="00470C7C" w:rsidRDefault="00D81AA1" w:rsidP="00D81AA1">
      <w:pPr>
        <w:jc w:val="both"/>
        <w:rPr>
          <w:szCs w:val="20"/>
        </w:rPr>
      </w:pPr>
    </w:p>
    <w:p w14:paraId="78E6CCF6" w14:textId="77777777" w:rsidR="00D81AA1" w:rsidRPr="00470C7C" w:rsidRDefault="00D81AA1" w:rsidP="008B0BCC">
      <w:pPr>
        <w:pStyle w:val="Ttulo6"/>
        <w:numPr>
          <w:ilvl w:val="0"/>
          <w:numId w:val="23"/>
        </w:numPr>
        <w:jc w:val="both"/>
        <w:rPr>
          <w:i/>
        </w:rPr>
      </w:pPr>
      <w:r w:rsidRPr="00470C7C">
        <w:rPr>
          <w:i/>
        </w:rPr>
        <w:t>Actividad procesal del interesado</w:t>
      </w:r>
    </w:p>
    <w:p w14:paraId="4951E2B7" w14:textId="77777777" w:rsidR="00D81AA1" w:rsidRPr="00470C7C" w:rsidRDefault="00D81AA1" w:rsidP="00D81AA1">
      <w:pPr>
        <w:jc w:val="both"/>
        <w:rPr>
          <w:szCs w:val="20"/>
        </w:rPr>
      </w:pPr>
    </w:p>
    <w:p w14:paraId="65736F4E" w14:textId="77777777" w:rsidR="00D81AA1" w:rsidRPr="00470C7C" w:rsidRDefault="00D81AA1" w:rsidP="00D81AA1">
      <w:pPr>
        <w:numPr>
          <w:ilvl w:val="0"/>
          <w:numId w:val="1"/>
        </w:numPr>
        <w:tabs>
          <w:tab w:val="clear" w:pos="4419"/>
          <w:tab w:val="clear" w:pos="8838"/>
        </w:tabs>
        <w:contextualSpacing/>
        <w:jc w:val="both"/>
        <w:rPr>
          <w:szCs w:val="20"/>
        </w:rPr>
      </w:pPr>
      <w:r w:rsidRPr="00470C7C">
        <w:rPr>
          <w:szCs w:val="20"/>
        </w:rPr>
        <w:t xml:space="preserve">En el presente caso la Corte no encuentra elementos que permitan inferir que existió algún tipo de actividad o conducta por parte de los interesados que entorpeciera el proceso. Por el contrario, la Corte nota que los trabajadores encontrados en la diligencia de 1997, que dio origen a la denuncia penal </w:t>
      </w:r>
      <w:r w:rsidR="00B538FD" w:rsidRPr="00470C7C">
        <w:rPr>
          <w:szCs w:val="20"/>
        </w:rPr>
        <w:t>en junio de 1997</w:t>
      </w:r>
      <w:r w:rsidRPr="00470C7C">
        <w:rPr>
          <w:rFonts w:cs="Arial"/>
          <w:szCs w:val="20"/>
          <w:lang w:val="es-CO"/>
        </w:rPr>
        <w:t>, no pudieron participar en los procesos llevados a cabo por los hechos comprobados en la Hacienda Brasil Verde.</w:t>
      </w:r>
    </w:p>
    <w:p w14:paraId="1881E199" w14:textId="77777777" w:rsidR="00D81AA1" w:rsidRPr="00470C7C" w:rsidRDefault="00D81AA1" w:rsidP="00D81AA1">
      <w:pPr>
        <w:contextualSpacing/>
        <w:jc w:val="both"/>
        <w:rPr>
          <w:szCs w:val="20"/>
        </w:rPr>
      </w:pPr>
    </w:p>
    <w:p w14:paraId="49B87164" w14:textId="77777777" w:rsidR="00D81AA1" w:rsidRPr="00470C7C" w:rsidRDefault="00D81AA1" w:rsidP="00D81AA1">
      <w:pPr>
        <w:numPr>
          <w:ilvl w:val="0"/>
          <w:numId w:val="1"/>
        </w:numPr>
        <w:tabs>
          <w:tab w:val="clear" w:pos="4419"/>
          <w:tab w:val="clear" w:pos="8838"/>
        </w:tabs>
        <w:contextualSpacing/>
        <w:jc w:val="both"/>
        <w:rPr>
          <w:szCs w:val="20"/>
        </w:rPr>
      </w:pPr>
      <w:r w:rsidRPr="00470C7C">
        <w:rPr>
          <w:szCs w:val="20"/>
        </w:rPr>
        <w:t xml:space="preserve">Al respecto, la Corte recuerda que en lo referente al ejercicio del derecho a las garantías judiciales consagrado en el artículo 8 de la Convención Americana, la Corte ha establecido, </w:t>
      </w:r>
      <w:r w:rsidRPr="00470C7C">
        <w:rPr>
          <w:i/>
          <w:szCs w:val="20"/>
        </w:rPr>
        <w:t xml:space="preserve">inter </w:t>
      </w:r>
      <w:proofErr w:type="spellStart"/>
      <w:r w:rsidRPr="00470C7C">
        <w:rPr>
          <w:i/>
          <w:szCs w:val="20"/>
        </w:rPr>
        <w:t>alia</w:t>
      </w:r>
      <w:proofErr w:type="spellEnd"/>
      <w:r w:rsidRPr="00470C7C">
        <w:rPr>
          <w:szCs w:val="20"/>
        </w:rPr>
        <w:t>, que “es preciso que se observen todos los requisitos que sirvan para proteger, asegurar o hacer valer la titularidad o el ejercicio de un derecho, es decir, las condiciones que deben cumplirse para asegurar la adecuada representación o gestión de los intereses o las pretensiones de aquellos cuyos derechos u obligaciones estén bajo consideración judicial”</w:t>
      </w:r>
      <w:r w:rsidRPr="00470C7C">
        <w:rPr>
          <w:rStyle w:val="Refdenotaalpie"/>
        </w:rPr>
        <w:footnoteReference w:id="489"/>
      </w:r>
      <w:r w:rsidRPr="00470C7C">
        <w:rPr>
          <w:szCs w:val="20"/>
        </w:rPr>
        <w:t xml:space="preserve">. </w:t>
      </w:r>
    </w:p>
    <w:p w14:paraId="43E2D5C1" w14:textId="77777777" w:rsidR="00D81AA1" w:rsidRPr="00470C7C" w:rsidRDefault="00D81AA1" w:rsidP="00D81AA1">
      <w:pPr>
        <w:pStyle w:val="Prrafodelista"/>
        <w:rPr>
          <w:szCs w:val="20"/>
        </w:rPr>
      </w:pPr>
    </w:p>
    <w:p w14:paraId="702F3171" w14:textId="77777777" w:rsidR="00D81AA1" w:rsidRPr="00470C7C" w:rsidRDefault="00D81AA1" w:rsidP="00D81AA1">
      <w:pPr>
        <w:numPr>
          <w:ilvl w:val="0"/>
          <w:numId w:val="1"/>
        </w:numPr>
        <w:tabs>
          <w:tab w:val="clear" w:pos="4419"/>
          <w:tab w:val="clear" w:pos="8838"/>
        </w:tabs>
        <w:contextualSpacing/>
        <w:jc w:val="both"/>
        <w:rPr>
          <w:szCs w:val="20"/>
        </w:rPr>
      </w:pPr>
      <w:r w:rsidRPr="00470C7C">
        <w:rPr>
          <w:rFonts w:cs="Verdana"/>
          <w:szCs w:val="20"/>
        </w:rPr>
        <w:t xml:space="preserve">Además, </w:t>
      </w:r>
      <w:r w:rsidRPr="00470C7C">
        <w:rPr>
          <w:rFonts w:eastAsia="Calibri" w:cs="Verdana"/>
          <w:szCs w:val="20"/>
        </w:rPr>
        <w:t>El Tribunal recuerda que, de conformidad con el derecho reconocido en el artículo 8.1 de la Convención Americana, en relación con el artículo 1.1 de la misma, los Estados tienen la obligación de garantizar el derecho de las víctimas o sus familiares de participar en todas las etapas de los respectivos procesos, de manera que puedan hacer planteamientos, recibir informaciones, aportar pruebas, formular alegaciones y, en síntesis, hacer valer sus derechos</w:t>
      </w:r>
      <w:r w:rsidRPr="00470C7C">
        <w:rPr>
          <w:rStyle w:val="Refdenotaalpie"/>
          <w:rFonts w:eastAsia="Calibri"/>
        </w:rPr>
        <w:footnoteReference w:id="490"/>
      </w:r>
      <w:r w:rsidRPr="00470C7C">
        <w:rPr>
          <w:rFonts w:eastAsia="Calibri" w:cs="Verdana"/>
          <w:szCs w:val="20"/>
        </w:rPr>
        <w:t>. Dicha participación deberá tener como finalidad el acceso a la justicia, el conocimiento de la verdad de lo ocurrido y el otorgamiento de una justa reparación</w:t>
      </w:r>
      <w:r w:rsidRPr="00470C7C">
        <w:rPr>
          <w:rStyle w:val="Refdenotaalpie"/>
          <w:rFonts w:eastAsia="Calibri"/>
        </w:rPr>
        <w:footnoteReference w:id="491"/>
      </w:r>
      <w:r w:rsidRPr="00470C7C">
        <w:rPr>
          <w:rFonts w:eastAsia="Calibri" w:cs="Verdana"/>
          <w:szCs w:val="20"/>
        </w:rPr>
        <w:t xml:space="preserve">. </w:t>
      </w:r>
      <w:r w:rsidRPr="00470C7C">
        <w:rPr>
          <w:rFonts w:cs="Verdana"/>
          <w:szCs w:val="20"/>
        </w:rPr>
        <w:t>Sin embargo, la búsqueda efectiva de la verdad corresponde al Estado, y no depende de la iniciativa procesal de la víctima, o de sus familiares o de la aportación privada de elementos probatorios</w:t>
      </w:r>
      <w:r w:rsidRPr="00470C7C">
        <w:rPr>
          <w:rStyle w:val="Refdenotaalpie"/>
          <w:rFonts w:cs="Verdana"/>
        </w:rPr>
        <w:footnoteReference w:id="492"/>
      </w:r>
      <w:r w:rsidRPr="00470C7C">
        <w:rPr>
          <w:rFonts w:cs="Verdana"/>
          <w:szCs w:val="20"/>
        </w:rPr>
        <w:t xml:space="preserve">. En el presente caso la acción penal era de titularidad del Ministerio Público Federal por tratarse de un crimen de “acción penal pública incondicionada”. </w:t>
      </w:r>
    </w:p>
    <w:p w14:paraId="5D889E35" w14:textId="77777777" w:rsidR="00D81AA1" w:rsidRPr="00470C7C" w:rsidRDefault="00D81AA1" w:rsidP="00D81AA1">
      <w:pPr>
        <w:jc w:val="both"/>
        <w:rPr>
          <w:szCs w:val="20"/>
        </w:rPr>
      </w:pPr>
    </w:p>
    <w:p w14:paraId="5D2A2F4B" w14:textId="77777777" w:rsidR="00D81AA1" w:rsidRPr="00470C7C" w:rsidRDefault="00D81AA1" w:rsidP="008B0BCC">
      <w:pPr>
        <w:pStyle w:val="Prrafodelista"/>
        <w:numPr>
          <w:ilvl w:val="0"/>
          <w:numId w:val="23"/>
        </w:numPr>
        <w:tabs>
          <w:tab w:val="right" w:pos="0"/>
        </w:tabs>
        <w:rPr>
          <w:i/>
          <w:szCs w:val="20"/>
        </w:rPr>
      </w:pPr>
      <w:r w:rsidRPr="00470C7C">
        <w:rPr>
          <w:i/>
          <w:szCs w:val="20"/>
        </w:rPr>
        <w:t>Conducta de las autoridades judiciales</w:t>
      </w:r>
    </w:p>
    <w:p w14:paraId="36653A7F" w14:textId="77777777" w:rsidR="00D81AA1" w:rsidRPr="00470C7C" w:rsidRDefault="00D81AA1" w:rsidP="00D81AA1">
      <w:pPr>
        <w:jc w:val="both"/>
        <w:rPr>
          <w:szCs w:val="20"/>
        </w:rPr>
      </w:pPr>
    </w:p>
    <w:p w14:paraId="6481E357" w14:textId="77777777" w:rsidR="00D81AA1" w:rsidRPr="00470C7C" w:rsidRDefault="00D81AA1" w:rsidP="00D81AA1">
      <w:pPr>
        <w:numPr>
          <w:ilvl w:val="0"/>
          <w:numId w:val="1"/>
        </w:numPr>
        <w:tabs>
          <w:tab w:val="clear" w:pos="4419"/>
          <w:tab w:val="clear" w:pos="8838"/>
        </w:tabs>
        <w:contextualSpacing/>
        <w:jc w:val="both"/>
        <w:rPr>
          <w:szCs w:val="20"/>
        </w:rPr>
      </w:pPr>
      <w:r w:rsidRPr="00470C7C">
        <w:rPr>
          <w:rFonts w:cs="Arial"/>
          <w:szCs w:val="20"/>
        </w:rPr>
        <w:t>La</w:t>
      </w:r>
      <w:r w:rsidRPr="00470C7C">
        <w:rPr>
          <w:rFonts w:cs="Arial"/>
          <w:szCs w:val="20"/>
          <w:lang w:val="es-CO"/>
        </w:rPr>
        <w:t xml:space="preserve"> Corte recuerda que en el presente caso la denuncia penal fue presentada el 30 de junio de 1997 y fue hasta el </w:t>
      </w:r>
      <w:r w:rsidR="00D4212F" w:rsidRPr="00470C7C">
        <w:rPr>
          <w:rFonts w:cs="Arial"/>
          <w:szCs w:val="20"/>
          <w:lang w:val="es-CO"/>
        </w:rPr>
        <w:t>13</w:t>
      </w:r>
      <w:r w:rsidRPr="00470C7C">
        <w:rPr>
          <w:rFonts w:cs="Arial"/>
          <w:szCs w:val="20"/>
          <w:lang w:val="es-CO"/>
        </w:rPr>
        <w:t xml:space="preserve"> de </w:t>
      </w:r>
      <w:r w:rsidR="00D4212F" w:rsidRPr="00470C7C">
        <w:rPr>
          <w:rFonts w:cs="Arial"/>
          <w:szCs w:val="20"/>
          <w:lang w:val="es-CO"/>
        </w:rPr>
        <w:t>septiembre</w:t>
      </w:r>
      <w:r w:rsidRPr="00470C7C">
        <w:rPr>
          <w:rFonts w:cs="Arial"/>
          <w:szCs w:val="20"/>
          <w:lang w:val="es-CO"/>
        </w:rPr>
        <w:t xml:space="preserve"> de 1999 que se realizó la audiencia </w:t>
      </w:r>
      <w:r w:rsidR="00D4212F" w:rsidRPr="00470C7C">
        <w:rPr>
          <w:rFonts w:cs="Arial"/>
          <w:szCs w:val="20"/>
          <w:lang w:val="es-CO"/>
        </w:rPr>
        <w:t xml:space="preserve">preliminar del acusado </w:t>
      </w:r>
      <w:proofErr w:type="spellStart"/>
      <w:r w:rsidR="00D4212F" w:rsidRPr="00470C7C">
        <w:rPr>
          <w:rFonts w:cs="Arial"/>
          <w:szCs w:val="20"/>
          <w:lang w:val="es-CO"/>
        </w:rPr>
        <w:t>Quagliato</w:t>
      </w:r>
      <w:proofErr w:type="spellEnd"/>
      <w:r w:rsidR="00D4212F" w:rsidRPr="00470C7C">
        <w:rPr>
          <w:rFonts w:cs="Arial"/>
          <w:szCs w:val="20"/>
          <w:lang w:val="es-CO"/>
        </w:rPr>
        <w:t xml:space="preserve"> Neto</w:t>
      </w:r>
      <w:r w:rsidRPr="00470C7C">
        <w:rPr>
          <w:rFonts w:cs="Arial"/>
          <w:szCs w:val="20"/>
          <w:lang w:val="es-CO"/>
        </w:rPr>
        <w:t xml:space="preserve"> (</w:t>
      </w:r>
      <w:r w:rsidRPr="00470C7C">
        <w:rPr>
          <w:rFonts w:cs="Arial"/>
          <w:i/>
          <w:szCs w:val="20"/>
          <w:lang w:val="es-CO"/>
        </w:rPr>
        <w:t>supra</w:t>
      </w:r>
      <w:r w:rsidRPr="00470C7C">
        <w:rPr>
          <w:rFonts w:cs="Arial"/>
          <w:szCs w:val="20"/>
          <w:lang w:val="es-CO"/>
        </w:rPr>
        <w:t xml:space="preserve"> párr. </w:t>
      </w:r>
      <w:r w:rsidR="00D4212F" w:rsidRPr="00470C7C">
        <w:rPr>
          <w:rFonts w:cs="Arial"/>
          <w:szCs w:val="20"/>
          <w:lang w:val="es-CO"/>
        </w:rPr>
        <w:t>149</w:t>
      </w:r>
      <w:r w:rsidRPr="00470C7C">
        <w:rPr>
          <w:rFonts w:cs="Arial"/>
          <w:szCs w:val="20"/>
          <w:lang w:val="es-CO"/>
        </w:rPr>
        <w:t xml:space="preserve">). Posteriormente, el 16 de marzo de 2001 el juez federal declaró su incompetencia para conocer el caso y envió el expediente a la jurisdicción estadual de Pará. El 28 de mayo de 2002 se declaró extinta la acción penal contra João </w:t>
      </w:r>
      <w:proofErr w:type="spellStart"/>
      <w:r w:rsidRPr="00470C7C">
        <w:rPr>
          <w:rFonts w:cs="Arial"/>
          <w:szCs w:val="20"/>
          <w:lang w:val="es-CO"/>
        </w:rPr>
        <w:t>Luiz</w:t>
      </w:r>
      <w:proofErr w:type="spellEnd"/>
      <w:r w:rsidRPr="00470C7C">
        <w:rPr>
          <w:rFonts w:cs="Arial"/>
          <w:szCs w:val="20"/>
          <w:lang w:val="es-CO"/>
        </w:rPr>
        <w:t xml:space="preserve"> </w:t>
      </w:r>
      <w:proofErr w:type="spellStart"/>
      <w:r w:rsidRPr="00470C7C">
        <w:rPr>
          <w:rFonts w:cs="Arial"/>
          <w:szCs w:val="20"/>
          <w:lang w:val="es-CO"/>
        </w:rPr>
        <w:t>Quagliato</w:t>
      </w:r>
      <w:proofErr w:type="spellEnd"/>
      <w:r w:rsidRPr="00470C7C">
        <w:rPr>
          <w:rFonts w:cs="Arial"/>
          <w:szCs w:val="20"/>
          <w:lang w:val="es-CO"/>
        </w:rPr>
        <w:t xml:space="preserve"> Neto, y el 8 de noviembre de 2004 el juez estadual declaró su incompetencia para conocer el caso y regresó el expediente a la jurisdicción federal. En los largos lapsos de tiempo entre las actuaciones mencionadas no se realizaron diligencias de relevancia procesal. El 26 de septiembre de 2006 el Superior </w:t>
      </w:r>
      <w:r w:rsidR="00245EDE" w:rsidRPr="00470C7C">
        <w:rPr>
          <w:rFonts w:cs="Arial"/>
          <w:szCs w:val="20"/>
          <w:lang w:val="es-CO"/>
        </w:rPr>
        <w:t xml:space="preserve">Tribunal </w:t>
      </w:r>
      <w:r w:rsidRPr="00470C7C">
        <w:rPr>
          <w:rFonts w:cs="Arial"/>
          <w:szCs w:val="20"/>
          <w:lang w:val="es-CO"/>
        </w:rPr>
        <w:t xml:space="preserve">de Justicia (STJ) determinó que la jurisdicción competente era la federal y se le remitió el expediente al Juzgado Federal de primera instancia de </w:t>
      </w:r>
      <w:proofErr w:type="spellStart"/>
      <w:r w:rsidRPr="00470C7C">
        <w:rPr>
          <w:rFonts w:cs="Arial"/>
          <w:szCs w:val="20"/>
          <w:lang w:val="es-CO"/>
        </w:rPr>
        <w:t>Marabá</w:t>
      </w:r>
      <w:proofErr w:type="spellEnd"/>
      <w:r w:rsidRPr="00470C7C">
        <w:rPr>
          <w:rFonts w:cs="Arial"/>
          <w:szCs w:val="20"/>
          <w:lang w:val="es-CO"/>
        </w:rPr>
        <w:t xml:space="preserve">. Finalmente, el 10 de julio de 2008 el MPF presentó sus alegatos finales y pidió la extinción de la acción penal contra Raimundo Alves de Rocha y </w:t>
      </w:r>
      <w:proofErr w:type="spellStart"/>
      <w:r w:rsidR="00D60654" w:rsidRPr="00470C7C">
        <w:rPr>
          <w:rFonts w:cs="Arial"/>
          <w:szCs w:val="20"/>
          <w:lang w:val="es-CO"/>
        </w:rPr>
        <w:t>Antônio</w:t>
      </w:r>
      <w:proofErr w:type="spellEnd"/>
      <w:r w:rsidR="00D60654" w:rsidRPr="00470C7C">
        <w:rPr>
          <w:rFonts w:cs="Arial"/>
          <w:szCs w:val="20"/>
          <w:lang w:val="es-CO"/>
        </w:rPr>
        <w:t xml:space="preserve"> </w:t>
      </w:r>
      <w:r w:rsidRPr="00470C7C">
        <w:rPr>
          <w:rFonts w:cs="Arial"/>
          <w:szCs w:val="20"/>
          <w:lang w:val="es-CO"/>
        </w:rPr>
        <w:t>Alves Vieira. Ese mismo día el juez federal declaró extinta la acción penal en su contra, en aplicación de una forma particular de la prescripción (</w:t>
      </w:r>
      <w:r w:rsidRPr="00470C7C">
        <w:rPr>
          <w:rFonts w:cs="Arial"/>
          <w:i/>
          <w:szCs w:val="20"/>
          <w:lang w:val="es-CO"/>
        </w:rPr>
        <w:t>supra</w:t>
      </w:r>
      <w:r w:rsidRPr="00470C7C">
        <w:rPr>
          <w:rFonts w:cs="Arial"/>
          <w:szCs w:val="20"/>
          <w:lang w:val="es-CO"/>
        </w:rPr>
        <w:t xml:space="preserve"> </w:t>
      </w:r>
      <w:proofErr w:type="spellStart"/>
      <w:r w:rsidRPr="00470C7C">
        <w:rPr>
          <w:rFonts w:cs="Arial"/>
          <w:szCs w:val="20"/>
          <w:lang w:val="es-CO"/>
        </w:rPr>
        <w:t>párrs</w:t>
      </w:r>
      <w:proofErr w:type="spellEnd"/>
      <w:r w:rsidRPr="00470C7C">
        <w:rPr>
          <w:rFonts w:cs="Arial"/>
          <w:szCs w:val="20"/>
          <w:lang w:val="es-CO"/>
        </w:rPr>
        <w:t xml:space="preserve">. </w:t>
      </w:r>
      <w:r w:rsidR="000B7430" w:rsidRPr="00470C7C">
        <w:rPr>
          <w:rFonts w:cs="Arial"/>
          <w:szCs w:val="20"/>
          <w:lang w:val="es-CO"/>
        </w:rPr>
        <w:t>156 y 157</w:t>
      </w:r>
      <w:r w:rsidRPr="00470C7C">
        <w:rPr>
          <w:rFonts w:cs="Arial"/>
          <w:szCs w:val="20"/>
          <w:lang w:val="es-CO"/>
        </w:rPr>
        <w:t>).</w:t>
      </w:r>
    </w:p>
    <w:p w14:paraId="65FB6C33" w14:textId="77777777" w:rsidR="00D81AA1" w:rsidRPr="00470C7C" w:rsidRDefault="00D81AA1" w:rsidP="00D81AA1">
      <w:pPr>
        <w:contextualSpacing/>
        <w:jc w:val="both"/>
        <w:rPr>
          <w:szCs w:val="20"/>
        </w:rPr>
      </w:pPr>
    </w:p>
    <w:p w14:paraId="7972DA6F" w14:textId="77777777" w:rsidR="00176C77" w:rsidRPr="00470C7C" w:rsidRDefault="00D81AA1" w:rsidP="00C66702">
      <w:pPr>
        <w:numPr>
          <w:ilvl w:val="0"/>
          <w:numId w:val="1"/>
        </w:numPr>
        <w:tabs>
          <w:tab w:val="clear" w:pos="4419"/>
          <w:tab w:val="clear" w:pos="8838"/>
        </w:tabs>
        <w:contextualSpacing/>
        <w:jc w:val="both"/>
        <w:rPr>
          <w:szCs w:val="20"/>
        </w:rPr>
      </w:pPr>
      <w:r w:rsidRPr="00470C7C">
        <w:rPr>
          <w:szCs w:val="20"/>
        </w:rPr>
        <w:t xml:space="preserve">En vista de lo anterior, esta Corte estima que </w:t>
      </w:r>
      <w:r w:rsidR="00773BBB" w:rsidRPr="00470C7C">
        <w:rPr>
          <w:szCs w:val="20"/>
        </w:rPr>
        <w:t xml:space="preserve">existieron retrasos en el proceso penal que obedecieron a </w:t>
      </w:r>
      <w:r w:rsidRPr="00470C7C">
        <w:rPr>
          <w:szCs w:val="20"/>
        </w:rPr>
        <w:t xml:space="preserve">los conflictos de competencia y la falta de actuación diligente por parte de las autoridades judiciales. </w:t>
      </w:r>
      <w:r w:rsidR="00A779B8" w:rsidRPr="00470C7C">
        <w:rPr>
          <w:szCs w:val="20"/>
        </w:rPr>
        <w:t>La Corte</w:t>
      </w:r>
      <w:r w:rsidRPr="00470C7C">
        <w:rPr>
          <w:szCs w:val="20"/>
        </w:rPr>
        <w:t xml:space="preserve"> considera que </w:t>
      </w:r>
      <w:r w:rsidR="00A779B8" w:rsidRPr="00470C7C">
        <w:rPr>
          <w:szCs w:val="20"/>
        </w:rPr>
        <w:t>no se han presentado razones que expliquen</w:t>
      </w:r>
      <w:r w:rsidRPr="00470C7C">
        <w:rPr>
          <w:szCs w:val="20"/>
        </w:rPr>
        <w:t xml:space="preserve"> la inacción </w:t>
      </w:r>
      <w:r w:rsidR="00A779B8" w:rsidRPr="00470C7C">
        <w:rPr>
          <w:szCs w:val="20"/>
        </w:rPr>
        <w:t>de las autoridades judiciales</w:t>
      </w:r>
      <w:r w:rsidRPr="00470C7C">
        <w:rPr>
          <w:szCs w:val="20"/>
        </w:rPr>
        <w:t xml:space="preserve"> ni el retraso derivado de los conflictos de competencia. Por ello, la Corte considera</w:t>
      </w:r>
      <w:r w:rsidRPr="00470C7C">
        <w:rPr>
          <w:rFonts w:cs="Arial"/>
          <w:szCs w:val="20"/>
        </w:rPr>
        <w:t xml:space="preserve"> que las autoridades judiciales no procuraron en forma diligente que el plazo razonable </w:t>
      </w:r>
      <w:r w:rsidR="00FB5B8D" w:rsidRPr="00470C7C">
        <w:rPr>
          <w:rFonts w:cs="Arial"/>
          <w:szCs w:val="20"/>
        </w:rPr>
        <w:t>fuera respetado</w:t>
      </w:r>
      <w:r w:rsidRPr="00470C7C">
        <w:rPr>
          <w:rFonts w:cs="Arial"/>
          <w:szCs w:val="20"/>
        </w:rPr>
        <w:t xml:space="preserve"> en el proceso penal.</w:t>
      </w:r>
    </w:p>
    <w:p w14:paraId="4632C278" w14:textId="77777777" w:rsidR="00C66702" w:rsidRPr="00470C7C" w:rsidRDefault="00C66702" w:rsidP="00C66702">
      <w:pPr>
        <w:tabs>
          <w:tab w:val="clear" w:pos="4419"/>
          <w:tab w:val="clear" w:pos="8838"/>
        </w:tabs>
        <w:contextualSpacing/>
        <w:jc w:val="both"/>
        <w:rPr>
          <w:szCs w:val="20"/>
        </w:rPr>
      </w:pPr>
    </w:p>
    <w:p w14:paraId="245B5009" w14:textId="77777777" w:rsidR="00D81AA1" w:rsidRPr="00470C7C" w:rsidRDefault="00D81AA1" w:rsidP="00D81AA1">
      <w:pPr>
        <w:numPr>
          <w:ilvl w:val="0"/>
          <w:numId w:val="1"/>
        </w:numPr>
        <w:tabs>
          <w:tab w:val="clear" w:pos="4419"/>
          <w:tab w:val="clear" w:pos="8838"/>
        </w:tabs>
        <w:contextualSpacing/>
        <w:jc w:val="both"/>
        <w:rPr>
          <w:szCs w:val="20"/>
        </w:rPr>
      </w:pPr>
      <w:r w:rsidRPr="00470C7C">
        <w:rPr>
          <w:rFonts w:cs="Arial"/>
          <w:szCs w:val="20"/>
        </w:rPr>
        <w:t>En lo que respecta a la prescripción de la acción penal, la Corte observa que la misma fue aplicada conforme a la interpretación de la legislación brasileña vigente al momento de los hechos. No obstante lo anterior, la Corte nota que</w:t>
      </w:r>
      <w:r w:rsidRPr="00470C7C">
        <w:rPr>
          <w:szCs w:val="20"/>
        </w:rPr>
        <w:t xml:space="preserve"> la prescripción obedeció a que “</w:t>
      </w:r>
      <w:r w:rsidRPr="00470C7C">
        <w:rPr>
          <w:rFonts w:cs="Arial"/>
          <w:szCs w:val="20"/>
          <w:lang w:val="es-ES"/>
        </w:rPr>
        <w:t>habían pasado más de 10 años desde que se había realizado la denuncia, que la pena máxima a aplicarse era de ocho años y que la prescripción de la pena era de 12 años, [por lo que]</w:t>
      </w:r>
      <w:r w:rsidR="00B54FB3" w:rsidRPr="00470C7C">
        <w:rPr>
          <w:rFonts w:cs="Arial"/>
          <w:szCs w:val="20"/>
          <w:lang w:val="es-ES"/>
        </w:rPr>
        <w:t xml:space="preserve"> </w:t>
      </w:r>
      <w:r w:rsidR="004D1879" w:rsidRPr="00470C7C">
        <w:rPr>
          <w:rFonts w:cs="Arial"/>
          <w:szCs w:val="20"/>
          <w:lang w:val="es-ES"/>
        </w:rPr>
        <w:t xml:space="preserve">solo </w:t>
      </w:r>
      <w:r w:rsidRPr="00470C7C">
        <w:rPr>
          <w:rFonts w:cs="Arial"/>
          <w:szCs w:val="20"/>
          <w:lang w:val="es-ES"/>
        </w:rPr>
        <w:t xml:space="preserve">en caso de [que fueran] condenados a la pena </w:t>
      </w:r>
      <w:r w:rsidR="00176C77" w:rsidRPr="00470C7C">
        <w:rPr>
          <w:rFonts w:cs="Arial"/>
          <w:szCs w:val="20"/>
          <w:lang w:val="es-ES"/>
        </w:rPr>
        <w:t xml:space="preserve">máxima </w:t>
      </w:r>
      <w:r w:rsidRPr="00470C7C">
        <w:rPr>
          <w:rFonts w:cs="Arial"/>
          <w:szCs w:val="20"/>
          <w:lang w:val="es-ES"/>
        </w:rPr>
        <w:t>no se daría la prescripción”</w:t>
      </w:r>
      <w:r w:rsidRPr="00470C7C">
        <w:rPr>
          <w:szCs w:val="20"/>
        </w:rPr>
        <w:t xml:space="preserve">. El paso del tiempo que eventualmente provocó la prescripción es resultado de la falta de diligencia de las autoridades </w:t>
      </w:r>
      <w:r w:rsidRPr="00470C7C">
        <w:rPr>
          <w:szCs w:val="20"/>
          <w:lang w:val="es-CL"/>
        </w:rPr>
        <w:t>judiciales brasileñas, sobre quienes recaía la responsabilidad de tomar todas las medidas necesarias para investigar, juzgar y, en su caso, sancionar a los responsables</w:t>
      </w:r>
      <w:r w:rsidRPr="00470C7C">
        <w:rPr>
          <w:rStyle w:val="Refdenotaalpie"/>
          <w:lang w:val="es-CL"/>
        </w:rPr>
        <w:footnoteReference w:id="493"/>
      </w:r>
      <w:r w:rsidRPr="00470C7C">
        <w:rPr>
          <w:szCs w:val="20"/>
        </w:rPr>
        <w:t>, y</w:t>
      </w:r>
      <w:r w:rsidR="00CE556A" w:rsidRPr="00470C7C">
        <w:rPr>
          <w:szCs w:val="20"/>
        </w:rPr>
        <w:t>,</w:t>
      </w:r>
      <w:r w:rsidRPr="00470C7C">
        <w:rPr>
          <w:szCs w:val="20"/>
        </w:rPr>
        <w:t xml:space="preserve"> como tal</w:t>
      </w:r>
      <w:r w:rsidR="00CE556A" w:rsidRPr="00470C7C">
        <w:rPr>
          <w:szCs w:val="20"/>
        </w:rPr>
        <w:t>,</w:t>
      </w:r>
      <w:r w:rsidRPr="00470C7C">
        <w:rPr>
          <w:szCs w:val="20"/>
        </w:rPr>
        <w:t xml:space="preserve"> es una cuestión que es atribuible al Estado.</w:t>
      </w:r>
      <w:r w:rsidRPr="00470C7C">
        <w:rPr>
          <w:rFonts w:cs="Arial"/>
          <w:szCs w:val="20"/>
          <w:lang w:val="es-CO"/>
        </w:rPr>
        <w:t xml:space="preserve"> En vista de lo anterior, l</w:t>
      </w:r>
      <w:r w:rsidRPr="00470C7C">
        <w:rPr>
          <w:szCs w:val="20"/>
        </w:rPr>
        <w:t>a Corte considera</w:t>
      </w:r>
      <w:r w:rsidRPr="00470C7C">
        <w:rPr>
          <w:rFonts w:cs="Arial"/>
          <w:szCs w:val="20"/>
        </w:rPr>
        <w:t xml:space="preserve"> que las autoridades no procuraron en forma diligente el avance del proceso, lo que culminó en la prescripción de la acción penal. </w:t>
      </w:r>
    </w:p>
    <w:p w14:paraId="5E1A25F6" w14:textId="77777777" w:rsidR="001450BB" w:rsidRPr="00470C7C" w:rsidRDefault="001450BB" w:rsidP="001450BB">
      <w:pPr>
        <w:pStyle w:val="Ttulo6"/>
        <w:tabs>
          <w:tab w:val="clear" w:pos="3600"/>
        </w:tabs>
        <w:ind w:left="0" w:firstLine="0"/>
        <w:jc w:val="both"/>
        <w:rPr>
          <w:rFonts w:eastAsiaTheme="minorHAnsi" w:cstheme="minorBidi"/>
          <w:spacing w:val="0"/>
          <w:szCs w:val="22"/>
          <w:lang w:val="es-CR" w:eastAsia="en-US"/>
        </w:rPr>
      </w:pPr>
    </w:p>
    <w:p w14:paraId="2C2F2D27" w14:textId="77777777" w:rsidR="00D81AA1" w:rsidRPr="00470C7C" w:rsidRDefault="00D81AA1" w:rsidP="008B0BCC">
      <w:pPr>
        <w:pStyle w:val="Ttulo6"/>
        <w:numPr>
          <w:ilvl w:val="0"/>
          <w:numId w:val="23"/>
        </w:numPr>
        <w:jc w:val="both"/>
      </w:pPr>
      <w:r w:rsidRPr="00470C7C">
        <w:rPr>
          <w:i/>
        </w:rPr>
        <w:t>Afectación generada en la situación jurídica de la persona involucrada en el proceso e impactos en los derechos de la misma</w:t>
      </w:r>
    </w:p>
    <w:p w14:paraId="28E40264" w14:textId="77777777" w:rsidR="00D81AA1" w:rsidRPr="00470C7C" w:rsidRDefault="00D81AA1" w:rsidP="00D81AA1">
      <w:pPr>
        <w:jc w:val="both"/>
        <w:rPr>
          <w:szCs w:val="20"/>
        </w:rPr>
      </w:pPr>
    </w:p>
    <w:p w14:paraId="4E3C8C45" w14:textId="77777777" w:rsidR="00D81AA1" w:rsidRPr="00470C7C" w:rsidRDefault="00D81AA1" w:rsidP="00D81AA1">
      <w:pPr>
        <w:numPr>
          <w:ilvl w:val="0"/>
          <w:numId w:val="1"/>
        </w:numPr>
        <w:tabs>
          <w:tab w:val="clear" w:pos="4419"/>
          <w:tab w:val="clear" w:pos="8838"/>
        </w:tabs>
        <w:contextualSpacing/>
        <w:jc w:val="both"/>
        <w:rPr>
          <w:szCs w:val="20"/>
        </w:rPr>
      </w:pPr>
      <w:r w:rsidRPr="00470C7C">
        <w:rPr>
          <w:szCs w:val="20"/>
        </w:rPr>
        <w:t>La Corte recuerda que, para determinar la razonabilidad del plazo se debe tomar en cuenta la afectación generada por la duración del procedimiento en la situación jurídica de la persona involucrada en el mismo, considerando, entre otros elementos, la materia objeto de controversia. En este sentido, este Tribunal ha establecido que si el paso del tiempo incide de manera relevante en la situación jurídica del individuo, resultará necesario que el procedimiento avance con mayor diligencia a fin de que el caso se resuelva en un tiempo breve</w:t>
      </w:r>
      <w:r w:rsidRPr="00470C7C">
        <w:rPr>
          <w:rStyle w:val="Refdenotaalpie"/>
        </w:rPr>
        <w:footnoteReference w:id="494"/>
      </w:r>
      <w:r w:rsidRPr="00470C7C">
        <w:rPr>
          <w:szCs w:val="20"/>
        </w:rPr>
        <w:t xml:space="preserve">. </w:t>
      </w:r>
    </w:p>
    <w:p w14:paraId="03DE1A06" w14:textId="77777777" w:rsidR="00D81AA1" w:rsidRPr="00470C7C" w:rsidRDefault="00D81AA1" w:rsidP="00D81AA1">
      <w:pPr>
        <w:tabs>
          <w:tab w:val="clear" w:pos="4419"/>
          <w:tab w:val="clear" w:pos="8838"/>
        </w:tabs>
        <w:contextualSpacing/>
        <w:jc w:val="both"/>
        <w:rPr>
          <w:szCs w:val="20"/>
        </w:rPr>
      </w:pPr>
    </w:p>
    <w:p w14:paraId="7A98FB51" w14:textId="77777777" w:rsidR="00D81AA1" w:rsidRPr="00470C7C" w:rsidRDefault="00D81AA1" w:rsidP="00D81AA1">
      <w:pPr>
        <w:numPr>
          <w:ilvl w:val="0"/>
          <w:numId w:val="1"/>
        </w:numPr>
        <w:tabs>
          <w:tab w:val="clear" w:pos="4419"/>
          <w:tab w:val="clear" w:pos="8838"/>
        </w:tabs>
        <w:contextualSpacing/>
        <w:jc w:val="both"/>
        <w:rPr>
          <w:szCs w:val="20"/>
        </w:rPr>
      </w:pPr>
      <w:r w:rsidRPr="00470C7C">
        <w:rPr>
          <w:szCs w:val="20"/>
        </w:rPr>
        <w:t xml:space="preserve">En el presente caso la Corte constata que la resolución del proceso penal en contra de los señores </w:t>
      </w:r>
      <w:r w:rsidRPr="00470C7C">
        <w:rPr>
          <w:rFonts w:cs="Arial"/>
          <w:szCs w:val="20"/>
          <w:lang w:val="es-ES"/>
        </w:rPr>
        <w:t>Raimundo Alves de Rocha,</w:t>
      </w:r>
      <w:r w:rsidRPr="00470C7C">
        <w:rPr>
          <w:rFonts w:cs="Times New Roman"/>
          <w:szCs w:val="20"/>
          <w:lang w:val="es-ES"/>
        </w:rPr>
        <w:t xml:space="preserve">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 xml:space="preserve">Alves Vieira </w:t>
      </w:r>
      <w:r w:rsidRPr="00470C7C">
        <w:rPr>
          <w:rFonts w:cs="Times New Roman"/>
          <w:szCs w:val="20"/>
          <w:lang w:val="es-ES"/>
        </w:rPr>
        <w:t xml:space="preserve">y </w:t>
      </w:r>
      <w:r w:rsidRPr="00470C7C">
        <w:rPr>
          <w:rFonts w:cs="Arial"/>
          <w:szCs w:val="20"/>
          <w:lang w:val="es-ES"/>
        </w:rPr>
        <w:t xml:space="preserve">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Neto, hubiera impactado en el otorgamiento de reparaciones a los trabajadores sometidos a condiciones de esclavitud en la Hacienda Brasil Verde. Como consecuencia de la falta de resolución de dicho proceso, el otorgamiento de reparaciones no ocurrió, ocasionándole</w:t>
      </w:r>
      <w:r w:rsidR="00776D92" w:rsidRPr="00470C7C">
        <w:rPr>
          <w:rFonts w:cs="Arial"/>
          <w:szCs w:val="20"/>
          <w:lang w:val="es-ES"/>
        </w:rPr>
        <w:t>s</w:t>
      </w:r>
      <w:r w:rsidRPr="00470C7C">
        <w:rPr>
          <w:rFonts w:cs="Arial"/>
          <w:szCs w:val="20"/>
          <w:lang w:val="es-ES"/>
        </w:rPr>
        <w:t xml:space="preserve"> una afectación a los mencionados trabajadores quienes no recibieron ningún tipo de indemnización por las condiciones en las que habían sido mantenidos en la Hacienda Brasil Verde.</w:t>
      </w:r>
    </w:p>
    <w:p w14:paraId="59EE59E5" w14:textId="77777777" w:rsidR="00D81AA1" w:rsidRPr="00470C7C" w:rsidRDefault="00D81AA1" w:rsidP="00D81AA1">
      <w:pPr>
        <w:jc w:val="both"/>
        <w:rPr>
          <w:szCs w:val="20"/>
        </w:rPr>
      </w:pPr>
    </w:p>
    <w:p w14:paraId="27FB8F9E" w14:textId="77777777" w:rsidR="007E75EB" w:rsidRPr="00470C7C" w:rsidRDefault="00D81AA1" w:rsidP="00D81AA1">
      <w:pPr>
        <w:numPr>
          <w:ilvl w:val="0"/>
          <w:numId w:val="1"/>
        </w:numPr>
        <w:tabs>
          <w:tab w:val="clear" w:pos="4419"/>
          <w:tab w:val="clear" w:pos="8838"/>
        </w:tabs>
        <w:contextualSpacing/>
        <w:jc w:val="both"/>
        <w:rPr>
          <w:szCs w:val="20"/>
        </w:rPr>
      </w:pPr>
      <w:r w:rsidRPr="00470C7C">
        <w:rPr>
          <w:szCs w:val="20"/>
        </w:rPr>
        <w:t xml:space="preserve">Una vez analizados los cuatro elementos para determinar la razonabilidad del plazo en el marco del proceso penal, y teniendo en cuenta que existía un deber de actuar con </w:t>
      </w:r>
      <w:r w:rsidR="00EE4AA3" w:rsidRPr="00470C7C">
        <w:rPr>
          <w:szCs w:val="20"/>
        </w:rPr>
        <w:t xml:space="preserve">particular </w:t>
      </w:r>
      <w:r w:rsidRPr="00470C7C">
        <w:rPr>
          <w:szCs w:val="20"/>
        </w:rPr>
        <w:t xml:space="preserve">debida diligencia considerando la situación de </w:t>
      </w:r>
      <w:r w:rsidRPr="00470C7C">
        <w:rPr>
          <w:szCs w:val="20"/>
          <w:lang w:val="es-ES"/>
        </w:rPr>
        <w:t>los trabajadores de la Hacienda Brasil Verde y la extrema gravedad de los hechos denunciados</w:t>
      </w:r>
      <w:r w:rsidRPr="00470C7C">
        <w:rPr>
          <w:szCs w:val="20"/>
        </w:rPr>
        <w:t>, la Corte concluye que el Estado vulneró la garantía judicial al plazo razonable</w:t>
      </w:r>
      <w:r w:rsidR="00367264" w:rsidRPr="00470C7C">
        <w:rPr>
          <w:szCs w:val="20"/>
        </w:rPr>
        <w:t>,</w:t>
      </w:r>
      <w:r w:rsidRPr="00470C7C">
        <w:rPr>
          <w:szCs w:val="20"/>
        </w:rPr>
        <w:t xml:space="preserve"> prevista en el artículo 8.1</w:t>
      </w:r>
      <w:r w:rsidR="00367264" w:rsidRPr="00470C7C">
        <w:rPr>
          <w:szCs w:val="20"/>
        </w:rPr>
        <w:t xml:space="preserve"> de la Convención Americana sobre Derechos Humanos</w:t>
      </w:r>
      <w:r w:rsidR="00752D4A" w:rsidRPr="00470C7C">
        <w:rPr>
          <w:szCs w:val="20"/>
        </w:rPr>
        <w:t>,</w:t>
      </w:r>
      <w:r w:rsidRPr="00470C7C">
        <w:rPr>
          <w:szCs w:val="20"/>
        </w:rPr>
        <w:t xml:space="preserve"> en relación con el artículo 1.1</w:t>
      </w:r>
      <w:r w:rsidR="00367264" w:rsidRPr="00470C7C">
        <w:rPr>
          <w:szCs w:val="20"/>
        </w:rPr>
        <w:t xml:space="preserve"> del mismo instrumento</w:t>
      </w:r>
      <w:r w:rsidR="00752D4A" w:rsidRPr="00470C7C">
        <w:rPr>
          <w:szCs w:val="20"/>
        </w:rPr>
        <w:t>,</w:t>
      </w:r>
      <w:r w:rsidRPr="00470C7C">
        <w:rPr>
          <w:szCs w:val="20"/>
        </w:rPr>
        <w:t xml:space="preserve"> en perjuicio de </w:t>
      </w:r>
      <w:r w:rsidRPr="00470C7C">
        <w:rPr>
          <w:szCs w:val="20"/>
          <w:lang w:val="es-ES"/>
        </w:rPr>
        <w:t xml:space="preserve">los 43 trabajadores de la Hacienda Brasil Verde que se encontraron durante la fiscalización de 23 de abril de 1997 y que fueron identificados por la Corte en el presente litigio </w:t>
      </w:r>
      <w:r w:rsidRPr="00470C7C">
        <w:rPr>
          <w:szCs w:val="20"/>
        </w:rPr>
        <w:t>(</w:t>
      </w:r>
      <w:r w:rsidRPr="00470C7C">
        <w:rPr>
          <w:i/>
          <w:szCs w:val="20"/>
        </w:rPr>
        <w:t>supra</w:t>
      </w:r>
      <w:r w:rsidRPr="00470C7C">
        <w:rPr>
          <w:szCs w:val="20"/>
        </w:rPr>
        <w:t xml:space="preserve"> párr. </w:t>
      </w:r>
      <w:r w:rsidR="00AC28C1" w:rsidRPr="00470C7C">
        <w:rPr>
          <w:szCs w:val="20"/>
        </w:rPr>
        <w:t>199</w:t>
      </w:r>
      <w:r w:rsidRPr="00470C7C">
        <w:rPr>
          <w:szCs w:val="20"/>
        </w:rPr>
        <w:t>).</w:t>
      </w:r>
    </w:p>
    <w:p w14:paraId="78C169AD" w14:textId="77777777" w:rsidR="00F74CCF" w:rsidRPr="00470C7C" w:rsidRDefault="00F74CCF" w:rsidP="00ED3AD0">
      <w:pPr>
        <w:tabs>
          <w:tab w:val="clear" w:pos="4419"/>
          <w:tab w:val="clear" w:pos="8838"/>
        </w:tabs>
        <w:contextualSpacing/>
        <w:jc w:val="both"/>
        <w:rPr>
          <w:szCs w:val="20"/>
        </w:rPr>
      </w:pPr>
    </w:p>
    <w:p w14:paraId="2F00046A" w14:textId="77777777" w:rsidR="00D81AA1" w:rsidRPr="00470C7C" w:rsidRDefault="00D81AA1" w:rsidP="00A47A97">
      <w:pPr>
        <w:pStyle w:val="Ttulo3"/>
      </w:pPr>
      <w:bookmarkStart w:id="382" w:name="_Toc464813978"/>
      <w:bookmarkEnd w:id="377"/>
      <w:r w:rsidRPr="00470C7C">
        <w:t>B.3</w:t>
      </w:r>
      <w:r w:rsidR="00DC2886" w:rsidRPr="00470C7C">
        <w:t>.</w:t>
      </w:r>
      <w:r w:rsidRPr="00470C7C">
        <w:t xml:space="preserve"> Ausencia de protección judicial efectiva</w:t>
      </w:r>
      <w:bookmarkEnd w:id="382"/>
    </w:p>
    <w:p w14:paraId="2EB62602" w14:textId="77777777" w:rsidR="00D81AA1" w:rsidRPr="00470C7C" w:rsidRDefault="00D81AA1" w:rsidP="00D81AA1">
      <w:pPr>
        <w:autoSpaceDE w:val="0"/>
        <w:autoSpaceDN w:val="0"/>
        <w:adjustRightInd w:val="0"/>
        <w:jc w:val="both"/>
        <w:rPr>
          <w:rFonts w:cs="Arial"/>
          <w:i/>
          <w:noProof/>
          <w:szCs w:val="20"/>
        </w:rPr>
      </w:pPr>
    </w:p>
    <w:p w14:paraId="1CDCE9DA"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 xml:space="preserve">A continuación la Corte realizará el análisis de la alegada violación </w:t>
      </w:r>
      <w:r w:rsidR="00752D4A" w:rsidRPr="00470C7C">
        <w:rPr>
          <w:rFonts w:cs="Arial"/>
          <w:noProof/>
          <w:szCs w:val="20"/>
        </w:rPr>
        <w:t xml:space="preserve">del derecho </w:t>
      </w:r>
      <w:r w:rsidRPr="00470C7C">
        <w:rPr>
          <w:rFonts w:cs="Arial"/>
          <w:noProof/>
          <w:szCs w:val="20"/>
        </w:rPr>
        <w:t>a la protección judicial</w:t>
      </w:r>
      <w:r w:rsidR="00752D4A" w:rsidRPr="00470C7C">
        <w:rPr>
          <w:rFonts w:cs="Arial"/>
          <w:noProof/>
          <w:szCs w:val="20"/>
        </w:rPr>
        <w:t>. P</w:t>
      </w:r>
      <w:r w:rsidRPr="00470C7C">
        <w:rPr>
          <w:rFonts w:cs="Arial"/>
          <w:noProof/>
          <w:szCs w:val="20"/>
        </w:rPr>
        <w:t>ara ello la Corte evaluará: i) si los procesos iniciados en 1997, 2000 y 2001 fueron recursos efectivos para investigar y sancionar a los responsables de los hechos verificados en la Hacienda Brasil Verde</w:t>
      </w:r>
      <w:r w:rsidR="00C34197" w:rsidRPr="00470C7C">
        <w:rPr>
          <w:rFonts w:cs="Arial"/>
          <w:noProof/>
          <w:szCs w:val="20"/>
        </w:rPr>
        <w:t xml:space="preserve">, y </w:t>
      </w:r>
      <w:r w:rsidRPr="00470C7C">
        <w:rPr>
          <w:rFonts w:cs="Arial"/>
          <w:noProof/>
          <w:szCs w:val="20"/>
        </w:rPr>
        <w:t xml:space="preserve"> si existió un recurso efectivo para la reparación de las presuntas víctimas; ii) la prescripción de los procesos y su compatibilidad con las obligaciones derivadas del derecho internacional, y i</w:t>
      </w:r>
      <w:r w:rsidR="00C34197" w:rsidRPr="00470C7C">
        <w:rPr>
          <w:rFonts w:cs="Arial"/>
          <w:noProof/>
          <w:szCs w:val="20"/>
        </w:rPr>
        <w:t>ii</w:t>
      </w:r>
      <w:r w:rsidRPr="00470C7C">
        <w:rPr>
          <w:rFonts w:cs="Arial"/>
          <w:noProof/>
          <w:szCs w:val="20"/>
        </w:rPr>
        <w:t xml:space="preserve">) la alegada discriminación en el acceso a la protección judicial de las presuntas víctimas. </w:t>
      </w:r>
    </w:p>
    <w:p w14:paraId="620422D7" w14:textId="77777777" w:rsidR="00D81AA1" w:rsidRPr="00470C7C" w:rsidRDefault="00D81AA1" w:rsidP="00D81AA1">
      <w:pPr>
        <w:pStyle w:val="Prrafodelista"/>
        <w:ind w:left="0"/>
        <w:rPr>
          <w:rFonts w:cs="Arial"/>
          <w:noProof/>
          <w:szCs w:val="20"/>
        </w:rPr>
      </w:pPr>
    </w:p>
    <w:p w14:paraId="53B9795B"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iCs/>
          <w:szCs w:val="20"/>
        </w:rPr>
        <w:t xml:space="preserve">En el presente caso, la Corte advierte que en los años 1997, 2000 y 2001 se iniciaron dos acciones penales, una acción civil y un procedimiento laboral respecto de la situación de los trabajadores de la Hacienda Brasil Verde. A continuación el Tribunal analizará dichos procesos para determinar si el Estado garantizó a las víctimas </w:t>
      </w:r>
      <w:r w:rsidR="00195949" w:rsidRPr="00470C7C">
        <w:rPr>
          <w:rFonts w:cs="Arial"/>
          <w:iCs/>
          <w:szCs w:val="20"/>
        </w:rPr>
        <w:t>la</w:t>
      </w:r>
      <w:r w:rsidRPr="00470C7C">
        <w:rPr>
          <w:rFonts w:cs="Arial"/>
          <w:iCs/>
          <w:szCs w:val="20"/>
        </w:rPr>
        <w:t xml:space="preserve"> protección judicial consagrada en el artículo 25.1 de la Convención. Para ello, se mencionarán brevemente las actuaciones verificadas en cada procedimiento.</w:t>
      </w:r>
    </w:p>
    <w:p w14:paraId="0D717D71" w14:textId="77777777" w:rsidR="00D81AA1" w:rsidRPr="00470C7C" w:rsidRDefault="00D81AA1" w:rsidP="00D81AA1">
      <w:pPr>
        <w:pStyle w:val="Prrafodelista"/>
        <w:ind w:left="0"/>
        <w:rPr>
          <w:rFonts w:cs="Arial"/>
          <w:iCs/>
          <w:szCs w:val="20"/>
        </w:rPr>
      </w:pPr>
    </w:p>
    <w:p w14:paraId="55E6024F" w14:textId="77777777" w:rsidR="00D81AA1" w:rsidRPr="00470C7C" w:rsidRDefault="00D81AA1" w:rsidP="00292379">
      <w:pPr>
        <w:pStyle w:val="Prrafodelista"/>
        <w:numPr>
          <w:ilvl w:val="0"/>
          <w:numId w:val="1"/>
        </w:numPr>
        <w:autoSpaceDE w:val="0"/>
        <w:autoSpaceDN w:val="0"/>
        <w:adjustRightInd w:val="0"/>
        <w:rPr>
          <w:rFonts w:cs="Arial"/>
          <w:szCs w:val="20"/>
          <w:lang w:val="es-ES"/>
        </w:rPr>
      </w:pPr>
      <w:r w:rsidRPr="00470C7C">
        <w:rPr>
          <w:rFonts w:cs="Arial"/>
          <w:iCs/>
          <w:szCs w:val="20"/>
        </w:rPr>
        <w:t xml:space="preserve"> </w:t>
      </w:r>
      <w:r w:rsidRPr="00470C7C">
        <w:rPr>
          <w:rFonts w:cs="Arial"/>
          <w:szCs w:val="20"/>
        </w:rPr>
        <w:t xml:space="preserve">La Corte recuerda que </w:t>
      </w:r>
      <w:r w:rsidR="000D6144" w:rsidRPr="00470C7C">
        <w:rPr>
          <w:rFonts w:cs="Arial"/>
          <w:szCs w:val="20"/>
        </w:rPr>
        <w:t>a</w:t>
      </w:r>
      <w:r w:rsidR="000D6144" w:rsidRPr="00470C7C">
        <w:rPr>
          <w:rFonts w:cs="Arial"/>
          <w:szCs w:val="20"/>
          <w:lang w:val="es-ES"/>
        </w:rPr>
        <w:t xml:space="preserve"> </w:t>
      </w:r>
      <w:r w:rsidRPr="00470C7C">
        <w:rPr>
          <w:rFonts w:cs="Arial"/>
          <w:szCs w:val="20"/>
          <w:lang w:val="es-ES"/>
        </w:rPr>
        <w:t>consecuencia del informe del Ministerio del Trabajo, el 30 de junio de 1997 el Ministerio Público Federal presentó una denuncia penal contra: Raimundo Alves de Rocha</w:t>
      </w:r>
      <w:r w:rsidRPr="00470C7C">
        <w:rPr>
          <w:rFonts w:cs="Times New Roman"/>
          <w:szCs w:val="20"/>
          <w:lang w:val="es-ES"/>
        </w:rPr>
        <w:t xml:space="preserve">;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Pr="00470C7C">
        <w:rPr>
          <w:rFonts w:cs="Arial"/>
          <w:szCs w:val="20"/>
          <w:lang w:val="es-ES"/>
        </w:rPr>
        <w:t xml:space="preserve">Alves Vieira, </w:t>
      </w:r>
      <w:r w:rsidRPr="00470C7C">
        <w:rPr>
          <w:rFonts w:cs="Times New Roman"/>
          <w:szCs w:val="20"/>
          <w:lang w:val="es-ES"/>
        </w:rPr>
        <w:t xml:space="preserve">y </w:t>
      </w:r>
      <w:r w:rsidRPr="00470C7C">
        <w:rPr>
          <w:rFonts w:cs="Arial"/>
          <w:szCs w:val="20"/>
          <w:lang w:val="es-ES"/>
        </w:rPr>
        <w:t xml:space="preserve">João </w:t>
      </w:r>
      <w:proofErr w:type="spellStart"/>
      <w:r w:rsidRPr="00470C7C">
        <w:rPr>
          <w:rFonts w:cs="Arial"/>
          <w:szCs w:val="20"/>
          <w:lang w:val="es-ES"/>
        </w:rPr>
        <w:t>Luiz</w:t>
      </w:r>
      <w:proofErr w:type="spellEnd"/>
      <w:r w:rsidRPr="00470C7C">
        <w:rPr>
          <w:rFonts w:cs="Arial"/>
          <w:szCs w:val="20"/>
          <w:lang w:val="es-ES"/>
        </w:rPr>
        <w:t xml:space="preserve"> </w:t>
      </w:r>
      <w:proofErr w:type="spellStart"/>
      <w:r w:rsidRPr="00470C7C">
        <w:rPr>
          <w:rFonts w:cs="Arial"/>
          <w:szCs w:val="20"/>
          <w:lang w:val="es-ES"/>
        </w:rPr>
        <w:t>Quagliato</w:t>
      </w:r>
      <w:proofErr w:type="spellEnd"/>
      <w:r w:rsidRPr="00470C7C">
        <w:rPr>
          <w:rFonts w:cs="Arial"/>
          <w:szCs w:val="20"/>
          <w:lang w:val="es-ES"/>
        </w:rPr>
        <w:t xml:space="preserve"> Neto.</w:t>
      </w:r>
      <w:r w:rsidRPr="00470C7C">
        <w:rPr>
          <w:rFonts w:cs="Arial"/>
          <w:b/>
          <w:szCs w:val="20"/>
        </w:rPr>
        <w:t xml:space="preserve"> </w:t>
      </w:r>
      <w:r w:rsidRPr="00470C7C">
        <w:rPr>
          <w:rFonts w:cs="Arial"/>
          <w:szCs w:val="20"/>
          <w:lang w:val="es-ES"/>
        </w:rPr>
        <w:t>El 10 de julio de 2008 el Juez Federal de la Sección de Pará declaró que</w:t>
      </w:r>
      <w:r w:rsidR="00B54FB3" w:rsidRPr="00470C7C">
        <w:rPr>
          <w:rFonts w:cs="Arial"/>
          <w:szCs w:val="20"/>
          <w:lang w:val="es-ES"/>
        </w:rPr>
        <w:t xml:space="preserve"> </w:t>
      </w:r>
      <w:r w:rsidR="004D1879" w:rsidRPr="00470C7C">
        <w:rPr>
          <w:rFonts w:cs="Arial"/>
          <w:szCs w:val="20"/>
          <w:lang w:val="es-ES"/>
        </w:rPr>
        <w:t xml:space="preserve">solo </w:t>
      </w:r>
      <w:r w:rsidRPr="00470C7C">
        <w:rPr>
          <w:rFonts w:cs="Arial"/>
          <w:szCs w:val="20"/>
          <w:lang w:val="es-ES"/>
        </w:rPr>
        <w:t xml:space="preserve">en caso de ser condenados a la pena </w:t>
      </w:r>
      <w:r w:rsidR="00176C77" w:rsidRPr="00470C7C">
        <w:rPr>
          <w:rFonts w:cs="Arial"/>
          <w:szCs w:val="20"/>
          <w:lang w:val="es-ES"/>
        </w:rPr>
        <w:t xml:space="preserve">máxima </w:t>
      </w:r>
      <w:r w:rsidRPr="00470C7C">
        <w:rPr>
          <w:rFonts w:cs="Arial"/>
          <w:szCs w:val="20"/>
          <w:lang w:val="es-ES"/>
        </w:rPr>
        <w:t>no se daría la prescripción</w:t>
      </w:r>
      <w:r w:rsidR="00732CE3" w:rsidRPr="00470C7C">
        <w:rPr>
          <w:rFonts w:cs="Arial"/>
          <w:szCs w:val="20"/>
          <w:lang w:val="es-ES"/>
        </w:rPr>
        <w:t>; y</w:t>
      </w:r>
      <w:r w:rsidRPr="00470C7C">
        <w:rPr>
          <w:rFonts w:cs="Arial"/>
          <w:szCs w:val="20"/>
          <w:lang w:val="es-ES"/>
        </w:rPr>
        <w:t xml:space="preserve"> afirmó que la prescripción sería inevitable. Con base en lo anterior, así como en la falta </w:t>
      </w:r>
      <w:r w:rsidR="00292379" w:rsidRPr="00470C7C">
        <w:rPr>
          <w:rFonts w:cs="Arial"/>
          <w:szCs w:val="20"/>
          <w:lang w:val="es-ES"/>
        </w:rPr>
        <w:t xml:space="preserve">de acción por parte del Estado, </w:t>
      </w:r>
      <w:r w:rsidRPr="00470C7C">
        <w:rPr>
          <w:rFonts w:cs="Arial"/>
          <w:szCs w:val="20"/>
          <w:lang w:val="es-ES"/>
        </w:rPr>
        <w:t>el juez decidió declarar extinta la acción penal (</w:t>
      </w:r>
      <w:r w:rsidRPr="00470C7C">
        <w:rPr>
          <w:rFonts w:cs="Arial"/>
          <w:i/>
          <w:szCs w:val="20"/>
          <w:lang w:val="es-ES"/>
        </w:rPr>
        <w:t>supra</w:t>
      </w:r>
      <w:r w:rsidRPr="00470C7C">
        <w:rPr>
          <w:rFonts w:cs="Arial"/>
          <w:szCs w:val="20"/>
          <w:lang w:val="es-ES"/>
        </w:rPr>
        <w:t xml:space="preserve"> párr. </w:t>
      </w:r>
      <w:r w:rsidR="000D2F3A" w:rsidRPr="00470C7C">
        <w:rPr>
          <w:rFonts w:cs="Arial"/>
          <w:szCs w:val="20"/>
          <w:lang w:val="es-ES"/>
        </w:rPr>
        <w:t>157</w:t>
      </w:r>
      <w:r w:rsidRPr="00470C7C">
        <w:rPr>
          <w:rFonts w:cs="Arial"/>
          <w:szCs w:val="20"/>
          <w:lang w:val="es-ES"/>
        </w:rPr>
        <w:t>)</w:t>
      </w:r>
      <w:r w:rsidRPr="00470C7C">
        <w:rPr>
          <w:rFonts w:cs="Arial"/>
          <w:bCs/>
          <w:szCs w:val="20"/>
          <w:lang w:val="es-ES"/>
        </w:rPr>
        <w:t>.</w:t>
      </w:r>
    </w:p>
    <w:p w14:paraId="73F37B9E" w14:textId="77777777" w:rsidR="00D81AA1" w:rsidRPr="00470C7C" w:rsidRDefault="00D81AA1" w:rsidP="00D81AA1">
      <w:pPr>
        <w:pStyle w:val="Prrafodelista"/>
        <w:ind w:left="0"/>
        <w:rPr>
          <w:rFonts w:cs="Arial"/>
          <w:noProof/>
          <w:szCs w:val="20"/>
        </w:rPr>
      </w:pPr>
    </w:p>
    <w:p w14:paraId="5EDA6451" w14:textId="77777777" w:rsidR="00D81AA1" w:rsidRPr="00470C7C" w:rsidRDefault="00D81AA1" w:rsidP="00CA2C6C">
      <w:pPr>
        <w:pStyle w:val="Prrafodelista"/>
        <w:numPr>
          <w:ilvl w:val="0"/>
          <w:numId w:val="1"/>
        </w:numPr>
        <w:contextualSpacing w:val="0"/>
        <w:rPr>
          <w:rFonts w:cs="Arial"/>
          <w:noProof/>
          <w:szCs w:val="20"/>
        </w:rPr>
      </w:pPr>
      <w:r w:rsidRPr="00470C7C">
        <w:rPr>
          <w:rFonts w:cs="Arial"/>
          <w:noProof/>
          <w:szCs w:val="20"/>
        </w:rPr>
        <w:t>Con relación al proceso laboral, la Corte recuerda que e</w:t>
      </w:r>
      <w:r w:rsidRPr="00470C7C">
        <w:rPr>
          <w:rFonts w:cs="Arial"/>
          <w:szCs w:val="20"/>
          <w:lang w:val="es-ES"/>
        </w:rPr>
        <w:t>l 12 de agosto de 1997 se instauró un procedimiento administrativo en la Procuraduría Regional del Trabajo (PRT) de la 8ª región</w:t>
      </w:r>
      <w:r w:rsidRPr="00470C7C">
        <w:rPr>
          <w:rFonts w:cs="Arial"/>
          <w:bCs/>
          <w:szCs w:val="20"/>
          <w:lang w:val="es-ES"/>
        </w:rPr>
        <w:t xml:space="preserve">. </w:t>
      </w:r>
      <w:r w:rsidRPr="00470C7C">
        <w:rPr>
          <w:rFonts w:cs="Arial"/>
          <w:szCs w:val="20"/>
          <w:lang w:val="es-ES"/>
        </w:rPr>
        <w:t>El 14 de noviembre de 1997 la Delegación Regional del Trabajo (DRT) de Pará informó en relación con la Hacienda Brasil Verde</w:t>
      </w:r>
      <w:r w:rsidRPr="00470C7C">
        <w:rPr>
          <w:rFonts w:cs="Arial"/>
          <w:i/>
          <w:iCs/>
          <w:szCs w:val="20"/>
          <w:lang w:val="es-ES"/>
        </w:rPr>
        <w:t xml:space="preserve"> </w:t>
      </w:r>
      <w:r w:rsidRPr="00470C7C">
        <w:rPr>
          <w:rFonts w:cs="Arial"/>
          <w:szCs w:val="20"/>
          <w:lang w:val="es-ES"/>
        </w:rPr>
        <w:t>que aun cuando existían algunas fallas, la DR</w:t>
      </w:r>
      <w:r w:rsidR="00D0446B" w:rsidRPr="00470C7C">
        <w:rPr>
          <w:rFonts w:cs="Arial"/>
          <w:szCs w:val="20"/>
          <w:lang w:val="es-ES"/>
        </w:rPr>
        <w:t>T</w:t>
      </w:r>
      <w:r w:rsidRPr="00470C7C">
        <w:rPr>
          <w:rFonts w:cs="Arial"/>
          <w:szCs w:val="20"/>
          <w:lang w:val="es-ES"/>
        </w:rPr>
        <w:t xml:space="preserve"> “[había] </w:t>
      </w:r>
      <w:proofErr w:type="spellStart"/>
      <w:r w:rsidRPr="00470C7C">
        <w:rPr>
          <w:rFonts w:cs="Arial"/>
          <w:szCs w:val="20"/>
          <w:lang w:val="es-ES"/>
        </w:rPr>
        <w:t>pref</w:t>
      </w:r>
      <w:proofErr w:type="spellEnd"/>
      <w:r w:rsidRPr="00470C7C">
        <w:rPr>
          <w:rFonts w:cs="Arial"/>
          <w:szCs w:val="20"/>
          <w:lang w:val="es-ES"/>
        </w:rPr>
        <w:t>[</w:t>
      </w:r>
      <w:proofErr w:type="spellStart"/>
      <w:r w:rsidRPr="00470C7C">
        <w:rPr>
          <w:rFonts w:cs="Arial"/>
          <w:szCs w:val="20"/>
          <w:lang w:val="es-ES"/>
        </w:rPr>
        <w:t>erido</w:t>
      </w:r>
      <w:proofErr w:type="spellEnd"/>
      <w:r w:rsidRPr="00470C7C">
        <w:rPr>
          <w:rFonts w:cs="Arial"/>
          <w:szCs w:val="20"/>
          <w:lang w:val="es-ES"/>
        </w:rPr>
        <w:t>] no actuar, sino orientar [...]” (</w:t>
      </w:r>
      <w:r w:rsidRPr="00470C7C">
        <w:rPr>
          <w:rFonts w:cs="Arial"/>
          <w:i/>
          <w:szCs w:val="20"/>
          <w:lang w:val="es-ES"/>
        </w:rPr>
        <w:t>supra</w:t>
      </w:r>
      <w:r w:rsidR="000D2F3A" w:rsidRPr="00470C7C">
        <w:rPr>
          <w:rFonts w:cs="Arial"/>
          <w:szCs w:val="20"/>
          <w:lang w:val="es-ES"/>
        </w:rPr>
        <w:t xml:space="preserve"> párr. 159</w:t>
      </w:r>
      <w:r w:rsidRPr="00470C7C">
        <w:rPr>
          <w:rFonts w:cs="Arial"/>
          <w:szCs w:val="20"/>
          <w:lang w:val="es-ES"/>
        </w:rPr>
        <w:t>)</w:t>
      </w:r>
      <w:r w:rsidRPr="00470C7C">
        <w:rPr>
          <w:rFonts w:cs="Times New Roman"/>
          <w:bCs/>
          <w:szCs w:val="20"/>
          <w:lang w:val="es-ES"/>
        </w:rPr>
        <w:t>.</w:t>
      </w:r>
      <w:r w:rsidR="00CA2C6C" w:rsidRPr="00470C7C">
        <w:rPr>
          <w:rFonts w:cs="Arial"/>
          <w:noProof/>
          <w:szCs w:val="20"/>
          <w:lang w:val="es-ES"/>
        </w:rPr>
        <w:t xml:space="preserve"> </w:t>
      </w:r>
      <w:r w:rsidRPr="00470C7C">
        <w:rPr>
          <w:rFonts w:cs="Arial"/>
          <w:szCs w:val="20"/>
          <w:lang w:val="es-ES"/>
        </w:rPr>
        <w:t>El 13 de octubre de 1998 el Ministerio Público del Trabajo solicitó a la Delegación Regional del Trabajo de Pará la realización de una nueva fiscalización a la hacienda, debido al tiempo transcurrido desde la última</w:t>
      </w:r>
      <w:r w:rsidRPr="00470C7C">
        <w:rPr>
          <w:rFonts w:cs="Times New Roman"/>
          <w:szCs w:val="20"/>
          <w:lang w:val="es-ES"/>
        </w:rPr>
        <w:t xml:space="preserve">. </w:t>
      </w:r>
      <w:r w:rsidRPr="00470C7C">
        <w:rPr>
          <w:rFonts w:cs="Arial"/>
          <w:szCs w:val="20"/>
          <w:lang w:val="es-ES"/>
        </w:rPr>
        <w:t xml:space="preserve">El </w:t>
      </w:r>
      <w:r w:rsidR="00DC19DD" w:rsidRPr="00470C7C">
        <w:rPr>
          <w:rFonts w:cs="Arial"/>
          <w:szCs w:val="20"/>
          <w:lang w:val="es-ES"/>
        </w:rPr>
        <w:t xml:space="preserve">8 </w:t>
      </w:r>
      <w:r w:rsidRPr="00470C7C">
        <w:rPr>
          <w:rFonts w:cs="Arial"/>
          <w:szCs w:val="20"/>
          <w:lang w:val="es-ES"/>
        </w:rPr>
        <w:t>de febrero de 1999 la DRT de Pará informó que no había realizado la fiscalización por falta de recursos financieros. El 15 de junio de 1999 el Ministerio Público del Trabajo reiteró su solicitud.</w:t>
      </w:r>
    </w:p>
    <w:p w14:paraId="7B476471" w14:textId="77777777" w:rsidR="00D81AA1" w:rsidRPr="00470C7C" w:rsidRDefault="00D81AA1" w:rsidP="00D81AA1">
      <w:pPr>
        <w:pStyle w:val="Prrafodelista"/>
        <w:rPr>
          <w:rFonts w:cs="Arial"/>
          <w:noProof/>
          <w:szCs w:val="20"/>
        </w:rPr>
      </w:pPr>
    </w:p>
    <w:p w14:paraId="7CE54E44" w14:textId="77777777" w:rsidR="00D81AA1" w:rsidRPr="00470C7C" w:rsidRDefault="00B7314D" w:rsidP="00614D09">
      <w:pPr>
        <w:pStyle w:val="Prrafodelista"/>
        <w:numPr>
          <w:ilvl w:val="0"/>
          <w:numId w:val="1"/>
        </w:numPr>
        <w:contextualSpacing w:val="0"/>
        <w:rPr>
          <w:rFonts w:cs="Arial"/>
          <w:noProof/>
          <w:szCs w:val="20"/>
        </w:rPr>
      </w:pPr>
      <w:r w:rsidRPr="00470C7C">
        <w:rPr>
          <w:rFonts w:cs="Arial"/>
          <w:noProof/>
          <w:szCs w:val="20"/>
        </w:rPr>
        <w:t>Respecto</w:t>
      </w:r>
      <w:r w:rsidR="00D81AA1" w:rsidRPr="00470C7C">
        <w:rPr>
          <w:rFonts w:cs="Arial"/>
          <w:noProof/>
          <w:szCs w:val="20"/>
        </w:rPr>
        <w:t xml:space="preserve"> a la acción civil pública presentada en 2000, la Corte recuerda que e</w:t>
      </w:r>
      <w:r w:rsidR="00D81AA1" w:rsidRPr="00470C7C">
        <w:rPr>
          <w:rFonts w:cs="Arial"/>
          <w:szCs w:val="20"/>
          <w:lang w:val="es-ES"/>
        </w:rPr>
        <w:t xml:space="preserve">n marzo de 2000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00D81AA1" w:rsidRPr="00470C7C">
        <w:rPr>
          <w:rFonts w:cs="Arial"/>
          <w:szCs w:val="20"/>
          <w:lang w:val="es-ES"/>
        </w:rPr>
        <w:t xml:space="preserve">Francisco da Silva </w:t>
      </w:r>
      <w:r w:rsidR="00D81AA1" w:rsidRPr="00470C7C">
        <w:rPr>
          <w:rFonts w:cs="Times New Roman"/>
          <w:szCs w:val="20"/>
          <w:lang w:val="es-ES"/>
        </w:rPr>
        <w:t xml:space="preserve">y </w:t>
      </w:r>
      <w:r w:rsidR="00AB6218" w:rsidRPr="00470C7C">
        <w:rPr>
          <w:rFonts w:cs="Times New Roman"/>
          <w:szCs w:val="20"/>
          <w:lang w:val="pt-BR"/>
        </w:rPr>
        <w:t>José Francisco Furtado de Sousa</w:t>
      </w:r>
      <w:r w:rsidR="00AB6218" w:rsidRPr="00470C7C">
        <w:rPr>
          <w:rFonts w:cs="Arial"/>
          <w:szCs w:val="20"/>
          <w:lang w:val="es-ES"/>
        </w:rPr>
        <w:t xml:space="preserve"> </w:t>
      </w:r>
      <w:r w:rsidR="00D81AA1" w:rsidRPr="00470C7C">
        <w:rPr>
          <w:rFonts w:cs="Arial"/>
          <w:szCs w:val="20"/>
          <w:lang w:val="es-ES"/>
        </w:rPr>
        <w:t xml:space="preserve">huyeron de la </w:t>
      </w:r>
      <w:r w:rsidR="00D81AA1" w:rsidRPr="00470C7C">
        <w:rPr>
          <w:rFonts w:cs="Arial"/>
          <w:iCs/>
          <w:szCs w:val="20"/>
          <w:lang w:val="es-ES"/>
        </w:rPr>
        <w:t>Hacienda Brasil Verde</w:t>
      </w:r>
      <w:r w:rsidR="00D81AA1" w:rsidRPr="00470C7C">
        <w:rPr>
          <w:rFonts w:cs="Arial"/>
          <w:i/>
          <w:iCs/>
          <w:szCs w:val="20"/>
          <w:lang w:val="es-ES"/>
        </w:rPr>
        <w:t xml:space="preserve"> </w:t>
      </w:r>
      <w:r w:rsidR="00D81AA1" w:rsidRPr="00470C7C">
        <w:rPr>
          <w:rFonts w:cs="Times New Roman"/>
          <w:szCs w:val="20"/>
          <w:lang w:val="es-ES"/>
        </w:rPr>
        <w:t xml:space="preserve">y </w:t>
      </w:r>
      <w:r w:rsidR="00D81AA1" w:rsidRPr="00470C7C">
        <w:rPr>
          <w:rFonts w:cs="Arial"/>
          <w:szCs w:val="20"/>
          <w:lang w:val="es-ES"/>
        </w:rPr>
        <w:t xml:space="preserve">acudieron a la Policía Federal en </w:t>
      </w:r>
      <w:proofErr w:type="spellStart"/>
      <w:r w:rsidR="00D81AA1" w:rsidRPr="00470C7C">
        <w:rPr>
          <w:rFonts w:cs="Arial"/>
          <w:szCs w:val="20"/>
          <w:lang w:val="es-ES"/>
        </w:rPr>
        <w:t>Marabá</w:t>
      </w:r>
      <w:proofErr w:type="spellEnd"/>
      <w:r w:rsidR="00D81AA1" w:rsidRPr="00470C7C">
        <w:rPr>
          <w:rFonts w:cs="Arial"/>
          <w:szCs w:val="20"/>
          <w:lang w:val="es-ES"/>
        </w:rPr>
        <w:t xml:space="preserve"> (</w:t>
      </w:r>
      <w:r w:rsidR="00D81AA1" w:rsidRPr="00470C7C">
        <w:rPr>
          <w:rFonts w:cs="Arial"/>
          <w:i/>
          <w:szCs w:val="20"/>
          <w:lang w:val="es-ES"/>
        </w:rPr>
        <w:t xml:space="preserve">supra </w:t>
      </w:r>
      <w:proofErr w:type="spellStart"/>
      <w:r w:rsidR="00D81AA1" w:rsidRPr="00470C7C">
        <w:rPr>
          <w:rFonts w:cs="Arial"/>
          <w:szCs w:val="20"/>
          <w:lang w:val="es-ES"/>
        </w:rPr>
        <w:t>párrs</w:t>
      </w:r>
      <w:proofErr w:type="spellEnd"/>
      <w:r w:rsidR="00D81AA1" w:rsidRPr="00470C7C">
        <w:rPr>
          <w:rFonts w:cs="Arial"/>
          <w:szCs w:val="20"/>
          <w:lang w:val="es-ES"/>
        </w:rPr>
        <w:t xml:space="preserve">. </w:t>
      </w:r>
      <w:r w:rsidR="000D2F3A" w:rsidRPr="00470C7C">
        <w:rPr>
          <w:rFonts w:cs="Arial"/>
          <w:szCs w:val="20"/>
          <w:lang w:val="es-ES"/>
        </w:rPr>
        <w:t>174 y 175</w:t>
      </w:r>
      <w:r w:rsidR="00D81AA1" w:rsidRPr="00470C7C">
        <w:rPr>
          <w:rFonts w:cs="Arial"/>
          <w:szCs w:val="20"/>
          <w:lang w:val="es-ES"/>
        </w:rPr>
        <w:t>). El 15 de marzo de 2000 la Delegación Regional del Trabajo de Pará llevó a cabo una nueva fiscalización en la Hacienda Brasil Verde con la presencia de la Policía Federal (</w:t>
      </w:r>
      <w:r w:rsidR="00D81AA1" w:rsidRPr="00470C7C">
        <w:rPr>
          <w:rFonts w:cs="Arial"/>
          <w:i/>
          <w:szCs w:val="20"/>
          <w:lang w:val="es-ES"/>
        </w:rPr>
        <w:t>supra</w:t>
      </w:r>
      <w:r w:rsidR="00B01D7D" w:rsidRPr="00470C7C">
        <w:rPr>
          <w:rFonts w:cs="Arial"/>
          <w:szCs w:val="20"/>
          <w:lang w:val="es-ES"/>
        </w:rPr>
        <w:t xml:space="preserve"> párr</w:t>
      </w:r>
      <w:r w:rsidR="000D2F3A" w:rsidRPr="00470C7C">
        <w:rPr>
          <w:rFonts w:cs="Arial"/>
          <w:szCs w:val="20"/>
          <w:lang w:val="es-ES"/>
        </w:rPr>
        <w:t>. 177</w:t>
      </w:r>
      <w:r w:rsidR="00D81AA1" w:rsidRPr="00470C7C">
        <w:rPr>
          <w:rFonts w:cs="Arial"/>
          <w:szCs w:val="20"/>
          <w:lang w:val="es-ES"/>
        </w:rPr>
        <w:t>).</w:t>
      </w:r>
      <w:r w:rsidR="00614D09" w:rsidRPr="00470C7C">
        <w:rPr>
          <w:rFonts w:cs="Arial"/>
          <w:noProof/>
          <w:szCs w:val="20"/>
        </w:rPr>
        <w:t xml:space="preserve"> </w:t>
      </w:r>
      <w:r w:rsidR="00D81AA1" w:rsidRPr="00470C7C">
        <w:rPr>
          <w:rFonts w:cs="Arial"/>
          <w:szCs w:val="20"/>
          <w:lang w:val="es-ES"/>
        </w:rPr>
        <w:t xml:space="preserve">El 30 de mayo de 2000, con base en el informe de la fiscalización de 15 de marzo de 2000, el Ministerio Público del Trabajo presentó una acción civil pública ante la Jueza del Trabajo de </w:t>
      </w:r>
      <w:proofErr w:type="spellStart"/>
      <w:r w:rsidR="00D81AA1" w:rsidRPr="00470C7C">
        <w:rPr>
          <w:rFonts w:cs="Arial"/>
          <w:szCs w:val="20"/>
          <w:lang w:val="es-ES"/>
        </w:rPr>
        <w:t>Araguaia</w:t>
      </w:r>
      <w:proofErr w:type="spellEnd"/>
      <w:r w:rsidR="00D81AA1" w:rsidRPr="00470C7C">
        <w:rPr>
          <w:rFonts w:cs="Arial"/>
          <w:szCs w:val="20"/>
          <w:lang w:val="es-ES"/>
        </w:rPr>
        <w:t xml:space="preserve">, contra João </w:t>
      </w:r>
      <w:proofErr w:type="spellStart"/>
      <w:r w:rsidR="00D81AA1" w:rsidRPr="00470C7C">
        <w:rPr>
          <w:rFonts w:cs="Arial"/>
          <w:szCs w:val="20"/>
          <w:lang w:val="es-ES"/>
        </w:rPr>
        <w:t>Luiz</w:t>
      </w:r>
      <w:proofErr w:type="spellEnd"/>
      <w:r w:rsidR="00D81AA1" w:rsidRPr="00470C7C">
        <w:rPr>
          <w:rFonts w:cs="Arial"/>
          <w:szCs w:val="20"/>
          <w:lang w:val="es-ES"/>
        </w:rPr>
        <w:t xml:space="preserve"> </w:t>
      </w:r>
      <w:proofErr w:type="spellStart"/>
      <w:r w:rsidR="00D81AA1" w:rsidRPr="00470C7C">
        <w:rPr>
          <w:rFonts w:cs="Arial"/>
          <w:szCs w:val="20"/>
          <w:lang w:val="es-ES"/>
        </w:rPr>
        <w:t>Quagliato</w:t>
      </w:r>
      <w:proofErr w:type="spellEnd"/>
      <w:r w:rsidR="00D81AA1" w:rsidRPr="00470C7C">
        <w:rPr>
          <w:rFonts w:cs="Times New Roman"/>
          <w:szCs w:val="20"/>
          <w:lang w:val="es-ES"/>
        </w:rPr>
        <w:t xml:space="preserve"> </w:t>
      </w:r>
      <w:r w:rsidR="00D81AA1" w:rsidRPr="00470C7C">
        <w:rPr>
          <w:rFonts w:cs="Arial"/>
          <w:szCs w:val="20"/>
          <w:lang w:val="es-ES"/>
        </w:rPr>
        <w:t>(</w:t>
      </w:r>
      <w:r w:rsidR="00D81AA1" w:rsidRPr="00470C7C">
        <w:rPr>
          <w:rFonts w:cs="Arial"/>
          <w:i/>
          <w:szCs w:val="20"/>
          <w:lang w:val="es-ES"/>
        </w:rPr>
        <w:t>supra</w:t>
      </w:r>
      <w:r w:rsidR="00D81AA1" w:rsidRPr="00470C7C">
        <w:rPr>
          <w:rFonts w:cs="Arial"/>
          <w:szCs w:val="20"/>
          <w:lang w:val="es-ES"/>
        </w:rPr>
        <w:t xml:space="preserve"> párr. </w:t>
      </w:r>
      <w:r w:rsidR="00B01D7D" w:rsidRPr="00470C7C">
        <w:rPr>
          <w:rFonts w:cs="Arial"/>
          <w:szCs w:val="20"/>
          <w:lang w:val="es-ES"/>
        </w:rPr>
        <w:t>179</w:t>
      </w:r>
      <w:r w:rsidR="00D81AA1" w:rsidRPr="00470C7C">
        <w:rPr>
          <w:rFonts w:cs="Arial"/>
          <w:szCs w:val="20"/>
          <w:lang w:val="es-ES"/>
        </w:rPr>
        <w:t xml:space="preserve">). </w:t>
      </w:r>
    </w:p>
    <w:p w14:paraId="03F8736E" w14:textId="77777777" w:rsidR="00D81AA1" w:rsidRPr="00470C7C" w:rsidRDefault="00D81AA1" w:rsidP="00D81AA1">
      <w:pPr>
        <w:pStyle w:val="Prrafodelista"/>
        <w:rPr>
          <w:rFonts w:cs="Arial"/>
          <w:noProof/>
          <w:szCs w:val="20"/>
        </w:rPr>
      </w:pPr>
    </w:p>
    <w:p w14:paraId="6D70E5A6" w14:textId="77777777" w:rsidR="00D81AA1" w:rsidRPr="00470C7C" w:rsidRDefault="00D81AA1" w:rsidP="00D81AA1">
      <w:pPr>
        <w:pStyle w:val="Prrafodelista"/>
        <w:numPr>
          <w:ilvl w:val="0"/>
          <w:numId w:val="1"/>
        </w:numPr>
        <w:contextualSpacing w:val="0"/>
        <w:rPr>
          <w:rFonts w:cs="Arial"/>
          <w:szCs w:val="20"/>
          <w:lang w:val="es-ES"/>
        </w:rPr>
      </w:pPr>
      <w:r w:rsidRPr="00470C7C">
        <w:rPr>
          <w:rFonts w:cs="Arial"/>
          <w:szCs w:val="20"/>
          <w:lang w:val="es-ES"/>
        </w:rPr>
        <w:t xml:space="preserve">El 20 de julio de 2000 se llevó a cabo una audiencia relativa a la acusación presentada por el Ministerio Público ante la Junta de Conciliación y Juzgamiento de </w:t>
      </w:r>
      <w:proofErr w:type="spellStart"/>
      <w:r w:rsidRPr="00470C7C">
        <w:rPr>
          <w:rFonts w:cs="Arial"/>
          <w:szCs w:val="20"/>
          <w:lang w:val="es-ES"/>
        </w:rPr>
        <w:t>Araguaia</w:t>
      </w:r>
      <w:proofErr w:type="spellEnd"/>
      <w:r w:rsidRPr="00470C7C">
        <w:rPr>
          <w:rFonts w:cs="Arial"/>
          <w:szCs w:val="20"/>
          <w:lang w:val="es-ES"/>
        </w:rPr>
        <w:t>.</w:t>
      </w:r>
      <w:r w:rsidR="00752D4A" w:rsidRPr="00470C7C">
        <w:rPr>
          <w:rFonts w:cs="Arial"/>
          <w:szCs w:val="20"/>
          <w:lang w:val="es-ES"/>
        </w:rPr>
        <w:t xml:space="preserve"> </w:t>
      </w:r>
      <w:r w:rsidRPr="00470C7C">
        <w:rPr>
          <w:rFonts w:cs="Arial"/>
          <w:szCs w:val="20"/>
          <w:lang w:val="es-ES"/>
        </w:rPr>
        <w:t xml:space="preserve">En mayo de 2002 el Ministerio del Trabajo realizó una nueva fiscalización con la finalidad de verificar el cumplimiento de los compromisos acordados entre el </w:t>
      </w:r>
      <w:r w:rsidR="000D2280" w:rsidRPr="00470C7C">
        <w:rPr>
          <w:rFonts w:cs="Arial"/>
          <w:szCs w:val="20"/>
          <w:lang w:val="es-ES"/>
        </w:rPr>
        <w:t>Ministerio Público del Trabajo (</w:t>
      </w:r>
      <w:r w:rsidRPr="00470C7C">
        <w:rPr>
          <w:rFonts w:cs="Arial"/>
          <w:szCs w:val="20"/>
          <w:lang w:val="es-ES"/>
        </w:rPr>
        <w:t>MPT</w:t>
      </w:r>
      <w:r w:rsidR="000D2280" w:rsidRPr="00470C7C">
        <w:rPr>
          <w:rFonts w:cs="Arial"/>
          <w:szCs w:val="20"/>
          <w:lang w:val="es-ES"/>
        </w:rPr>
        <w:t>)</w:t>
      </w:r>
      <w:r w:rsidRPr="00470C7C">
        <w:rPr>
          <w:rFonts w:cs="Arial"/>
          <w:szCs w:val="20"/>
          <w:lang w:val="es-ES"/>
        </w:rPr>
        <w:t xml:space="preserve"> y varios empleadores rurales, y dentro de esta fiscalización visitó la </w:t>
      </w:r>
      <w:r w:rsidRPr="00470C7C">
        <w:rPr>
          <w:rFonts w:cs="Arial"/>
          <w:iCs/>
          <w:szCs w:val="20"/>
          <w:lang w:val="es-ES"/>
        </w:rPr>
        <w:t xml:space="preserve">Hacienda Brasil Verde. Después de la fiscalización, el MPT </w:t>
      </w:r>
      <w:r w:rsidRPr="00470C7C">
        <w:rPr>
          <w:rFonts w:cs="Arial"/>
          <w:szCs w:val="20"/>
          <w:lang w:val="es-ES"/>
        </w:rPr>
        <w:t xml:space="preserve">concluyó que los empleadores venían cumpliendo con sus compromisos, y que como resultado la administración directa de los empleados por el empleador había eliminado la dependencia económica y física de los trabajadores a los </w:t>
      </w:r>
      <w:r w:rsidRPr="00470C7C">
        <w:rPr>
          <w:rFonts w:cs="Arial"/>
          <w:i/>
          <w:szCs w:val="20"/>
          <w:lang w:val="es-ES"/>
        </w:rPr>
        <w:t>gatos</w:t>
      </w:r>
      <w:r w:rsidRPr="00470C7C">
        <w:rPr>
          <w:rFonts w:cs="Arial"/>
          <w:szCs w:val="20"/>
          <w:lang w:val="es-ES"/>
        </w:rPr>
        <w:t xml:space="preserve">, que </w:t>
      </w:r>
      <w:r w:rsidR="00550EC1" w:rsidRPr="00470C7C">
        <w:rPr>
          <w:rFonts w:cs="Arial"/>
          <w:szCs w:val="20"/>
          <w:lang w:val="es-ES"/>
        </w:rPr>
        <w:t xml:space="preserve">sería </w:t>
      </w:r>
      <w:r w:rsidRPr="00470C7C">
        <w:rPr>
          <w:rFonts w:cs="Arial"/>
          <w:szCs w:val="20"/>
          <w:lang w:val="es-ES"/>
        </w:rPr>
        <w:t>la causa de explotación de mano de obra forzada y análoga a esclava (</w:t>
      </w:r>
      <w:r w:rsidRPr="00470C7C">
        <w:rPr>
          <w:rFonts w:cs="Arial"/>
          <w:i/>
          <w:szCs w:val="20"/>
          <w:lang w:val="es-ES"/>
        </w:rPr>
        <w:t>supra</w:t>
      </w:r>
      <w:r w:rsidRPr="00470C7C">
        <w:rPr>
          <w:rFonts w:cs="Arial"/>
          <w:szCs w:val="20"/>
          <w:lang w:val="es-ES"/>
        </w:rPr>
        <w:t xml:space="preserve"> </w:t>
      </w:r>
      <w:proofErr w:type="spellStart"/>
      <w:r w:rsidRPr="00470C7C">
        <w:rPr>
          <w:rFonts w:cs="Arial"/>
          <w:szCs w:val="20"/>
          <w:lang w:val="es-ES"/>
        </w:rPr>
        <w:t>párrs</w:t>
      </w:r>
      <w:proofErr w:type="spellEnd"/>
      <w:r w:rsidRPr="00470C7C">
        <w:rPr>
          <w:rFonts w:cs="Arial"/>
          <w:szCs w:val="20"/>
          <w:lang w:val="es-ES"/>
        </w:rPr>
        <w:t xml:space="preserve">. </w:t>
      </w:r>
      <w:r w:rsidR="00977EB4" w:rsidRPr="00470C7C">
        <w:rPr>
          <w:rFonts w:cs="Arial"/>
          <w:szCs w:val="20"/>
          <w:lang w:val="es-ES"/>
        </w:rPr>
        <w:t>181 y 184</w:t>
      </w:r>
      <w:r w:rsidRPr="00470C7C">
        <w:rPr>
          <w:rFonts w:cs="Arial"/>
          <w:szCs w:val="20"/>
          <w:lang w:val="es-ES"/>
        </w:rPr>
        <w:t>).</w:t>
      </w:r>
    </w:p>
    <w:p w14:paraId="1F271555" w14:textId="77777777" w:rsidR="00D81AA1" w:rsidRPr="00470C7C" w:rsidRDefault="00D81AA1" w:rsidP="00D81AA1">
      <w:pPr>
        <w:pStyle w:val="Prrafodelista"/>
        <w:autoSpaceDE w:val="0"/>
        <w:autoSpaceDN w:val="0"/>
        <w:adjustRightInd w:val="0"/>
        <w:ind w:left="0"/>
        <w:rPr>
          <w:rFonts w:cs="Arial"/>
          <w:szCs w:val="20"/>
          <w:lang w:val="es-ES"/>
        </w:rPr>
      </w:pPr>
    </w:p>
    <w:p w14:paraId="396A1374" w14:textId="77777777" w:rsidR="00D81AA1" w:rsidRPr="00470C7C" w:rsidRDefault="00D81AA1" w:rsidP="00D81AA1">
      <w:pPr>
        <w:pStyle w:val="Prrafodelista"/>
        <w:numPr>
          <w:ilvl w:val="0"/>
          <w:numId w:val="1"/>
        </w:numPr>
        <w:autoSpaceDE w:val="0"/>
        <w:autoSpaceDN w:val="0"/>
        <w:adjustRightInd w:val="0"/>
        <w:rPr>
          <w:rFonts w:cs="Arial"/>
          <w:szCs w:val="20"/>
          <w:lang w:val="es-ES"/>
        </w:rPr>
      </w:pPr>
      <w:r w:rsidRPr="00470C7C">
        <w:rPr>
          <w:rFonts w:cs="Arial"/>
          <w:szCs w:val="20"/>
          <w:lang w:val="es-ES"/>
        </w:rPr>
        <w:t>Finalmente, con relación a</w:t>
      </w:r>
      <w:r w:rsidR="00550EC1" w:rsidRPr="00470C7C">
        <w:rPr>
          <w:rFonts w:cs="Arial"/>
          <w:szCs w:val="20"/>
          <w:lang w:val="es-ES"/>
        </w:rPr>
        <w:t xml:space="preserve"> un</w:t>
      </w:r>
      <w:r w:rsidRPr="00470C7C">
        <w:rPr>
          <w:rFonts w:cs="Arial"/>
          <w:szCs w:val="20"/>
          <w:lang w:val="es-ES"/>
        </w:rPr>
        <w:t xml:space="preserve"> proceso penal derivado de la fiscalización de marzo de 2000, la Corte nota que durante </w:t>
      </w:r>
      <w:r w:rsidRPr="00470C7C">
        <w:rPr>
          <w:rFonts w:cs="Arial"/>
          <w:bCs/>
          <w:iCs/>
          <w:szCs w:val="20"/>
        </w:rPr>
        <w:t>la audiencia pública una perit</w:t>
      </w:r>
      <w:r w:rsidR="008E18B4" w:rsidRPr="00470C7C">
        <w:rPr>
          <w:rFonts w:cs="Arial"/>
          <w:bCs/>
          <w:iCs/>
          <w:szCs w:val="20"/>
        </w:rPr>
        <w:t>a</w:t>
      </w:r>
      <w:r w:rsidRPr="00470C7C">
        <w:rPr>
          <w:rFonts w:cs="Arial"/>
          <w:bCs/>
          <w:iCs/>
          <w:szCs w:val="20"/>
        </w:rPr>
        <w:t xml:space="preserve"> y los representantes hicieron referencia a un proceso penal iniciado </w:t>
      </w:r>
      <w:r w:rsidR="00550EC1" w:rsidRPr="00470C7C">
        <w:rPr>
          <w:rFonts w:cs="Arial"/>
          <w:bCs/>
          <w:iCs/>
          <w:szCs w:val="20"/>
        </w:rPr>
        <w:t>sobre</w:t>
      </w:r>
      <w:r w:rsidRPr="00470C7C">
        <w:rPr>
          <w:rFonts w:cs="Arial"/>
          <w:bCs/>
          <w:iCs/>
          <w:szCs w:val="20"/>
        </w:rPr>
        <w:t xml:space="preserve"> los hechos documentados el 15 de marzo de 2000 en la Hacienda Brasil Verde. No obstante, dicho proceso no había sido aportado por el Estado ni se tenía constancia de su desarrollo hasta ese momento. La Corte solicitó al Estado que presentara copia integral del referido procedimiento a efecto de contar con toda la información disponible para la emisión de la Sentencia. Al respecto, el Estado informó que no obstante las diligencias realizadas, no logró obtener copia del proceso número 2001.39.01.000270-0, promovido en 2001, ante la 2ª </w:t>
      </w:r>
      <w:r w:rsidRPr="00470C7C">
        <w:rPr>
          <w:rFonts w:cs="Arial"/>
          <w:bCs/>
          <w:i/>
          <w:iCs/>
          <w:szCs w:val="20"/>
        </w:rPr>
        <w:t>Vara</w:t>
      </w:r>
      <w:r w:rsidRPr="00470C7C">
        <w:rPr>
          <w:rFonts w:cs="Arial"/>
          <w:bCs/>
          <w:iCs/>
          <w:szCs w:val="20"/>
        </w:rPr>
        <w:t xml:space="preserve"> de Justicia Federal de </w:t>
      </w:r>
      <w:proofErr w:type="spellStart"/>
      <w:r w:rsidRPr="00470C7C">
        <w:rPr>
          <w:rFonts w:cs="Arial"/>
          <w:bCs/>
          <w:iCs/>
          <w:szCs w:val="20"/>
        </w:rPr>
        <w:t>Marabá</w:t>
      </w:r>
      <w:proofErr w:type="spellEnd"/>
      <w:r w:rsidRPr="00470C7C">
        <w:rPr>
          <w:rFonts w:cs="Arial"/>
          <w:bCs/>
          <w:iCs/>
          <w:szCs w:val="20"/>
        </w:rPr>
        <w:t xml:space="preserve">, Estado de Pará. </w:t>
      </w:r>
    </w:p>
    <w:p w14:paraId="35791E1C" w14:textId="77777777" w:rsidR="00D81AA1" w:rsidRPr="00470C7C" w:rsidRDefault="00D81AA1" w:rsidP="00D81AA1">
      <w:pPr>
        <w:pStyle w:val="Prrafodelista"/>
        <w:autoSpaceDE w:val="0"/>
        <w:autoSpaceDN w:val="0"/>
        <w:adjustRightInd w:val="0"/>
        <w:ind w:left="0"/>
        <w:rPr>
          <w:rFonts w:cs="Arial"/>
          <w:bCs/>
          <w:iCs/>
          <w:szCs w:val="20"/>
        </w:rPr>
      </w:pPr>
    </w:p>
    <w:p w14:paraId="0284F144"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Asimismo, de la información pública disponible en la página web oficial de la Justicia Federal en el Estado de Pará, hay constancia de que ese proceso penal fue </w:t>
      </w:r>
      <w:r w:rsidR="00B654E8" w:rsidRPr="00470C7C">
        <w:rPr>
          <w:rFonts w:cs="Arial"/>
          <w:bCs/>
          <w:iCs/>
          <w:szCs w:val="20"/>
        </w:rPr>
        <w:t xml:space="preserve">presentado ante el Juzgado Federal de </w:t>
      </w:r>
      <w:proofErr w:type="spellStart"/>
      <w:r w:rsidR="00B654E8" w:rsidRPr="00470C7C">
        <w:rPr>
          <w:rFonts w:cs="Arial"/>
          <w:bCs/>
          <w:iCs/>
          <w:szCs w:val="20"/>
        </w:rPr>
        <w:t>Marabá</w:t>
      </w:r>
      <w:proofErr w:type="spellEnd"/>
      <w:r w:rsidR="00B654E8" w:rsidRPr="00470C7C">
        <w:rPr>
          <w:rFonts w:cs="Arial"/>
          <w:bCs/>
          <w:iCs/>
          <w:szCs w:val="20"/>
        </w:rPr>
        <w:t xml:space="preserve"> el 28 de febrero de 2001, y posteriormente fue </w:t>
      </w:r>
      <w:r w:rsidRPr="00470C7C">
        <w:rPr>
          <w:rFonts w:cs="Arial"/>
          <w:bCs/>
          <w:iCs/>
          <w:szCs w:val="20"/>
        </w:rPr>
        <w:t>trasladado al</w:t>
      </w:r>
      <w:r w:rsidR="00B654E8" w:rsidRPr="00470C7C">
        <w:rPr>
          <w:rFonts w:cs="Arial"/>
          <w:bCs/>
          <w:iCs/>
          <w:szCs w:val="20"/>
        </w:rPr>
        <w:t xml:space="preserve"> Juzgado Estadual de </w:t>
      </w:r>
      <w:proofErr w:type="spellStart"/>
      <w:r w:rsidR="00B654E8" w:rsidRPr="00470C7C">
        <w:rPr>
          <w:rFonts w:cs="Arial"/>
          <w:bCs/>
          <w:iCs/>
          <w:szCs w:val="20"/>
        </w:rPr>
        <w:t>Xinguara</w:t>
      </w:r>
      <w:proofErr w:type="spellEnd"/>
      <w:r w:rsidR="00B654E8" w:rsidRPr="00470C7C">
        <w:rPr>
          <w:rFonts w:cs="Arial"/>
          <w:bCs/>
          <w:iCs/>
          <w:szCs w:val="20"/>
        </w:rPr>
        <w:t>, Estado de Pará, el 3 de agosto de 20</w:t>
      </w:r>
      <w:r w:rsidR="00671170" w:rsidRPr="00470C7C">
        <w:rPr>
          <w:rFonts w:cs="Arial"/>
          <w:bCs/>
          <w:iCs/>
          <w:szCs w:val="20"/>
        </w:rPr>
        <w:t>0</w:t>
      </w:r>
      <w:r w:rsidR="00B654E8" w:rsidRPr="00470C7C">
        <w:rPr>
          <w:rFonts w:cs="Arial"/>
          <w:bCs/>
          <w:iCs/>
          <w:szCs w:val="20"/>
        </w:rPr>
        <w:t xml:space="preserve">1. Durante 10 años dicho proceso estuvo </w:t>
      </w:r>
      <w:r w:rsidR="00947ED0" w:rsidRPr="00470C7C">
        <w:rPr>
          <w:rFonts w:cs="Arial"/>
          <w:bCs/>
          <w:iCs/>
          <w:szCs w:val="20"/>
        </w:rPr>
        <w:t>sin movimiento, hasta el 2 de junio de 2011</w:t>
      </w:r>
      <w:r w:rsidR="00B654E8" w:rsidRPr="00470C7C">
        <w:rPr>
          <w:rFonts w:cs="Arial"/>
          <w:bCs/>
          <w:iCs/>
          <w:szCs w:val="20"/>
        </w:rPr>
        <w:t xml:space="preserve">, </w:t>
      </w:r>
      <w:r w:rsidRPr="00470C7C">
        <w:rPr>
          <w:rFonts w:cs="Arial"/>
          <w:bCs/>
          <w:iCs/>
          <w:szCs w:val="20"/>
        </w:rPr>
        <w:t>sin que exista ninguna otra información al respecto</w:t>
      </w:r>
      <w:r w:rsidR="00947ED0" w:rsidRPr="00470C7C">
        <w:rPr>
          <w:rStyle w:val="Refdenotaalpie"/>
          <w:bCs/>
          <w:iCs/>
        </w:rPr>
        <w:footnoteReference w:id="495"/>
      </w:r>
      <w:r w:rsidRPr="00470C7C">
        <w:rPr>
          <w:rFonts w:cs="Arial"/>
          <w:bCs/>
          <w:iCs/>
          <w:szCs w:val="20"/>
        </w:rPr>
        <w:t>.</w:t>
      </w:r>
    </w:p>
    <w:p w14:paraId="4128700E" w14:textId="77777777" w:rsidR="00D81AA1" w:rsidRPr="00470C7C" w:rsidRDefault="00D81AA1" w:rsidP="00D81AA1">
      <w:pPr>
        <w:pStyle w:val="Prrafodelista"/>
        <w:rPr>
          <w:rFonts w:cs="Arial"/>
          <w:noProof/>
          <w:szCs w:val="20"/>
        </w:rPr>
      </w:pPr>
    </w:p>
    <w:p w14:paraId="475FA553" w14:textId="77777777" w:rsidR="00D81AA1" w:rsidRPr="00470C7C" w:rsidRDefault="00D81AA1" w:rsidP="008B0BCC">
      <w:pPr>
        <w:pStyle w:val="Prrafodelista"/>
        <w:numPr>
          <w:ilvl w:val="0"/>
          <w:numId w:val="24"/>
        </w:numPr>
        <w:tabs>
          <w:tab w:val="right" w:pos="0"/>
        </w:tabs>
        <w:rPr>
          <w:rFonts w:cs="Arial"/>
          <w:i/>
          <w:noProof/>
          <w:szCs w:val="20"/>
        </w:rPr>
      </w:pPr>
      <w:r w:rsidRPr="00470C7C">
        <w:rPr>
          <w:rFonts w:cs="Arial"/>
          <w:i/>
          <w:noProof/>
          <w:szCs w:val="20"/>
        </w:rPr>
        <w:t>La efectividad de los procesos y a la existencia de un recurso efectivo</w:t>
      </w:r>
    </w:p>
    <w:p w14:paraId="3B5642A2" w14:textId="77777777" w:rsidR="00D81AA1" w:rsidRPr="00470C7C" w:rsidRDefault="00D81AA1" w:rsidP="00D81AA1">
      <w:pPr>
        <w:pStyle w:val="Prrafodelista"/>
        <w:ind w:left="0"/>
        <w:rPr>
          <w:rFonts w:cs="Arial"/>
          <w:noProof/>
          <w:szCs w:val="20"/>
        </w:rPr>
      </w:pPr>
    </w:p>
    <w:p w14:paraId="774726C0"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La Corte ha indicado que el artículo 25.1 de la Convención establece, en términos amplios, la obligación a cargo de los Estados de ofrecer a todas las personas sometidas a su jurisdicción un recurso judicial efectivo contra actos violatorios de sus derechos fundamentales</w:t>
      </w:r>
      <w:r w:rsidRPr="00470C7C">
        <w:rPr>
          <w:noProof/>
          <w:szCs w:val="20"/>
          <w:vertAlign w:val="superscript"/>
        </w:rPr>
        <w:footnoteReference w:id="496"/>
      </w:r>
      <w:r w:rsidRPr="00470C7C">
        <w:rPr>
          <w:rFonts w:cs="Arial"/>
          <w:noProof/>
          <w:szCs w:val="20"/>
        </w:rPr>
        <w:t xml:space="preserve">. </w:t>
      </w:r>
    </w:p>
    <w:p w14:paraId="7FA69526" w14:textId="77777777" w:rsidR="00D81AA1" w:rsidRPr="00470C7C" w:rsidRDefault="00D81AA1" w:rsidP="00D81AA1">
      <w:pPr>
        <w:pStyle w:val="Prrafodelista"/>
        <w:ind w:left="0"/>
        <w:rPr>
          <w:rFonts w:cs="Arial"/>
          <w:noProof/>
          <w:szCs w:val="20"/>
        </w:rPr>
      </w:pPr>
      <w:r w:rsidRPr="00470C7C">
        <w:rPr>
          <w:rFonts w:cs="Arial"/>
          <w:noProof/>
          <w:szCs w:val="20"/>
        </w:rPr>
        <w:t xml:space="preserve"> </w:t>
      </w:r>
    </w:p>
    <w:p w14:paraId="34B4C752"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Además, la Corte ha establecido que para que el Estado cumpla con lo dispuesto en el artículo 25 de la Convención, no basta con que los recursos existan formalmente, sino que es preciso que tengan efectividad en los términos del mismo, es decir, que den resultados o respuestas a las violaciones de derechos reconocidos, ya sea en la Convención, en la Constitución o en la ley. Lo anterior implica que el recurso debe ser idóneo para combatir la violación y que sea efectiva su aplicación por la autoridad competente. De igual manera un recurso efectivo implica que el análisis por la autoridad competente de un recurso judicial no puede reducirse a una mera formalidad, sino que debe examinar las razones invocadas por el demandante y manifestarse expresamente sobre ellas</w:t>
      </w:r>
      <w:r w:rsidRPr="00470C7C">
        <w:rPr>
          <w:noProof/>
          <w:szCs w:val="20"/>
          <w:vertAlign w:val="superscript"/>
        </w:rPr>
        <w:footnoteReference w:id="497"/>
      </w:r>
      <w:r w:rsidRPr="00470C7C">
        <w:rPr>
          <w:rFonts w:cs="Arial"/>
          <w:noProof/>
          <w:szCs w:val="20"/>
        </w:rPr>
        <w:t>. No pueden considerarse efectivos aquellos recursos que, por las condiciones generales del país o incluso por las circunstancias particulares de un caso dado, resulten ilusorios</w:t>
      </w:r>
      <w:r w:rsidRPr="00470C7C">
        <w:rPr>
          <w:noProof/>
          <w:szCs w:val="20"/>
          <w:vertAlign w:val="superscript"/>
        </w:rPr>
        <w:footnoteReference w:id="498"/>
      </w:r>
      <w:r w:rsidRPr="00470C7C">
        <w:rPr>
          <w:rFonts w:cs="Arial"/>
          <w:noProof/>
          <w:szCs w:val="20"/>
        </w:rPr>
        <w:t>. Ello puede ocurrir, por ejemplo, cuando su inutilidad haya quedado demostrada por la práctica, porque falten los medios para ejecutar sus decisiones o por cualquier otra situación que configure un cuadro de denegación de justicia</w:t>
      </w:r>
      <w:r w:rsidRPr="00470C7C">
        <w:rPr>
          <w:noProof/>
          <w:szCs w:val="20"/>
          <w:vertAlign w:val="superscript"/>
        </w:rPr>
        <w:footnoteReference w:id="499"/>
      </w:r>
      <w:r w:rsidRPr="00470C7C">
        <w:rPr>
          <w:rFonts w:cs="Arial"/>
          <w:noProof/>
          <w:szCs w:val="20"/>
        </w:rPr>
        <w:t>. Así, el proceso debe tender a la materialización de la protección del derecho reconocido en el pronunciamiento judicial mediante la aplicación idónea de dicho pronunciamiento</w:t>
      </w:r>
      <w:r w:rsidRPr="00470C7C">
        <w:rPr>
          <w:noProof/>
          <w:szCs w:val="20"/>
          <w:vertAlign w:val="superscript"/>
        </w:rPr>
        <w:footnoteReference w:id="500"/>
      </w:r>
      <w:r w:rsidRPr="00470C7C">
        <w:rPr>
          <w:rFonts w:cs="Arial"/>
          <w:noProof/>
          <w:szCs w:val="20"/>
        </w:rPr>
        <w:t>.</w:t>
      </w:r>
      <w:r w:rsidR="006109E5" w:rsidRPr="00470C7C">
        <w:rPr>
          <w:rFonts w:cs="Arial"/>
          <w:noProof/>
          <w:szCs w:val="20"/>
        </w:rPr>
        <w:t xml:space="preserve"> </w:t>
      </w:r>
    </w:p>
    <w:p w14:paraId="164F59A7" w14:textId="77777777" w:rsidR="00D81AA1" w:rsidRPr="00470C7C" w:rsidRDefault="00D81AA1" w:rsidP="00D81AA1">
      <w:pPr>
        <w:pStyle w:val="Prrafodelista"/>
        <w:ind w:left="0"/>
        <w:rPr>
          <w:rFonts w:cs="Arial"/>
          <w:noProof/>
          <w:szCs w:val="20"/>
        </w:rPr>
      </w:pPr>
    </w:p>
    <w:p w14:paraId="7D2F0C5E"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La Corte ha señalado que</w:t>
      </w:r>
      <w:r w:rsidR="001B4403" w:rsidRPr="00470C7C">
        <w:rPr>
          <w:rFonts w:cs="Arial"/>
          <w:noProof/>
          <w:szCs w:val="20"/>
        </w:rPr>
        <w:t>,</w:t>
      </w:r>
      <w:r w:rsidRPr="00470C7C">
        <w:rPr>
          <w:rFonts w:cs="Arial"/>
          <w:noProof/>
          <w:szCs w:val="20"/>
        </w:rPr>
        <w:t xml:space="preserve"> en los términos del artículo 25 de la Convención</w:t>
      </w:r>
      <w:r w:rsidR="001B4403" w:rsidRPr="00470C7C">
        <w:rPr>
          <w:rFonts w:cs="Arial"/>
          <w:noProof/>
          <w:szCs w:val="20"/>
        </w:rPr>
        <w:t>,</w:t>
      </w:r>
      <w:r w:rsidRPr="00470C7C">
        <w:rPr>
          <w:rFonts w:cs="Arial"/>
          <w:noProof/>
          <w:szCs w:val="20"/>
        </w:rPr>
        <w:t xml:space="preserve"> es posible identificar dos obligaciones específicas del Estado. La primera, consagrar normativamente y asegurar la debida aplicación de recursos efectivos ante las autoridades competentes, que amparen a todas las personas bajo su jurisdicción contra actos que violen sus derechos fundamentales o que conlleven la determinación de los derechos y obligaciones de éstas. La segunda, garantizar los medios para ejecutar las respectivas decisiones y sentencias definitivas emitidas por tales autoridades competentes, de manera que se protejan efectivamente los derechos declarados o reconocidos</w:t>
      </w:r>
      <w:r w:rsidR="003014DB" w:rsidRPr="00470C7C">
        <w:rPr>
          <w:noProof/>
          <w:szCs w:val="20"/>
          <w:vertAlign w:val="superscript"/>
        </w:rPr>
        <w:footnoteReference w:id="501"/>
      </w:r>
      <w:r w:rsidRPr="00470C7C">
        <w:rPr>
          <w:rFonts w:cs="Arial"/>
          <w:noProof/>
          <w:szCs w:val="20"/>
        </w:rPr>
        <w:t>. El derecho establecido en el artículo 25 se encuentra íntimamente ligado con la obligación general del artículo 1.1 de la Convención, al atribuir funciones de protección al derecho interno de los Estados Partes</w:t>
      </w:r>
      <w:r w:rsidRPr="00470C7C">
        <w:rPr>
          <w:noProof/>
          <w:szCs w:val="20"/>
          <w:vertAlign w:val="superscript"/>
        </w:rPr>
        <w:footnoteReference w:id="502"/>
      </w:r>
      <w:r w:rsidRPr="00470C7C">
        <w:rPr>
          <w:rFonts w:cs="Arial"/>
          <w:noProof/>
          <w:szCs w:val="20"/>
        </w:rPr>
        <w:t>. A la vista de lo anterior, el Estado tiene la responsabilidad no</w:t>
      </w:r>
      <w:r w:rsidR="00B54FB3" w:rsidRPr="00470C7C">
        <w:rPr>
          <w:rFonts w:cs="Arial"/>
          <w:noProof/>
          <w:szCs w:val="20"/>
        </w:rPr>
        <w:t xml:space="preserve"> </w:t>
      </w:r>
      <w:r w:rsidR="004D1879" w:rsidRPr="00470C7C">
        <w:rPr>
          <w:rFonts w:cs="Arial"/>
          <w:noProof/>
          <w:szCs w:val="20"/>
        </w:rPr>
        <w:t xml:space="preserve">solo </w:t>
      </w:r>
      <w:r w:rsidRPr="00470C7C">
        <w:rPr>
          <w:rFonts w:cs="Arial"/>
          <w:noProof/>
          <w:szCs w:val="20"/>
        </w:rPr>
        <w:t>de diseñar y consagrar normativamente un recurso eficaz, sino también la de asegurar la debida aplicación de dicho recurso por parte de sus autoridades judiciales</w:t>
      </w:r>
      <w:r w:rsidRPr="00470C7C">
        <w:rPr>
          <w:noProof/>
          <w:szCs w:val="20"/>
          <w:vertAlign w:val="superscript"/>
        </w:rPr>
        <w:footnoteReference w:id="503"/>
      </w:r>
      <w:r w:rsidRPr="00470C7C">
        <w:rPr>
          <w:rFonts w:cs="Arial"/>
          <w:noProof/>
          <w:szCs w:val="20"/>
        </w:rPr>
        <w:t>.</w:t>
      </w:r>
      <w:r w:rsidR="006109E5" w:rsidRPr="00470C7C">
        <w:rPr>
          <w:rFonts w:cs="Arial"/>
          <w:noProof/>
          <w:szCs w:val="20"/>
        </w:rPr>
        <w:t xml:space="preserve"> </w:t>
      </w:r>
    </w:p>
    <w:p w14:paraId="10FA74E7" w14:textId="77777777" w:rsidR="00D81AA1" w:rsidRPr="00470C7C" w:rsidRDefault="00D81AA1" w:rsidP="00D81AA1">
      <w:pPr>
        <w:pStyle w:val="Prrafodelista"/>
        <w:autoSpaceDE w:val="0"/>
        <w:autoSpaceDN w:val="0"/>
        <w:adjustRightInd w:val="0"/>
        <w:ind w:left="0"/>
        <w:rPr>
          <w:rFonts w:cs="Arial"/>
          <w:bCs/>
          <w:iCs/>
          <w:szCs w:val="20"/>
        </w:rPr>
      </w:pPr>
    </w:p>
    <w:p w14:paraId="7363740B"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En el presente caso, la Corte considera en primer lugar que el Estado brasileño cuenta con un marco normativo que, en principio, permite garantizar la protección judicial de las personas, sancionando la comisión de conductas ilícitas y previendo la reparación de daños causados a las víctimas ante la eventual violación del artículo 149 del </w:t>
      </w:r>
      <w:r w:rsidR="00BE60E8" w:rsidRPr="00470C7C">
        <w:rPr>
          <w:rFonts w:cs="Arial"/>
          <w:bCs/>
          <w:iCs/>
          <w:szCs w:val="20"/>
        </w:rPr>
        <w:t>Código Penal brasileño</w:t>
      </w:r>
      <w:r w:rsidRPr="00470C7C">
        <w:rPr>
          <w:rFonts w:cs="Arial"/>
          <w:bCs/>
          <w:iCs/>
          <w:szCs w:val="20"/>
        </w:rPr>
        <w:t xml:space="preserve">, el cual prevé como delito la </w:t>
      </w:r>
      <w:r w:rsidRPr="00470C7C">
        <w:rPr>
          <w:rFonts w:cs="Arial"/>
          <w:szCs w:val="20"/>
        </w:rPr>
        <w:t>reducción</w:t>
      </w:r>
      <w:r w:rsidR="00260035" w:rsidRPr="00470C7C">
        <w:rPr>
          <w:rFonts w:cs="Arial"/>
          <w:szCs w:val="20"/>
        </w:rPr>
        <w:t xml:space="preserve"> a condición</w:t>
      </w:r>
      <w:r w:rsidRPr="00470C7C">
        <w:rPr>
          <w:rFonts w:cs="Arial"/>
          <w:szCs w:val="20"/>
        </w:rPr>
        <w:t xml:space="preserve"> análoga a </w:t>
      </w:r>
      <w:r w:rsidR="00260035" w:rsidRPr="00470C7C">
        <w:rPr>
          <w:rFonts w:cs="Arial"/>
          <w:szCs w:val="20"/>
        </w:rPr>
        <w:t xml:space="preserve">la de </w:t>
      </w:r>
      <w:r w:rsidRPr="00470C7C">
        <w:rPr>
          <w:rFonts w:cs="Arial"/>
          <w:szCs w:val="20"/>
        </w:rPr>
        <w:t>esclavo.</w:t>
      </w:r>
      <w:r w:rsidRPr="00470C7C">
        <w:rPr>
          <w:rFonts w:cs="Arial"/>
          <w:bCs/>
          <w:iCs/>
          <w:szCs w:val="20"/>
        </w:rPr>
        <w:t xml:space="preserve"> </w:t>
      </w:r>
    </w:p>
    <w:p w14:paraId="4967B7B1" w14:textId="77777777" w:rsidR="00D81AA1" w:rsidRPr="00470C7C" w:rsidRDefault="00D81AA1" w:rsidP="00D81AA1">
      <w:pPr>
        <w:pStyle w:val="Prrafodelista"/>
        <w:rPr>
          <w:rFonts w:cs="Arial"/>
          <w:bCs/>
          <w:iCs/>
          <w:szCs w:val="20"/>
        </w:rPr>
      </w:pPr>
    </w:p>
    <w:p w14:paraId="2AFED825"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No obstante, la Corte recuerda su jurisprudencia en el sentido que la existencia de recursos judiciales, por sí sola, no colma la obligación convencional del Estado, sino que, en los hechos, deben ser instrumentos idóneos y efectivos, y además deben dar respuesta oportuna y exhaustiva de acuerdo a su finalidad, esto es, determinar las responsabilidades y reparar a las víctimas en su caso. La Corte analizará a continuación si los procesos emprendidos en el presente caso fueron efectivamente instrumentos idóneos y efectivos.</w:t>
      </w:r>
    </w:p>
    <w:p w14:paraId="0DB6CAED" w14:textId="77777777" w:rsidR="00D81AA1" w:rsidRPr="00470C7C" w:rsidRDefault="00D81AA1" w:rsidP="00D81AA1">
      <w:pPr>
        <w:pStyle w:val="Prrafodelista"/>
        <w:rPr>
          <w:rFonts w:cs="Arial"/>
          <w:bCs/>
          <w:iCs/>
          <w:szCs w:val="20"/>
        </w:rPr>
      </w:pPr>
    </w:p>
    <w:p w14:paraId="3893A484"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Con relación al proceso penal de 1997, la Corte destaca que la acción penal </w:t>
      </w:r>
      <w:r w:rsidRPr="00470C7C">
        <w:rPr>
          <w:rFonts w:cs="Arial"/>
          <w:szCs w:val="20"/>
        </w:rPr>
        <w:t>se formuló contra el</w:t>
      </w:r>
      <w:r w:rsidR="00DB1C1D" w:rsidRPr="00470C7C">
        <w:rPr>
          <w:rFonts w:cs="Arial"/>
          <w:i/>
          <w:szCs w:val="20"/>
        </w:rPr>
        <w:t xml:space="preserve"> gato </w:t>
      </w:r>
      <w:r w:rsidRPr="00470C7C">
        <w:rPr>
          <w:rFonts w:cs="Arial"/>
          <w:szCs w:val="20"/>
        </w:rPr>
        <w:t>Raimundo Alves d</w:t>
      </w:r>
      <w:r w:rsidR="00752D4A" w:rsidRPr="00470C7C">
        <w:rPr>
          <w:rFonts w:cs="Arial"/>
          <w:szCs w:val="20"/>
        </w:rPr>
        <w:t>a</w:t>
      </w:r>
      <w:r w:rsidRPr="00470C7C">
        <w:rPr>
          <w:rFonts w:cs="Arial"/>
          <w:szCs w:val="20"/>
        </w:rPr>
        <w:t xml:space="preserve"> Rocha; </w:t>
      </w:r>
      <w:proofErr w:type="spellStart"/>
      <w:r w:rsidR="00D60654" w:rsidRPr="00470C7C">
        <w:rPr>
          <w:rFonts w:cs="Arial"/>
          <w:szCs w:val="20"/>
        </w:rPr>
        <w:t>Antônio</w:t>
      </w:r>
      <w:proofErr w:type="spellEnd"/>
      <w:r w:rsidR="00D60654" w:rsidRPr="00470C7C">
        <w:rPr>
          <w:rFonts w:cs="Arial"/>
          <w:szCs w:val="20"/>
        </w:rPr>
        <w:t xml:space="preserve"> </w:t>
      </w:r>
      <w:r w:rsidRPr="00470C7C">
        <w:rPr>
          <w:rFonts w:cs="Arial"/>
          <w:szCs w:val="20"/>
        </w:rPr>
        <w:t xml:space="preserve">Alves Vieira, gerente de la Hacienda Brasil Verde y João </w:t>
      </w:r>
      <w:proofErr w:type="spellStart"/>
      <w:r w:rsidRPr="00470C7C">
        <w:rPr>
          <w:rFonts w:cs="Arial"/>
          <w:szCs w:val="20"/>
        </w:rPr>
        <w:t>Luiz</w:t>
      </w:r>
      <w:proofErr w:type="spellEnd"/>
      <w:r w:rsidRPr="00470C7C">
        <w:rPr>
          <w:rFonts w:cs="Arial"/>
          <w:szCs w:val="20"/>
        </w:rPr>
        <w:t xml:space="preserve"> </w:t>
      </w:r>
      <w:proofErr w:type="spellStart"/>
      <w:r w:rsidRPr="00470C7C">
        <w:rPr>
          <w:rFonts w:cs="Arial"/>
          <w:szCs w:val="20"/>
        </w:rPr>
        <w:t>Quagliato</w:t>
      </w:r>
      <w:proofErr w:type="spellEnd"/>
      <w:r w:rsidRPr="00470C7C">
        <w:rPr>
          <w:rFonts w:cs="Arial"/>
          <w:szCs w:val="20"/>
        </w:rPr>
        <w:t xml:space="preserve"> Neto, dueño de dicha hacienda. No obstante</w:t>
      </w:r>
      <w:r w:rsidR="002F41B3" w:rsidRPr="00470C7C">
        <w:rPr>
          <w:rFonts w:cs="Arial"/>
          <w:szCs w:val="20"/>
        </w:rPr>
        <w:t>,</w:t>
      </w:r>
      <w:r w:rsidRPr="00470C7C">
        <w:rPr>
          <w:rFonts w:cs="Arial"/>
          <w:szCs w:val="20"/>
        </w:rPr>
        <w:t xml:space="preserve"> únicamente Raimundo Alves y </w:t>
      </w:r>
      <w:proofErr w:type="spellStart"/>
      <w:r w:rsidR="00D60654" w:rsidRPr="00470C7C">
        <w:rPr>
          <w:rFonts w:cs="Arial"/>
          <w:szCs w:val="20"/>
        </w:rPr>
        <w:t>Antônio</w:t>
      </w:r>
      <w:proofErr w:type="spellEnd"/>
      <w:r w:rsidR="00D60654" w:rsidRPr="00470C7C">
        <w:rPr>
          <w:rFonts w:cs="Arial"/>
          <w:szCs w:val="20"/>
        </w:rPr>
        <w:t xml:space="preserve"> </w:t>
      </w:r>
      <w:r w:rsidRPr="00470C7C">
        <w:rPr>
          <w:rFonts w:cs="Arial"/>
          <w:szCs w:val="20"/>
        </w:rPr>
        <w:t xml:space="preserve">Alves fueron acusados por la comisión del delito de reducción </w:t>
      </w:r>
      <w:r w:rsidR="00260035" w:rsidRPr="00470C7C">
        <w:rPr>
          <w:rFonts w:cs="Arial"/>
          <w:szCs w:val="20"/>
        </w:rPr>
        <w:t xml:space="preserve">a condición </w:t>
      </w:r>
      <w:r w:rsidRPr="00470C7C">
        <w:rPr>
          <w:rFonts w:cs="Arial"/>
          <w:szCs w:val="20"/>
        </w:rPr>
        <w:t xml:space="preserve">análoga a </w:t>
      </w:r>
      <w:r w:rsidR="00260035" w:rsidRPr="00470C7C">
        <w:rPr>
          <w:rFonts w:cs="Arial"/>
          <w:szCs w:val="20"/>
        </w:rPr>
        <w:t xml:space="preserve">la de </w:t>
      </w:r>
      <w:r w:rsidRPr="00470C7C">
        <w:rPr>
          <w:rFonts w:cs="Arial"/>
          <w:szCs w:val="20"/>
        </w:rPr>
        <w:t xml:space="preserve">esclavo, mientras que João </w:t>
      </w:r>
      <w:proofErr w:type="spellStart"/>
      <w:r w:rsidRPr="00470C7C">
        <w:rPr>
          <w:rFonts w:cs="Arial"/>
          <w:szCs w:val="20"/>
        </w:rPr>
        <w:t>Luiz</w:t>
      </w:r>
      <w:proofErr w:type="spellEnd"/>
      <w:r w:rsidRPr="00470C7C">
        <w:rPr>
          <w:rFonts w:cs="Arial"/>
          <w:szCs w:val="20"/>
        </w:rPr>
        <w:t xml:space="preserve"> </w:t>
      </w:r>
      <w:proofErr w:type="spellStart"/>
      <w:r w:rsidRPr="00470C7C">
        <w:rPr>
          <w:rFonts w:cs="Arial"/>
          <w:szCs w:val="20"/>
        </w:rPr>
        <w:t>Quagliato</w:t>
      </w:r>
      <w:proofErr w:type="spellEnd"/>
      <w:r w:rsidRPr="00470C7C">
        <w:rPr>
          <w:rFonts w:cs="Arial"/>
          <w:szCs w:val="20"/>
        </w:rPr>
        <w:t xml:space="preserve"> Neto fue acusado por la comisión de un delito menos grave.</w:t>
      </w:r>
    </w:p>
    <w:p w14:paraId="131B1B32" w14:textId="77777777" w:rsidR="00D81AA1" w:rsidRPr="00470C7C" w:rsidRDefault="00D81AA1" w:rsidP="00D81AA1">
      <w:pPr>
        <w:pStyle w:val="Prrafodelista"/>
        <w:rPr>
          <w:rFonts w:cs="Arial"/>
          <w:bCs/>
          <w:iCs/>
          <w:szCs w:val="20"/>
        </w:rPr>
      </w:pPr>
    </w:p>
    <w:p w14:paraId="11EF0C55"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Además de la demora ocasionada por la falta de acción procesal, el retraso derivado por el conflicto de competencias afectó la debida diligencia en el proceso penal (</w:t>
      </w:r>
      <w:r w:rsidRPr="00470C7C">
        <w:rPr>
          <w:rFonts w:cs="Arial"/>
          <w:bCs/>
          <w:i/>
          <w:iCs/>
          <w:szCs w:val="20"/>
        </w:rPr>
        <w:t>supra</w:t>
      </w:r>
      <w:r w:rsidRPr="00470C7C">
        <w:rPr>
          <w:rFonts w:cs="Arial"/>
          <w:bCs/>
          <w:iCs/>
          <w:szCs w:val="20"/>
        </w:rPr>
        <w:t xml:space="preserve"> párr. </w:t>
      </w:r>
      <w:r w:rsidR="00146AEA" w:rsidRPr="00470C7C">
        <w:rPr>
          <w:rFonts w:cs="Arial"/>
          <w:bCs/>
          <w:iCs/>
          <w:szCs w:val="20"/>
        </w:rPr>
        <w:t>367</w:t>
      </w:r>
      <w:r w:rsidR="008E18B4" w:rsidRPr="00470C7C">
        <w:rPr>
          <w:rFonts w:cs="Arial"/>
          <w:bCs/>
          <w:iCs/>
          <w:szCs w:val="20"/>
        </w:rPr>
        <w:t>), l</w:t>
      </w:r>
      <w:r w:rsidRPr="00470C7C">
        <w:rPr>
          <w:rFonts w:cs="Arial"/>
          <w:bCs/>
          <w:iCs/>
          <w:szCs w:val="20"/>
        </w:rPr>
        <w:t xml:space="preserve">a Corte nota que </w:t>
      </w:r>
      <w:r w:rsidRPr="00470C7C">
        <w:rPr>
          <w:rFonts w:cs="Arial"/>
          <w:szCs w:val="20"/>
        </w:rPr>
        <w:t xml:space="preserve">después de diversas actuaciones que no fueron procesalmente relevantes, el 28 de mayo de 2002 se declaró extinta la acción penal seguida contra João </w:t>
      </w:r>
      <w:proofErr w:type="spellStart"/>
      <w:r w:rsidRPr="00470C7C">
        <w:rPr>
          <w:rFonts w:cs="Arial"/>
          <w:szCs w:val="20"/>
        </w:rPr>
        <w:t>Luiz</w:t>
      </w:r>
      <w:proofErr w:type="spellEnd"/>
      <w:r w:rsidRPr="00470C7C">
        <w:rPr>
          <w:rFonts w:cs="Arial"/>
          <w:szCs w:val="20"/>
        </w:rPr>
        <w:t xml:space="preserve"> </w:t>
      </w:r>
      <w:proofErr w:type="spellStart"/>
      <w:r w:rsidRPr="00470C7C">
        <w:rPr>
          <w:rFonts w:cs="Arial"/>
          <w:szCs w:val="20"/>
        </w:rPr>
        <w:t>Quagliato</w:t>
      </w:r>
      <w:proofErr w:type="spellEnd"/>
      <w:r w:rsidRPr="00470C7C">
        <w:rPr>
          <w:rFonts w:cs="Arial"/>
          <w:szCs w:val="20"/>
        </w:rPr>
        <w:t xml:space="preserve"> Neto y el 10 de julio de 2008 se declaró la prescripción de la pena respecto de los ilícitos atribuidos a Raimundo Alves de Rocha y </w:t>
      </w:r>
      <w:proofErr w:type="spellStart"/>
      <w:r w:rsidR="00D60654" w:rsidRPr="00470C7C">
        <w:rPr>
          <w:rFonts w:cs="Arial"/>
          <w:szCs w:val="20"/>
        </w:rPr>
        <w:t>Antônio</w:t>
      </w:r>
      <w:proofErr w:type="spellEnd"/>
      <w:r w:rsidR="00D60654" w:rsidRPr="00470C7C">
        <w:rPr>
          <w:rFonts w:cs="Arial"/>
          <w:szCs w:val="20"/>
        </w:rPr>
        <w:t xml:space="preserve"> </w:t>
      </w:r>
      <w:r w:rsidRPr="00470C7C">
        <w:rPr>
          <w:rFonts w:cs="Arial"/>
          <w:szCs w:val="20"/>
        </w:rPr>
        <w:t xml:space="preserve">Alves Vieira, tras una dilación del trámite de 10 años. </w:t>
      </w:r>
    </w:p>
    <w:p w14:paraId="1AB8D114" w14:textId="77777777" w:rsidR="00D81AA1" w:rsidRPr="00470C7C" w:rsidRDefault="00D81AA1" w:rsidP="00D81AA1">
      <w:pPr>
        <w:pStyle w:val="Prrafodelista"/>
        <w:rPr>
          <w:rFonts w:cs="Arial"/>
          <w:bCs/>
          <w:iCs/>
          <w:szCs w:val="20"/>
        </w:rPr>
      </w:pPr>
    </w:p>
    <w:p w14:paraId="3F39A895"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La Corte considera que la acción penal </w:t>
      </w:r>
      <w:r w:rsidRPr="00470C7C">
        <w:rPr>
          <w:rFonts w:cs="Arial"/>
          <w:szCs w:val="20"/>
        </w:rPr>
        <w:t>de 1997 debió atender con especial diligencia los hechos denunciados. Por el contrario, su larga duración en el tiempo por aspectos atribuibles a las autoridades judiciales dejó sin posibilidad el análisis del caso. La Corte destaca que el Ministerio Público</w:t>
      </w:r>
      <w:r w:rsidR="000631F4" w:rsidRPr="00470C7C">
        <w:rPr>
          <w:rFonts w:cs="Arial"/>
          <w:szCs w:val="20"/>
        </w:rPr>
        <w:t>,</w:t>
      </w:r>
      <w:r w:rsidRPr="00470C7C">
        <w:rPr>
          <w:rFonts w:cs="Arial"/>
          <w:szCs w:val="20"/>
        </w:rPr>
        <w:t xml:space="preserve"> en su solicitud de declaración de prescripción, señaló que “</w:t>
      </w:r>
      <w:proofErr w:type="spellStart"/>
      <w:r w:rsidRPr="00470C7C">
        <w:rPr>
          <w:rFonts w:cs="Arial"/>
          <w:szCs w:val="20"/>
        </w:rPr>
        <w:t>exist</w:t>
      </w:r>
      <w:proofErr w:type="spellEnd"/>
      <w:r w:rsidRPr="00470C7C">
        <w:rPr>
          <w:rFonts w:cs="Arial"/>
          <w:szCs w:val="20"/>
        </w:rPr>
        <w:t>[</w:t>
      </w:r>
      <w:proofErr w:type="spellStart"/>
      <w:r w:rsidRPr="00470C7C">
        <w:rPr>
          <w:rFonts w:cs="Arial"/>
          <w:szCs w:val="20"/>
        </w:rPr>
        <w:t>ía</w:t>
      </w:r>
      <w:proofErr w:type="spellEnd"/>
      <w:r w:rsidRPr="00470C7C">
        <w:rPr>
          <w:rFonts w:cs="Arial"/>
          <w:szCs w:val="20"/>
        </w:rPr>
        <w:t xml:space="preserve">] prueba suficiente de la autoría de la práctica de los delitos de reducción a condición análoga a la de </w:t>
      </w:r>
      <w:r w:rsidR="00260035" w:rsidRPr="00470C7C">
        <w:rPr>
          <w:rFonts w:cs="Arial"/>
          <w:szCs w:val="20"/>
        </w:rPr>
        <w:t>esclavo</w:t>
      </w:r>
      <w:r w:rsidR="000631F4" w:rsidRPr="00470C7C">
        <w:rPr>
          <w:rFonts w:cs="Arial"/>
          <w:szCs w:val="20"/>
        </w:rPr>
        <w:t xml:space="preserve"> […]</w:t>
      </w:r>
      <w:r w:rsidRPr="00470C7C">
        <w:rPr>
          <w:rFonts w:cs="Arial"/>
          <w:szCs w:val="20"/>
        </w:rPr>
        <w:t xml:space="preserve">, atentado contra la libertad de trabajo </w:t>
      </w:r>
      <w:r w:rsidR="000631F4" w:rsidRPr="00470C7C">
        <w:rPr>
          <w:rFonts w:cs="Arial"/>
          <w:szCs w:val="20"/>
        </w:rPr>
        <w:t xml:space="preserve">[…] </w:t>
      </w:r>
      <w:r w:rsidRPr="00470C7C">
        <w:rPr>
          <w:rFonts w:cs="Arial"/>
          <w:szCs w:val="20"/>
        </w:rPr>
        <w:t>y reclutamiento ilegal de trabajadores de un local para otro del territorio nacional</w:t>
      </w:r>
      <w:r w:rsidR="000631F4" w:rsidRPr="00470C7C">
        <w:rPr>
          <w:rFonts w:cs="Arial"/>
          <w:szCs w:val="20"/>
        </w:rPr>
        <w:t xml:space="preserve"> […]</w:t>
      </w:r>
      <w:r w:rsidRPr="00470C7C">
        <w:rPr>
          <w:rFonts w:cs="Arial"/>
          <w:szCs w:val="20"/>
        </w:rPr>
        <w:t xml:space="preserve">, mediante la detención por deudas”. Sin embargo, a pesar de conocerse dichas condiciones, no realizó el impulso procesal necesario para que las autoridades judiciales determinaran de forma pronta y expedita las responsabilidades en el caso y las medidas para proteger y reparar a las víctimas. </w:t>
      </w:r>
    </w:p>
    <w:p w14:paraId="22053E70" w14:textId="77777777" w:rsidR="00D81AA1" w:rsidRPr="00470C7C" w:rsidRDefault="00D81AA1" w:rsidP="00D81AA1">
      <w:pPr>
        <w:pStyle w:val="Prrafodelista"/>
        <w:rPr>
          <w:rFonts w:cs="Arial"/>
          <w:szCs w:val="20"/>
        </w:rPr>
      </w:pPr>
    </w:p>
    <w:p w14:paraId="3E390E27"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Por su parte, la autoridad judicial consideró que el proceso había </w:t>
      </w:r>
      <w:r w:rsidR="00B37C46" w:rsidRPr="00470C7C">
        <w:rPr>
          <w:rFonts w:cs="Arial"/>
          <w:szCs w:val="20"/>
        </w:rPr>
        <w:t>“</w:t>
      </w:r>
      <w:r w:rsidRPr="00470C7C">
        <w:rPr>
          <w:rFonts w:cs="Arial"/>
          <w:szCs w:val="20"/>
        </w:rPr>
        <w:t>nacido condenado al fracaso</w:t>
      </w:r>
      <w:r w:rsidR="00B37C46" w:rsidRPr="00470C7C">
        <w:rPr>
          <w:rFonts w:cs="Arial"/>
          <w:szCs w:val="20"/>
        </w:rPr>
        <w:t>”</w:t>
      </w:r>
      <w:r w:rsidRPr="00470C7C">
        <w:rPr>
          <w:rFonts w:cs="Arial"/>
          <w:szCs w:val="20"/>
        </w:rPr>
        <w:t xml:space="preserve">, indicando que con los elementos probatorios con que se contaba en la instrucción criminal resultaba inútil continuar con el proceso, tomando en cuenta además </w:t>
      </w:r>
      <w:r w:rsidR="00B37C46" w:rsidRPr="00470C7C">
        <w:rPr>
          <w:rFonts w:cs="Arial"/>
          <w:szCs w:val="20"/>
        </w:rPr>
        <w:t>“</w:t>
      </w:r>
      <w:r w:rsidRPr="00470C7C">
        <w:rPr>
          <w:rFonts w:cs="Arial"/>
          <w:szCs w:val="20"/>
        </w:rPr>
        <w:t>la falta de acción por parte del Estado, la política criminal y la economía procesal</w:t>
      </w:r>
      <w:r w:rsidR="00B37C46" w:rsidRPr="00470C7C">
        <w:rPr>
          <w:rFonts w:cs="Arial"/>
          <w:szCs w:val="20"/>
        </w:rPr>
        <w:t>”</w:t>
      </w:r>
      <w:r w:rsidR="002A2B23" w:rsidRPr="00470C7C">
        <w:rPr>
          <w:rStyle w:val="Refdenotaalpie"/>
        </w:rPr>
        <w:footnoteReference w:id="504"/>
      </w:r>
      <w:r w:rsidRPr="00470C7C">
        <w:rPr>
          <w:rFonts w:cs="Arial"/>
          <w:szCs w:val="20"/>
        </w:rPr>
        <w:t>.</w:t>
      </w:r>
    </w:p>
    <w:p w14:paraId="2DE0C23D" w14:textId="77777777" w:rsidR="00D81AA1" w:rsidRPr="00470C7C" w:rsidRDefault="00D81AA1" w:rsidP="00D81AA1">
      <w:pPr>
        <w:pStyle w:val="Prrafodelista"/>
        <w:rPr>
          <w:rFonts w:cs="Arial"/>
          <w:szCs w:val="20"/>
        </w:rPr>
      </w:pPr>
    </w:p>
    <w:p w14:paraId="2288705C"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bCs/>
          <w:iCs/>
          <w:szCs w:val="20"/>
        </w:rPr>
        <w:t xml:space="preserve">El proceso penal de 1997 inició y terminó sin que se entrara a analizar realmente el fondo del asunto, pese a la extrema gravedad de los hechos que se le imputaban a los acusados. Además del conflicto de competencia y de </w:t>
      </w:r>
      <w:r w:rsidR="006109E5" w:rsidRPr="00470C7C">
        <w:rPr>
          <w:rFonts w:cs="Arial"/>
          <w:bCs/>
          <w:iCs/>
          <w:szCs w:val="20"/>
        </w:rPr>
        <w:t xml:space="preserve">otras </w:t>
      </w:r>
      <w:r w:rsidRPr="00470C7C">
        <w:rPr>
          <w:rFonts w:cs="Arial"/>
          <w:bCs/>
          <w:iCs/>
          <w:szCs w:val="20"/>
        </w:rPr>
        <w:t xml:space="preserve">diligencias, el proceso no analizó los hechos del caso, y no representó un mecanismo efectivo para analizar </w:t>
      </w:r>
      <w:r w:rsidRPr="00470C7C">
        <w:rPr>
          <w:rFonts w:cs="Arial"/>
          <w:szCs w:val="20"/>
        </w:rPr>
        <w:t xml:space="preserve">la comisión del delito de reducción </w:t>
      </w:r>
      <w:r w:rsidR="00260035" w:rsidRPr="00470C7C">
        <w:rPr>
          <w:rFonts w:cs="Arial"/>
          <w:szCs w:val="20"/>
        </w:rPr>
        <w:t xml:space="preserve">a condición </w:t>
      </w:r>
      <w:r w:rsidRPr="00470C7C">
        <w:rPr>
          <w:rFonts w:cs="Arial"/>
          <w:szCs w:val="20"/>
        </w:rPr>
        <w:t xml:space="preserve">análoga a </w:t>
      </w:r>
      <w:r w:rsidR="00260035" w:rsidRPr="00470C7C">
        <w:rPr>
          <w:rFonts w:cs="Arial"/>
          <w:szCs w:val="20"/>
        </w:rPr>
        <w:t xml:space="preserve">la de </w:t>
      </w:r>
      <w:r w:rsidRPr="00470C7C">
        <w:rPr>
          <w:rFonts w:cs="Arial"/>
          <w:szCs w:val="20"/>
        </w:rPr>
        <w:t xml:space="preserve">esclavo previsto entonces en el artículo 149 del </w:t>
      </w:r>
      <w:r w:rsidR="00BE60E8" w:rsidRPr="00470C7C">
        <w:rPr>
          <w:rFonts w:cs="Arial"/>
          <w:szCs w:val="20"/>
        </w:rPr>
        <w:t>Código Penal brasileño</w:t>
      </w:r>
      <w:r w:rsidRPr="00470C7C">
        <w:rPr>
          <w:rFonts w:cs="Arial"/>
          <w:szCs w:val="20"/>
        </w:rPr>
        <w:t>, la responsabilidad de los denunciados y la reparación a las víctimas</w:t>
      </w:r>
      <w:r w:rsidRPr="00470C7C">
        <w:rPr>
          <w:rFonts w:cs="Arial"/>
          <w:bCs/>
          <w:iCs/>
          <w:szCs w:val="20"/>
        </w:rPr>
        <w:t xml:space="preserve">. La única medida que podría considerarse de reparación fue la acordada con el señor </w:t>
      </w:r>
      <w:proofErr w:type="spellStart"/>
      <w:r w:rsidRPr="00470C7C">
        <w:rPr>
          <w:rFonts w:cs="Arial"/>
          <w:bCs/>
          <w:iCs/>
          <w:szCs w:val="20"/>
        </w:rPr>
        <w:t>Quagliato</w:t>
      </w:r>
      <w:proofErr w:type="spellEnd"/>
      <w:r w:rsidRPr="00470C7C">
        <w:rPr>
          <w:rFonts w:cs="Arial"/>
          <w:bCs/>
          <w:iCs/>
          <w:szCs w:val="20"/>
        </w:rPr>
        <w:t xml:space="preserve"> Neto y consistió en la entrega de seis canastas básicas a una entidad de beneficencia en São Paulo, a cambio de la suspensión del proceso en su contra. </w:t>
      </w:r>
    </w:p>
    <w:p w14:paraId="674B36DC" w14:textId="77777777" w:rsidR="00D81AA1" w:rsidRPr="00470C7C" w:rsidRDefault="00D81AA1" w:rsidP="00D81AA1">
      <w:pPr>
        <w:pStyle w:val="Prrafodelista"/>
        <w:rPr>
          <w:rFonts w:cs="Arial"/>
          <w:bCs/>
          <w:iCs/>
          <w:szCs w:val="20"/>
        </w:rPr>
      </w:pPr>
    </w:p>
    <w:p w14:paraId="4B849407"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szCs w:val="20"/>
        </w:rPr>
        <w:t xml:space="preserve">Por otra parte, con relación al procedimiento iniciado ante la Justicia Laboral, la Corte nota que el 15 de enero de 1999 se recomendó a João </w:t>
      </w:r>
      <w:proofErr w:type="spellStart"/>
      <w:r w:rsidRPr="00470C7C">
        <w:rPr>
          <w:rFonts w:cs="Arial"/>
          <w:szCs w:val="20"/>
        </w:rPr>
        <w:t>Luiz</w:t>
      </w:r>
      <w:proofErr w:type="spellEnd"/>
      <w:r w:rsidRPr="00470C7C">
        <w:rPr>
          <w:rFonts w:cs="Arial"/>
          <w:szCs w:val="20"/>
        </w:rPr>
        <w:t xml:space="preserve"> </w:t>
      </w:r>
      <w:proofErr w:type="spellStart"/>
      <w:r w:rsidRPr="00470C7C">
        <w:rPr>
          <w:rFonts w:cs="Arial"/>
          <w:szCs w:val="20"/>
        </w:rPr>
        <w:t>Quagliato</w:t>
      </w:r>
      <w:proofErr w:type="spellEnd"/>
      <w:r w:rsidRPr="00470C7C">
        <w:rPr>
          <w:rFonts w:cs="Arial"/>
          <w:szCs w:val="20"/>
        </w:rPr>
        <w:t xml:space="preserve"> Neto, propietario de la Hacienda Brasil Verde, abstenerse de la práctica de cobrar el calzado a los trabajadores, advirtiendo que de lo contrario se tomarían acciones judiciales en su contra, ordenándose el archivo del expediente. A pesar de la gravedad de las situaciones referidas en el informe de inspección de 1997, </w:t>
      </w:r>
      <w:r w:rsidRPr="00470C7C">
        <w:rPr>
          <w:rFonts w:cs="Arial"/>
          <w:szCs w:val="20"/>
          <w:lang w:val="es-ES"/>
        </w:rPr>
        <w:t xml:space="preserve">la Delegación Regional del Trabajo de Pará prefirió “no actuar, sino orientar en el sentido que las fallas </w:t>
      </w:r>
      <w:r w:rsidR="00ED46CF" w:rsidRPr="00470C7C">
        <w:rPr>
          <w:rFonts w:cs="Arial"/>
          <w:szCs w:val="20"/>
          <w:lang w:val="es-ES"/>
        </w:rPr>
        <w:t xml:space="preserve">[fueran] </w:t>
      </w:r>
      <w:r w:rsidRPr="00470C7C">
        <w:rPr>
          <w:rFonts w:cs="Arial"/>
          <w:szCs w:val="20"/>
          <w:lang w:val="es-ES"/>
        </w:rPr>
        <w:t xml:space="preserve">corregidas”. </w:t>
      </w:r>
    </w:p>
    <w:p w14:paraId="382F9EEB" w14:textId="77777777" w:rsidR="00D81AA1" w:rsidRPr="00470C7C" w:rsidRDefault="00D81AA1" w:rsidP="00D81AA1">
      <w:pPr>
        <w:pStyle w:val="Prrafodelista"/>
        <w:rPr>
          <w:rFonts w:cs="Arial"/>
          <w:bCs/>
          <w:iCs/>
          <w:szCs w:val="20"/>
        </w:rPr>
      </w:pPr>
    </w:p>
    <w:p w14:paraId="15F07710"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szCs w:val="20"/>
        </w:rPr>
        <w:t xml:space="preserve">En lo que respecta a la acción civil pública presentada en 2000 contra João </w:t>
      </w:r>
      <w:proofErr w:type="spellStart"/>
      <w:r w:rsidRPr="00470C7C">
        <w:rPr>
          <w:rFonts w:cs="Arial"/>
          <w:szCs w:val="20"/>
        </w:rPr>
        <w:t>Luiz</w:t>
      </w:r>
      <w:proofErr w:type="spellEnd"/>
      <w:r w:rsidRPr="00470C7C">
        <w:rPr>
          <w:rFonts w:cs="Arial"/>
          <w:szCs w:val="20"/>
        </w:rPr>
        <w:t xml:space="preserve"> </w:t>
      </w:r>
      <w:proofErr w:type="spellStart"/>
      <w:r w:rsidRPr="00470C7C">
        <w:rPr>
          <w:rFonts w:cs="Arial"/>
          <w:szCs w:val="20"/>
        </w:rPr>
        <w:t>Quagliato</w:t>
      </w:r>
      <w:proofErr w:type="spellEnd"/>
      <w:r w:rsidRPr="00470C7C">
        <w:rPr>
          <w:rFonts w:cs="Arial"/>
          <w:szCs w:val="20"/>
        </w:rPr>
        <w:t xml:space="preserve"> Neto, la Corte destaca que la misma concluyó mediante una conciliación, en la que el señor </w:t>
      </w:r>
      <w:proofErr w:type="spellStart"/>
      <w:r w:rsidRPr="00470C7C">
        <w:rPr>
          <w:rFonts w:cs="Arial"/>
          <w:szCs w:val="20"/>
        </w:rPr>
        <w:t>Quagliato</w:t>
      </w:r>
      <w:proofErr w:type="spellEnd"/>
      <w:r w:rsidRPr="00470C7C">
        <w:rPr>
          <w:rFonts w:cs="Arial"/>
          <w:szCs w:val="20"/>
        </w:rPr>
        <w:t xml:space="preserve"> Neto se comprometió a no admitir ni permitir trabajo bajo </w:t>
      </w:r>
      <w:r w:rsidR="009D555F" w:rsidRPr="00470C7C">
        <w:rPr>
          <w:rFonts w:cs="Arial"/>
          <w:szCs w:val="20"/>
        </w:rPr>
        <w:t>“</w:t>
      </w:r>
      <w:r w:rsidRPr="00470C7C">
        <w:rPr>
          <w:rFonts w:cs="Arial"/>
          <w:szCs w:val="20"/>
        </w:rPr>
        <w:t>régimen de esclavitud</w:t>
      </w:r>
      <w:r w:rsidR="009D555F" w:rsidRPr="00470C7C">
        <w:rPr>
          <w:rFonts w:cs="Arial"/>
          <w:szCs w:val="20"/>
        </w:rPr>
        <w:t>”</w:t>
      </w:r>
      <w:r w:rsidRPr="00470C7C">
        <w:rPr>
          <w:rFonts w:cs="Arial"/>
          <w:szCs w:val="20"/>
        </w:rPr>
        <w:t xml:space="preserve"> y proporcionar condiciones de trabajo dignas, apercibido que de lo contrario sería sancionado con multas. A pesar de contar con información grave respecto a los hechos comprobados en la Hacienda, únicamente se pactó un acuerdo sin considerar de manera detallada la gravedad de los hechos ni la necesidad de reparación de los trabajadores de la Hacienda.</w:t>
      </w:r>
    </w:p>
    <w:p w14:paraId="4514648C" w14:textId="77777777" w:rsidR="00D81AA1" w:rsidRPr="00470C7C" w:rsidRDefault="00D81AA1" w:rsidP="00D81AA1">
      <w:pPr>
        <w:pStyle w:val="Prrafodelista"/>
        <w:rPr>
          <w:rFonts w:cs="Arial"/>
          <w:bCs/>
          <w:iCs/>
          <w:szCs w:val="20"/>
        </w:rPr>
      </w:pPr>
    </w:p>
    <w:p w14:paraId="3A62307E"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szCs w:val="20"/>
        </w:rPr>
        <w:t xml:space="preserve">Finalmente, en lo relativo al proceso penal iniciado en 2001 ante la 2ª </w:t>
      </w:r>
      <w:r w:rsidRPr="00470C7C">
        <w:rPr>
          <w:rFonts w:cs="Arial"/>
          <w:i/>
          <w:szCs w:val="20"/>
        </w:rPr>
        <w:t>Vara</w:t>
      </w:r>
      <w:r w:rsidRPr="00470C7C">
        <w:rPr>
          <w:rFonts w:cs="Arial"/>
          <w:szCs w:val="20"/>
        </w:rPr>
        <w:t xml:space="preserve"> de Justicia Federal de </w:t>
      </w:r>
      <w:proofErr w:type="spellStart"/>
      <w:r w:rsidRPr="00470C7C">
        <w:rPr>
          <w:rFonts w:cs="Arial"/>
          <w:szCs w:val="20"/>
        </w:rPr>
        <w:t>Marabá</w:t>
      </w:r>
      <w:proofErr w:type="spellEnd"/>
      <w:r w:rsidRPr="00470C7C">
        <w:rPr>
          <w:rFonts w:cs="Arial"/>
          <w:szCs w:val="20"/>
        </w:rPr>
        <w:t xml:space="preserve">, Pará, la Corte </w:t>
      </w:r>
      <w:r w:rsidR="000C7FE4" w:rsidRPr="00470C7C">
        <w:rPr>
          <w:rFonts w:cs="Arial"/>
          <w:szCs w:val="20"/>
        </w:rPr>
        <w:t xml:space="preserve">destaca </w:t>
      </w:r>
      <w:r w:rsidRPr="00470C7C">
        <w:rPr>
          <w:rFonts w:cs="Arial"/>
          <w:szCs w:val="20"/>
        </w:rPr>
        <w:t>que el Estado no logró aportar las copias del expediente del caso, por lo que no cuenta con elementos para determinar si dicho proceso penal constituyó un recurso efectivo para el análisis de la responsabilidad, la determinación de una sanción ni la reparación por los hechos del caso.</w:t>
      </w:r>
    </w:p>
    <w:p w14:paraId="63EB1F3F" w14:textId="77777777" w:rsidR="00D81AA1" w:rsidRPr="00470C7C" w:rsidRDefault="00D81AA1" w:rsidP="00D81AA1">
      <w:pPr>
        <w:pStyle w:val="Prrafodelista"/>
        <w:rPr>
          <w:rFonts w:cs="Arial"/>
          <w:bCs/>
          <w:iCs/>
          <w:szCs w:val="20"/>
        </w:rPr>
      </w:pPr>
    </w:p>
    <w:p w14:paraId="4E1AAD0C"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Por todo lo anterior, la Corte advierte que ninguno de los procedimientos de los que </w:t>
      </w:r>
      <w:r w:rsidR="008E396F" w:rsidRPr="00470C7C">
        <w:rPr>
          <w:rFonts w:cs="Arial"/>
          <w:bCs/>
          <w:iCs/>
          <w:szCs w:val="20"/>
        </w:rPr>
        <w:t>recibió información</w:t>
      </w:r>
      <w:r w:rsidRPr="00470C7C">
        <w:rPr>
          <w:rFonts w:cs="Arial"/>
          <w:bCs/>
          <w:iCs/>
          <w:szCs w:val="20"/>
        </w:rPr>
        <w:t xml:space="preserve"> determinó algún tipo de responsabilidad respecto de las conductas denunciadas, ni fue un medio para obtener la reparación de daño a las víctimas, debido a que en ninguno de los procesos se realizó un estudio de fondo de cada cuestión planteada.  </w:t>
      </w:r>
      <w:r w:rsidRPr="00470C7C">
        <w:rPr>
          <w:rFonts w:cs="Arial"/>
          <w:szCs w:val="20"/>
        </w:rPr>
        <w:t xml:space="preserve">  </w:t>
      </w:r>
    </w:p>
    <w:p w14:paraId="706D742E" w14:textId="77777777" w:rsidR="00D81AA1" w:rsidRPr="00470C7C" w:rsidRDefault="00D81AA1" w:rsidP="00D81AA1">
      <w:pPr>
        <w:jc w:val="both"/>
        <w:rPr>
          <w:rFonts w:cs="Arial"/>
          <w:bCs/>
          <w:iCs/>
          <w:szCs w:val="20"/>
        </w:rPr>
      </w:pPr>
    </w:p>
    <w:p w14:paraId="320F0C36"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szCs w:val="20"/>
        </w:rPr>
        <w:t xml:space="preserve">Esta situación se tradujo en una denegación de justicia en perjuicio de las víctimas, pues no fue posible garantizarles, material y jurídicamente, la protección judicial en el presente caso. El Estado no proveyó a las víctimas de un recurso efectivo a través de las autoridades competentes, que tutelara sus derechos </w:t>
      </w:r>
      <w:r w:rsidR="00CE556A" w:rsidRPr="00470C7C">
        <w:rPr>
          <w:rFonts w:cs="Arial"/>
          <w:szCs w:val="20"/>
        </w:rPr>
        <w:t xml:space="preserve">humanos </w:t>
      </w:r>
      <w:r w:rsidRPr="00470C7C">
        <w:rPr>
          <w:rFonts w:cs="Arial"/>
          <w:szCs w:val="20"/>
        </w:rPr>
        <w:t xml:space="preserve">contra los actos que </w:t>
      </w:r>
      <w:r w:rsidR="00CE556A" w:rsidRPr="00470C7C">
        <w:rPr>
          <w:rFonts w:cs="Arial"/>
          <w:szCs w:val="20"/>
        </w:rPr>
        <w:t xml:space="preserve">los </w:t>
      </w:r>
      <w:r w:rsidRPr="00470C7C">
        <w:rPr>
          <w:rFonts w:cs="Arial"/>
          <w:szCs w:val="20"/>
        </w:rPr>
        <w:t xml:space="preserve">vulneraron. </w:t>
      </w:r>
    </w:p>
    <w:p w14:paraId="06544511" w14:textId="77777777" w:rsidR="00D81AA1" w:rsidRPr="00470C7C" w:rsidRDefault="00D81AA1" w:rsidP="00D81AA1">
      <w:pPr>
        <w:pStyle w:val="Prrafodelista"/>
        <w:rPr>
          <w:rFonts w:cs="Arial"/>
          <w:bCs/>
          <w:iCs/>
          <w:szCs w:val="20"/>
        </w:rPr>
      </w:pPr>
    </w:p>
    <w:p w14:paraId="69EA61A8"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En conclusión, a pesar de la extrema gravedad de los hechos denunciados</w:t>
      </w:r>
      <w:r w:rsidR="008E396F" w:rsidRPr="00470C7C">
        <w:rPr>
          <w:rFonts w:cs="Arial"/>
          <w:bCs/>
          <w:iCs/>
          <w:szCs w:val="20"/>
        </w:rPr>
        <w:t>,</w:t>
      </w:r>
      <w:r w:rsidRPr="00470C7C">
        <w:rPr>
          <w:rFonts w:cs="Arial"/>
          <w:bCs/>
          <w:iCs/>
          <w:szCs w:val="20"/>
        </w:rPr>
        <w:t xml:space="preserve"> los procedimientos que se llevaron a cabo i) no entraron a analizar el fondo de la cuestión presentada; </w:t>
      </w:r>
      <w:proofErr w:type="spellStart"/>
      <w:r w:rsidRPr="00470C7C">
        <w:rPr>
          <w:rFonts w:cs="Arial"/>
          <w:bCs/>
          <w:iCs/>
          <w:szCs w:val="20"/>
        </w:rPr>
        <w:t>ii</w:t>
      </w:r>
      <w:proofErr w:type="spellEnd"/>
      <w:r w:rsidRPr="00470C7C">
        <w:rPr>
          <w:rFonts w:cs="Arial"/>
          <w:bCs/>
          <w:iCs/>
          <w:szCs w:val="20"/>
        </w:rPr>
        <w:t xml:space="preserve">) no determinaron responsabilidades ni sancionaron adecuadamente a los responsables de los hechos; </w:t>
      </w:r>
      <w:proofErr w:type="spellStart"/>
      <w:r w:rsidRPr="00470C7C">
        <w:rPr>
          <w:rFonts w:cs="Arial"/>
          <w:bCs/>
          <w:iCs/>
          <w:szCs w:val="20"/>
        </w:rPr>
        <w:t>iii</w:t>
      </w:r>
      <w:proofErr w:type="spellEnd"/>
      <w:r w:rsidRPr="00470C7C">
        <w:rPr>
          <w:rFonts w:cs="Arial"/>
          <w:bCs/>
          <w:iCs/>
          <w:szCs w:val="20"/>
        </w:rPr>
        <w:t xml:space="preserve">) no ofrecieron un mecanismo de reparación para las víctimas, y </w:t>
      </w:r>
      <w:proofErr w:type="spellStart"/>
      <w:r w:rsidRPr="00470C7C">
        <w:rPr>
          <w:rFonts w:cs="Arial"/>
          <w:bCs/>
          <w:iCs/>
          <w:szCs w:val="20"/>
        </w:rPr>
        <w:t>iv</w:t>
      </w:r>
      <w:proofErr w:type="spellEnd"/>
      <w:r w:rsidRPr="00470C7C">
        <w:rPr>
          <w:rFonts w:cs="Arial"/>
          <w:bCs/>
          <w:iCs/>
          <w:szCs w:val="20"/>
        </w:rPr>
        <w:t xml:space="preserve">) no tuvieron impacto en prevenir que las violaciones a los derechos de las víctimas continuaran. </w:t>
      </w:r>
    </w:p>
    <w:p w14:paraId="5FB16AFB" w14:textId="77777777" w:rsidR="00D81AA1" w:rsidRPr="00470C7C" w:rsidRDefault="00D81AA1" w:rsidP="00D81AA1">
      <w:pPr>
        <w:pStyle w:val="Prrafodelista"/>
        <w:rPr>
          <w:rFonts w:cs="Arial"/>
          <w:bCs/>
          <w:iCs/>
          <w:szCs w:val="20"/>
        </w:rPr>
      </w:pPr>
    </w:p>
    <w:p w14:paraId="3462102D"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Al respecto, la Corte hace notar que ante la presencia de víctimas que eran menores de edad y del conocimiento del Estado de dicha situación, su responsabilidad de proveer un recurso sencillo y efectivo para la protección de sus derechos era aún mayor. La Corte ya ha señalado que </w:t>
      </w:r>
      <w:r w:rsidRPr="00470C7C">
        <w:rPr>
          <w:rFonts w:eastAsia="Times New Roman" w:cs="Arial"/>
          <w:szCs w:val="20"/>
        </w:rPr>
        <w:t xml:space="preserve">revisten especial gravedad los casos en los cuales las víctimas de violaciones a los </w:t>
      </w:r>
      <w:r w:rsidRPr="00470C7C">
        <w:rPr>
          <w:rFonts w:eastAsia="Times New Roman" w:cs="Arial"/>
          <w:bCs/>
          <w:iCs/>
          <w:szCs w:val="20"/>
        </w:rPr>
        <w:t>derechos</w:t>
      </w:r>
      <w:r w:rsidRPr="00470C7C">
        <w:rPr>
          <w:rFonts w:eastAsia="Times New Roman" w:cs="Arial"/>
          <w:szCs w:val="20"/>
        </w:rPr>
        <w:t xml:space="preserve"> humanos son niñas y </w:t>
      </w:r>
      <w:r w:rsidRPr="00470C7C">
        <w:rPr>
          <w:rFonts w:eastAsia="Times New Roman" w:cs="Arial"/>
          <w:bCs/>
          <w:iCs/>
          <w:szCs w:val="20"/>
        </w:rPr>
        <w:t>niño</w:t>
      </w:r>
      <w:r w:rsidRPr="00470C7C">
        <w:rPr>
          <w:rFonts w:eastAsia="Times New Roman" w:cs="Arial"/>
          <w:szCs w:val="20"/>
        </w:rPr>
        <w:t xml:space="preserve">s, quienes son titulares de los </w:t>
      </w:r>
      <w:r w:rsidRPr="00470C7C">
        <w:rPr>
          <w:rFonts w:eastAsia="Times New Roman" w:cs="Arial"/>
          <w:bCs/>
          <w:iCs/>
          <w:szCs w:val="20"/>
        </w:rPr>
        <w:t>derechos</w:t>
      </w:r>
      <w:r w:rsidRPr="00470C7C">
        <w:rPr>
          <w:rFonts w:eastAsia="Times New Roman" w:cs="Arial"/>
          <w:szCs w:val="20"/>
        </w:rPr>
        <w:t xml:space="preserve"> establecidos en la </w:t>
      </w:r>
      <w:r w:rsidRPr="00470C7C">
        <w:rPr>
          <w:rFonts w:eastAsia="Times New Roman" w:cs="Arial"/>
          <w:bCs/>
          <w:iCs/>
          <w:szCs w:val="20"/>
        </w:rPr>
        <w:t>Convención</w:t>
      </w:r>
      <w:r w:rsidRPr="00470C7C">
        <w:rPr>
          <w:rFonts w:eastAsia="Times New Roman" w:cs="Arial"/>
          <w:szCs w:val="20"/>
        </w:rPr>
        <w:t xml:space="preserve"> Americana, además de contar con las medidas especiales de protección contempladas en su </w:t>
      </w:r>
      <w:r w:rsidRPr="00470C7C">
        <w:rPr>
          <w:rFonts w:eastAsia="Times New Roman" w:cs="Arial"/>
          <w:bCs/>
          <w:iCs/>
          <w:szCs w:val="20"/>
        </w:rPr>
        <w:t>artículo</w:t>
      </w:r>
      <w:r w:rsidRPr="00470C7C">
        <w:rPr>
          <w:rFonts w:eastAsia="Times New Roman" w:cs="Arial"/>
          <w:szCs w:val="20"/>
        </w:rPr>
        <w:t xml:space="preserve"> 19 las cuales deben ser definidas según las circunstancias particulares de cada caso concreto</w:t>
      </w:r>
      <w:r w:rsidRPr="00470C7C">
        <w:rPr>
          <w:rStyle w:val="Refdenotaalpie"/>
          <w:rFonts w:eastAsia="Times New Roman"/>
        </w:rPr>
        <w:footnoteReference w:id="505"/>
      </w:r>
      <w:r w:rsidRPr="00470C7C">
        <w:rPr>
          <w:rFonts w:eastAsia="Times New Roman" w:cs="Arial"/>
          <w:szCs w:val="20"/>
        </w:rPr>
        <w:t>.</w:t>
      </w:r>
    </w:p>
    <w:p w14:paraId="311364E4" w14:textId="77777777" w:rsidR="00D81AA1" w:rsidRPr="00470C7C" w:rsidRDefault="00D81AA1" w:rsidP="00D81AA1">
      <w:pPr>
        <w:jc w:val="both"/>
        <w:rPr>
          <w:rFonts w:cs="Arial"/>
          <w:bCs/>
          <w:iCs/>
          <w:szCs w:val="20"/>
        </w:rPr>
      </w:pPr>
    </w:p>
    <w:p w14:paraId="501250CD" w14:textId="77777777" w:rsidR="00D81AA1" w:rsidRPr="00470C7C" w:rsidRDefault="00D81AA1" w:rsidP="008B0BCC">
      <w:pPr>
        <w:pStyle w:val="Prrafodelista"/>
        <w:numPr>
          <w:ilvl w:val="0"/>
          <w:numId w:val="24"/>
        </w:numPr>
        <w:autoSpaceDE w:val="0"/>
        <w:autoSpaceDN w:val="0"/>
        <w:adjustRightInd w:val="0"/>
        <w:rPr>
          <w:rFonts w:cs="Arial"/>
          <w:i/>
          <w:noProof/>
          <w:szCs w:val="20"/>
        </w:rPr>
      </w:pPr>
      <w:r w:rsidRPr="00470C7C">
        <w:rPr>
          <w:rFonts w:cs="Arial"/>
          <w:i/>
          <w:noProof/>
          <w:szCs w:val="20"/>
        </w:rPr>
        <w:t>La prescripción de los procesos y su compatibilidad con las obligaciones derivadas del derecho internacional</w:t>
      </w:r>
    </w:p>
    <w:p w14:paraId="69B2975F" w14:textId="77777777" w:rsidR="00D81AA1" w:rsidRPr="00470C7C" w:rsidRDefault="00D81AA1" w:rsidP="00D81AA1">
      <w:pPr>
        <w:pStyle w:val="Prrafodelista"/>
        <w:ind w:left="0"/>
        <w:rPr>
          <w:rFonts w:cs="Arial"/>
          <w:noProof/>
          <w:szCs w:val="20"/>
        </w:rPr>
      </w:pPr>
    </w:p>
    <w:p w14:paraId="0365FB9F" w14:textId="77777777" w:rsidR="00D81AA1" w:rsidRPr="00470C7C" w:rsidRDefault="00D81AA1" w:rsidP="00D81AA1">
      <w:pPr>
        <w:pStyle w:val="Prrafodelista"/>
        <w:numPr>
          <w:ilvl w:val="0"/>
          <w:numId w:val="1"/>
        </w:numPr>
        <w:contextualSpacing w:val="0"/>
        <w:rPr>
          <w:rFonts w:cs="Arial"/>
          <w:noProof/>
          <w:szCs w:val="20"/>
        </w:rPr>
      </w:pPr>
      <w:r w:rsidRPr="00470C7C">
        <w:rPr>
          <w:szCs w:val="20"/>
        </w:rPr>
        <w:t xml:space="preserve">En primer lugar, la Corte recuerda que ha determinado que los Estados tienen una obligación que vincula a todos sus poderes y órganos estatales en su conjunto, los cuales se encuentran obligados a ejercer un control de convencionalidad </w:t>
      </w:r>
      <w:r w:rsidRPr="00470C7C">
        <w:rPr>
          <w:i/>
          <w:szCs w:val="20"/>
        </w:rPr>
        <w:t xml:space="preserve">ex </w:t>
      </w:r>
      <w:proofErr w:type="spellStart"/>
      <w:r w:rsidRPr="00470C7C">
        <w:rPr>
          <w:i/>
          <w:szCs w:val="20"/>
        </w:rPr>
        <w:t>officio</w:t>
      </w:r>
      <w:proofErr w:type="spellEnd"/>
      <w:r w:rsidRPr="00470C7C">
        <w:rPr>
          <w:i/>
          <w:szCs w:val="20"/>
        </w:rPr>
        <w:t xml:space="preserve"> </w:t>
      </w:r>
      <w:r w:rsidRPr="00470C7C">
        <w:rPr>
          <w:szCs w:val="20"/>
        </w:rPr>
        <w:t>entre sus normas internas y la Convención Americana, en el marco de sus respectivas competencias y de las regulaciones procesales correspondientes</w:t>
      </w:r>
      <w:r w:rsidRPr="00470C7C">
        <w:rPr>
          <w:szCs w:val="20"/>
          <w:vertAlign w:val="superscript"/>
        </w:rPr>
        <w:footnoteReference w:id="506"/>
      </w:r>
      <w:r w:rsidRPr="00470C7C">
        <w:rPr>
          <w:szCs w:val="20"/>
        </w:rPr>
        <w:t>.</w:t>
      </w:r>
    </w:p>
    <w:p w14:paraId="7A72A9A5" w14:textId="77777777" w:rsidR="00D81AA1" w:rsidRPr="00470C7C" w:rsidRDefault="00D81AA1" w:rsidP="00D81AA1">
      <w:pPr>
        <w:pStyle w:val="Prrafodelista"/>
        <w:ind w:left="0"/>
        <w:rPr>
          <w:rFonts w:cs="Arial"/>
          <w:noProof/>
          <w:szCs w:val="20"/>
        </w:rPr>
      </w:pPr>
    </w:p>
    <w:p w14:paraId="1BE32990"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Asimismo, la Corte ha determinado que un Estado que ha celebrado un tratado internacional debe introducir en su derecho interno las modificaciones necesarias para asegurar la ejecución de las obligaciones asumidas</w:t>
      </w:r>
      <w:r w:rsidRPr="00470C7C">
        <w:rPr>
          <w:noProof/>
          <w:szCs w:val="20"/>
          <w:vertAlign w:val="superscript"/>
        </w:rPr>
        <w:footnoteReference w:id="507"/>
      </w:r>
      <w:r w:rsidRPr="00470C7C">
        <w:rPr>
          <w:rFonts w:cs="Arial"/>
          <w:noProof/>
          <w:szCs w:val="20"/>
        </w:rPr>
        <w:t>, y que este principio recogido en el artículo 2 de la Convención Americana establece la obligación general de los Estados Parte de adecuar su derecho interno a las disposiciones de la misma, para garantizar los derechos en ella contenidos</w:t>
      </w:r>
      <w:r w:rsidRPr="00470C7C">
        <w:rPr>
          <w:noProof/>
          <w:szCs w:val="20"/>
          <w:vertAlign w:val="superscript"/>
        </w:rPr>
        <w:footnoteReference w:id="508"/>
      </w:r>
      <w:r w:rsidRPr="00470C7C">
        <w:rPr>
          <w:rFonts w:cs="Arial"/>
          <w:noProof/>
          <w:szCs w:val="20"/>
        </w:rPr>
        <w:t>, lo cual implica que las medidas de derecho interno han de ser efectivas (</w:t>
      </w:r>
      <w:r w:rsidRPr="00470C7C">
        <w:rPr>
          <w:rFonts w:cs="Arial"/>
          <w:i/>
          <w:noProof/>
          <w:szCs w:val="20"/>
        </w:rPr>
        <w:t>effet utile)</w:t>
      </w:r>
      <w:r w:rsidRPr="00470C7C">
        <w:rPr>
          <w:noProof/>
          <w:szCs w:val="20"/>
          <w:vertAlign w:val="superscript"/>
        </w:rPr>
        <w:footnoteReference w:id="509"/>
      </w:r>
      <w:r w:rsidRPr="00470C7C">
        <w:rPr>
          <w:rFonts w:cs="Arial"/>
          <w:noProof/>
          <w:szCs w:val="20"/>
        </w:rPr>
        <w:t>.</w:t>
      </w:r>
      <w:r w:rsidRPr="00470C7C">
        <w:rPr>
          <w:rFonts w:eastAsia="Calibri" w:cs="Arial"/>
          <w:noProof/>
          <w:szCs w:val="20"/>
          <w:lang w:eastAsia="es-CR"/>
        </w:rPr>
        <w:t xml:space="preserve"> </w:t>
      </w:r>
    </w:p>
    <w:p w14:paraId="74BE2E49" w14:textId="77777777" w:rsidR="00D81AA1" w:rsidRPr="00470C7C" w:rsidRDefault="00D81AA1" w:rsidP="00D81AA1">
      <w:pPr>
        <w:pStyle w:val="Prrafodelista"/>
        <w:rPr>
          <w:rFonts w:cs="Arial"/>
          <w:noProof/>
          <w:szCs w:val="20"/>
        </w:rPr>
      </w:pPr>
    </w:p>
    <w:p w14:paraId="3F029078"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De igual manera, este Tribunal ha entendido que tal adecuación implica la adopción de medidas en dos vertientes: i) la supresión de las normas y prácticas de cualquier naturaleza que entrañen violación a las garantías previstas en la Convención o que desconozcan los derechos allí reconocidos u obstaculicen su ejercicio, lo cual implica que la norma o práctica violatoria de la Convención debe ser modificada, derogada, o anulada, o reformada, según corresponda</w:t>
      </w:r>
      <w:r w:rsidRPr="00470C7C">
        <w:rPr>
          <w:noProof/>
          <w:szCs w:val="20"/>
          <w:vertAlign w:val="superscript"/>
        </w:rPr>
        <w:footnoteReference w:id="510"/>
      </w:r>
      <w:r w:rsidRPr="00470C7C">
        <w:rPr>
          <w:rFonts w:cs="Arial"/>
          <w:noProof/>
          <w:szCs w:val="20"/>
        </w:rPr>
        <w:t>, y ii) la expedición de normas y el desarrollo de prácticas conducentes a la efectiva observancia de dichas garantías</w:t>
      </w:r>
      <w:r w:rsidRPr="00470C7C">
        <w:rPr>
          <w:noProof/>
          <w:szCs w:val="20"/>
          <w:vertAlign w:val="superscript"/>
        </w:rPr>
        <w:footnoteReference w:id="511"/>
      </w:r>
      <w:r w:rsidRPr="00470C7C">
        <w:rPr>
          <w:rFonts w:cs="Arial"/>
          <w:noProof/>
          <w:szCs w:val="20"/>
        </w:rPr>
        <w:t>.</w:t>
      </w:r>
    </w:p>
    <w:p w14:paraId="606D1F70" w14:textId="77777777" w:rsidR="00D81AA1" w:rsidRPr="00470C7C" w:rsidRDefault="00D81AA1" w:rsidP="00D81AA1">
      <w:pPr>
        <w:pStyle w:val="Prrafodelista"/>
        <w:ind w:left="0"/>
        <w:rPr>
          <w:rFonts w:cs="Arial"/>
          <w:noProof/>
          <w:szCs w:val="20"/>
        </w:rPr>
      </w:pPr>
    </w:p>
    <w:p w14:paraId="555BEF57"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rFonts w:cs="Arial"/>
          <w:bCs/>
          <w:iCs/>
          <w:szCs w:val="20"/>
        </w:rPr>
        <w:t xml:space="preserve">En el presente caso la Corte destaca que la acción </w:t>
      </w:r>
      <w:r w:rsidRPr="00470C7C">
        <w:rPr>
          <w:rFonts w:cs="Arial"/>
          <w:szCs w:val="20"/>
        </w:rPr>
        <w:t xml:space="preserve">de 1997 respecto de los señores  Raimundo Alves de Rocha y </w:t>
      </w:r>
      <w:proofErr w:type="spellStart"/>
      <w:r w:rsidR="00D60654" w:rsidRPr="00470C7C">
        <w:rPr>
          <w:rFonts w:cs="Arial"/>
          <w:szCs w:val="20"/>
        </w:rPr>
        <w:t>Antônio</w:t>
      </w:r>
      <w:proofErr w:type="spellEnd"/>
      <w:r w:rsidR="00D60654" w:rsidRPr="00470C7C">
        <w:rPr>
          <w:rFonts w:cs="Arial"/>
          <w:szCs w:val="20"/>
        </w:rPr>
        <w:t xml:space="preserve"> </w:t>
      </w:r>
      <w:r w:rsidRPr="00470C7C">
        <w:rPr>
          <w:rFonts w:cs="Arial"/>
          <w:szCs w:val="20"/>
        </w:rPr>
        <w:t xml:space="preserve">Alves Vieira, terminó con la prescripción de la pena respecto de los ilícitos atribuidos: reducción a condición análoga a la de </w:t>
      </w:r>
      <w:r w:rsidR="00260035" w:rsidRPr="00470C7C">
        <w:rPr>
          <w:rFonts w:cs="Arial"/>
          <w:szCs w:val="20"/>
        </w:rPr>
        <w:t xml:space="preserve">esclavo </w:t>
      </w:r>
      <w:r w:rsidRPr="00470C7C">
        <w:rPr>
          <w:rFonts w:cs="Arial"/>
          <w:szCs w:val="20"/>
        </w:rPr>
        <w:t>(art. 149), atentado contra la libertad de trabajo (art. 197.1) y reclutamiento ilegal de trabajadores de un local para otro del territorio nacional (art. 207).</w:t>
      </w:r>
    </w:p>
    <w:p w14:paraId="42F9CCC6" w14:textId="77777777" w:rsidR="00D81AA1" w:rsidRPr="00470C7C" w:rsidRDefault="00D81AA1" w:rsidP="00D81AA1">
      <w:pPr>
        <w:pStyle w:val="Prrafodelista"/>
        <w:rPr>
          <w:rFonts w:cs="Arial"/>
          <w:szCs w:val="20"/>
        </w:rPr>
      </w:pPr>
    </w:p>
    <w:p w14:paraId="04319E8D" w14:textId="77777777" w:rsidR="00D81AA1" w:rsidRPr="00470C7C" w:rsidRDefault="00D81AA1" w:rsidP="00D81AA1">
      <w:pPr>
        <w:pStyle w:val="Prrafodelista"/>
        <w:numPr>
          <w:ilvl w:val="0"/>
          <w:numId w:val="1"/>
        </w:numPr>
        <w:autoSpaceDE w:val="0"/>
        <w:autoSpaceDN w:val="0"/>
        <w:adjustRightInd w:val="0"/>
        <w:contextualSpacing w:val="0"/>
        <w:rPr>
          <w:rFonts w:cs="Arial"/>
          <w:szCs w:val="20"/>
        </w:rPr>
      </w:pPr>
      <w:r w:rsidRPr="00470C7C">
        <w:rPr>
          <w:rFonts w:cs="Arial"/>
          <w:szCs w:val="20"/>
        </w:rPr>
        <w:t>La Corte ya ha señalado que l</w:t>
      </w:r>
      <w:r w:rsidRPr="00470C7C">
        <w:rPr>
          <w:rFonts w:cs="Arial"/>
          <w:szCs w:val="20"/>
          <w:lang w:val="es-ES"/>
        </w:rPr>
        <w:t xml:space="preserve">a prescripción en materia penal determina la extinción de la pretensión punitiva por el transcurso del tiempo, y generalmente, limita el poder punitivo del Estado para perseguir la conducta ilícita y sancionar a sus autores. Esta es una garantía que debe ser observada debidamente por el juzgador para todo imputado de un delito. Sin perjuicio de lo anterior, la prescripción de la acción penal es inadmisible </w:t>
      </w:r>
      <w:r w:rsidR="00DC18B6" w:rsidRPr="00470C7C">
        <w:rPr>
          <w:rFonts w:cs="Arial"/>
          <w:szCs w:val="20"/>
          <w:lang w:val="es-ES"/>
        </w:rPr>
        <w:t>cuando así lo dispone el derecho internacional. E</w:t>
      </w:r>
      <w:r w:rsidR="00F81532" w:rsidRPr="00470C7C">
        <w:rPr>
          <w:rFonts w:cs="Arial"/>
          <w:szCs w:val="20"/>
          <w:lang w:val="es-ES"/>
        </w:rPr>
        <w:t xml:space="preserve">n este caso la esclavitud es considerada un delito de derecho internacional cuya prohibición tiene estatus de </w:t>
      </w:r>
      <w:proofErr w:type="spellStart"/>
      <w:r w:rsidR="00F81532" w:rsidRPr="00470C7C">
        <w:rPr>
          <w:rFonts w:cs="Arial"/>
          <w:i/>
          <w:szCs w:val="20"/>
          <w:lang w:val="es-ES"/>
        </w:rPr>
        <w:t>jus</w:t>
      </w:r>
      <w:proofErr w:type="spellEnd"/>
      <w:r w:rsidR="00F81532" w:rsidRPr="00470C7C">
        <w:rPr>
          <w:rFonts w:cs="Arial"/>
          <w:i/>
          <w:szCs w:val="20"/>
          <w:lang w:val="es-ES"/>
        </w:rPr>
        <w:t xml:space="preserve"> cogens</w:t>
      </w:r>
      <w:r w:rsidR="00F81532" w:rsidRPr="00470C7C">
        <w:rPr>
          <w:rFonts w:cs="Arial"/>
          <w:szCs w:val="20"/>
          <w:lang w:val="es-ES"/>
        </w:rPr>
        <w:t xml:space="preserve"> (</w:t>
      </w:r>
      <w:r w:rsidR="00F81532" w:rsidRPr="00470C7C">
        <w:rPr>
          <w:rFonts w:cs="Arial"/>
          <w:i/>
          <w:szCs w:val="20"/>
          <w:lang w:val="es-ES"/>
        </w:rPr>
        <w:t xml:space="preserve">supra </w:t>
      </w:r>
      <w:r w:rsidR="00F81532" w:rsidRPr="00470C7C">
        <w:rPr>
          <w:rFonts w:cs="Arial"/>
          <w:szCs w:val="20"/>
          <w:lang w:val="es-ES"/>
        </w:rPr>
        <w:t xml:space="preserve">párr. </w:t>
      </w:r>
      <w:r w:rsidR="00977EB4" w:rsidRPr="00470C7C">
        <w:rPr>
          <w:rFonts w:cs="Arial"/>
          <w:szCs w:val="20"/>
          <w:lang w:val="es-ES"/>
        </w:rPr>
        <w:t>249</w:t>
      </w:r>
      <w:r w:rsidR="00F81532" w:rsidRPr="00470C7C">
        <w:rPr>
          <w:rFonts w:cs="Arial"/>
          <w:szCs w:val="20"/>
          <w:lang w:val="es-ES"/>
        </w:rPr>
        <w:t>)</w:t>
      </w:r>
      <w:r w:rsidRPr="00470C7C">
        <w:rPr>
          <w:rFonts w:cs="Arial"/>
          <w:szCs w:val="20"/>
          <w:lang w:val="es-ES"/>
        </w:rPr>
        <w:t xml:space="preserve">. Asimismo, la Corte ha indicado que no es admisible la invocación de figuras procesales como la prescripción, para evadir la obligación de investigar y sancionar </w:t>
      </w:r>
      <w:r w:rsidR="00DC18B6" w:rsidRPr="00470C7C">
        <w:rPr>
          <w:rFonts w:cs="Arial"/>
          <w:szCs w:val="20"/>
          <w:lang w:val="es-ES"/>
        </w:rPr>
        <w:t>estos delitos</w:t>
      </w:r>
      <w:r w:rsidRPr="00470C7C">
        <w:rPr>
          <w:rStyle w:val="Refdenotaalpie"/>
          <w:lang w:val="es-ES"/>
        </w:rPr>
        <w:footnoteReference w:id="512"/>
      </w:r>
      <w:r w:rsidRPr="00470C7C">
        <w:rPr>
          <w:rFonts w:cs="Arial"/>
          <w:szCs w:val="20"/>
          <w:lang w:val="es-ES"/>
        </w:rPr>
        <w:t xml:space="preserve">. </w:t>
      </w:r>
      <w:r w:rsidRPr="00470C7C">
        <w:t xml:space="preserve">Para que el Estado satisfaga el deber de garantizar adecuadamente diversos derechos protegidos en la Convención, entre ellos el derecho de acceso a la justicia, es necesario que cumpla su deber de investigar, juzgar y, en su caso, sancionar y reparar </w:t>
      </w:r>
      <w:r w:rsidR="006823D3" w:rsidRPr="00470C7C">
        <w:t>por estos hechos</w:t>
      </w:r>
      <w:r w:rsidRPr="00470C7C">
        <w:t>. Para alcanzar ese fin el Estado debe observar el debido proceso y garantizar, entre otros, el principio de plazo razonable, los recursos efectivos y el cumplimiento de la sentencia</w:t>
      </w:r>
      <w:r w:rsidRPr="00470C7C">
        <w:rPr>
          <w:rStyle w:val="Refdenotaalpie"/>
        </w:rPr>
        <w:footnoteReference w:id="513"/>
      </w:r>
      <w:r w:rsidRPr="00470C7C">
        <w:t>.</w:t>
      </w:r>
    </w:p>
    <w:p w14:paraId="7E9C39CC" w14:textId="77777777" w:rsidR="00D81AA1" w:rsidRPr="00470C7C" w:rsidRDefault="00D81AA1" w:rsidP="00D81AA1">
      <w:pPr>
        <w:pStyle w:val="Prrafodelista"/>
        <w:rPr>
          <w:rFonts w:cs="Arial"/>
          <w:szCs w:val="20"/>
        </w:rPr>
      </w:pPr>
    </w:p>
    <w:p w14:paraId="4A623840" w14:textId="77777777" w:rsidR="00D81AA1" w:rsidRPr="00470C7C" w:rsidRDefault="00D81AA1" w:rsidP="008B5C42">
      <w:pPr>
        <w:pStyle w:val="Prrafodelista"/>
        <w:numPr>
          <w:ilvl w:val="0"/>
          <w:numId w:val="1"/>
        </w:numPr>
        <w:autoSpaceDE w:val="0"/>
        <w:autoSpaceDN w:val="0"/>
        <w:adjustRightInd w:val="0"/>
        <w:contextualSpacing w:val="0"/>
        <w:rPr>
          <w:rFonts w:cs="Arial"/>
          <w:szCs w:val="20"/>
        </w:rPr>
      </w:pPr>
      <w:r w:rsidRPr="00470C7C">
        <w:rPr>
          <w:rFonts w:cs="Arial"/>
          <w:szCs w:val="20"/>
        </w:rPr>
        <w:t xml:space="preserve">La Corte ya ha establecido que: i) la esclavitud y sus formas </w:t>
      </w:r>
      <w:r w:rsidR="00752D4A" w:rsidRPr="00470C7C">
        <w:rPr>
          <w:rFonts w:cs="Arial"/>
          <w:szCs w:val="20"/>
        </w:rPr>
        <w:t>análogas</w:t>
      </w:r>
      <w:r w:rsidRPr="00470C7C">
        <w:rPr>
          <w:rFonts w:cs="Arial"/>
          <w:szCs w:val="20"/>
        </w:rPr>
        <w:t xml:space="preserve"> constituyen un</w:t>
      </w:r>
      <w:r w:rsidR="006E77C8" w:rsidRPr="00470C7C">
        <w:rPr>
          <w:rFonts w:cs="Arial"/>
          <w:szCs w:val="20"/>
        </w:rPr>
        <w:t xml:space="preserve"> delito de derecho internacional</w:t>
      </w:r>
      <w:r w:rsidRPr="00470C7C">
        <w:rPr>
          <w:rFonts w:cs="Arial"/>
          <w:szCs w:val="20"/>
        </w:rPr>
        <w:t xml:space="preserve">, </w:t>
      </w:r>
      <w:proofErr w:type="spellStart"/>
      <w:r w:rsidRPr="00470C7C">
        <w:rPr>
          <w:rFonts w:cs="Arial"/>
          <w:szCs w:val="20"/>
        </w:rPr>
        <w:t>ii</w:t>
      </w:r>
      <w:proofErr w:type="spellEnd"/>
      <w:r w:rsidRPr="00470C7C">
        <w:rPr>
          <w:rFonts w:cs="Arial"/>
          <w:szCs w:val="20"/>
        </w:rPr>
        <w:t xml:space="preserve">) </w:t>
      </w:r>
      <w:r w:rsidR="005D5509" w:rsidRPr="00470C7C">
        <w:rPr>
          <w:rFonts w:cs="Arial"/>
          <w:szCs w:val="20"/>
        </w:rPr>
        <w:t xml:space="preserve">cuya </w:t>
      </w:r>
      <w:r w:rsidRPr="00470C7C">
        <w:rPr>
          <w:rFonts w:cs="Arial"/>
          <w:szCs w:val="20"/>
        </w:rPr>
        <w:t xml:space="preserve">prohibición por el derecho internacional es una norma de </w:t>
      </w:r>
      <w:proofErr w:type="spellStart"/>
      <w:r w:rsidRPr="00470C7C">
        <w:rPr>
          <w:rFonts w:cs="Arial"/>
          <w:i/>
          <w:szCs w:val="20"/>
        </w:rPr>
        <w:t>jus</w:t>
      </w:r>
      <w:proofErr w:type="spellEnd"/>
      <w:r w:rsidRPr="00470C7C">
        <w:rPr>
          <w:rFonts w:cs="Arial"/>
          <w:i/>
          <w:szCs w:val="20"/>
        </w:rPr>
        <w:t xml:space="preserve"> cogens</w:t>
      </w:r>
      <w:r w:rsidRPr="00470C7C">
        <w:rPr>
          <w:rFonts w:cs="Arial"/>
          <w:szCs w:val="20"/>
        </w:rPr>
        <w:t xml:space="preserve"> (</w:t>
      </w:r>
      <w:r w:rsidRPr="00470C7C">
        <w:rPr>
          <w:rFonts w:cs="Arial"/>
          <w:i/>
          <w:szCs w:val="20"/>
        </w:rPr>
        <w:t>supra</w:t>
      </w:r>
      <w:r w:rsidRPr="00470C7C">
        <w:rPr>
          <w:rFonts w:cs="Arial"/>
          <w:szCs w:val="20"/>
        </w:rPr>
        <w:t xml:space="preserve"> párr. </w:t>
      </w:r>
      <w:r w:rsidR="00977EB4" w:rsidRPr="00470C7C">
        <w:rPr>
          <w:rFonts w:cs="Arial"/>
          <w:szCs w:val="20"/>
        </w:rPr>
        <w:t>249</w:t>
      </w:r>
      <w:r w:rsidRPr="00470C7C">
        <w:rPr>
          <w:rFonts w:cs="Arial"/>
          <w:szCs w:val="20"/>
        </w:rPr>
        <w:t xml:space="preserve">). Por lo tanto, la Corte considera que la prescripción de los delitos de sometimiento a </w:t>
      </w:r>
      <w:r w:rsidR="00481EEC" w:rsidRPr="00470C7C">
        <w:rPr>
          <w:rFonts w:cs="Arial"/>
          <w:szCs w:val="20"/>
        </w:rPr>
        <w:t xml:space="preserve">la condición de </w:t>
      </w:r>
      <w:r w:rsidRPr="00470C7C">
        <w:rPr>
          <w:rFonts w:cs="Arial"/>
          <w:szCs w:val="20"/>
        </w:rPr>
        <w:t xml:space="preserve">esclavo y sus formas </w:t>
      </w:r>
      <w:r w:rsidR="00752D4A" w:rsidRPr="00470C7C">
        <w:rPr>
          <w:rFonts w:cs="Arial"/>
          <w:szCs w:val="20"/>
        </w:rPr>
        <w:t xml:space="preserve">análogas </w:t>
      </w:r>
      <w:r w:rsidRPr="00470C7C">
        <w:rPr>
          <w:rFonts w:cs="Arial"/>
          <w:szCs w:val="20"/>
        </w:rPr>
        <w:t xml:space="preserve">es incompatible con la obligación del Estado brasileño de adaptar su normativa interna de acuerdo a los estándares internacionales. En el presente caso la aplicación de la prescripción constituyó un obstáculo para la investigación de los hechos, la determinación y sanción de los responsables y la reparación de las víctimas, a pesar del carácter de </w:t>
      </w:r>
      <w:r w:rsidR="003E16F6" w:rsidRPr="00470C7C">
        <w:rPr>
          <w:rFonts w:cs="Arial"/>
          <w:szCs w:val="20"/>
        </w:rPr>
        <w:t xml:space="preserve">delito de derecho internacional </w:t>
      </w:r>
      <w:r w:rsidRPr="00470C7C">
        <w:rPr>
          <w:rFonts w:cs="Arial"/>
          <w:szCs w:val="20"/>
        </w:rPr>
        <w:t xml:space="preserve">que representaban los hechos denunciados. </w:t>
      </w:r>
    </w:p>
    <w:p w14:paraId="3514D3E1" w14:textId="77777777" w:rsidR="00D81AA1" w:rsidRPr="00470C7C" w:rsidRDefault="00D81AA1" w:rsidP="00D81AA1">
      <w:pPr>
        <w:jc w:val="both"/>
        <w:rPr>
          <w:rFonts w:cs="Arial"/>
          <w:noProof/>
          <w:szCs w:val="20"/>
        </w:rPr>
      </w:pPr>
    </w:p>
    <w:p w14:paraId="7B113667" w14:textId="77777777" w:rsidR="00D81AA1" w:rsidRPr="00470C7C" w:rsidRDefault="00D81AA1" w:rsidP="008B0BCC">
      <w:pPr>
        <w:pStyle w:val="Prrafodelista"/>
        <w:numPr>
          <w:ilvl w:val="0"/>
          <w:numId w:val="24"/>
        </w:numPr>
        <w:autoSpaceDE w:val="0"/>
        <w:autoSpaceDN w:val="0"/>
        <w:adjustRightInd w:val="0"/>
        <w:rPr>
          <w:rFonts w:cs="Arial"/>
          <w:i/>
          <w:noProof/>
          <w:szCs w:val="20"/>
        </w:rPr>
      </w:pPr>
      <w:r w:rsidRPr="00470C7C">
        <w:rPr>
          <w:rFonts w:cs="Arial"/>
          <w:i/>
          <w:noProof/>
          <w:szCs w:val="20"/>
        </w:rPr>
        <w:t>Alegada discriminación en el acceso a la justicia</w:t>
      </w:r>
    </w:p>
    <w:p w14:paraId="5E60FB30" w14:textId="77777777" w:rsidR="00D81AA1" w:rsidRPr="00470C7C" w:rsidRDefault="00D81AA1" w:rsidP="00D81AA1">
      <w:pPr>
        <w:pStyle w:val="Prrafodelista"/>
        <w:rPr>
          <w:rFonts w:cs="Arial"/>
          <w:noProof/>
          <w:szCs w:val="20"/>
        </w:rPr>
      </w:pPr>
    </w:p>
    <w:p w14:paraId="49913E53"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 xml:space="preserve">La Corte recuerda que la Comisión señaló que </w:t>
      </w:r>
      <w:r w:rsidRPr="00470C7C">
        <w:rPr>
          <w:rFonts w:cs="Arial"/>
          <w:szCs w:val="20"/>
        </w:rPr>
        <w:t xml:space="preserve">en el caso se ejemplifican acciones concretas en el acceso a la justicia que se enmarcan dentro de </w:t>
      </w:r>
      <w:r w:rsidR="00F144E7" w:rsidRPr="00470C7C">
        <w:rPr>
          <w:rFonts w:cs="Arial"/>
          <w:szCs w:val="20"/>
        </w:rPr>
        <w:t xml:space="preserve">una situación de </w:t>
      </w:r>
      <w:r w:rsidRPr="00470C7C">
        <w:rPr>
          <w:rFonts w:cs="Arial"/>
          <w:szCs w:val="20"/>
        </w:rPr>
        <w:t>discriminación estructural, puesto que no solo no se abrieron procesos penales cuando</w:t>
      </w:r>
      <w:r w:rsidR="00556F10" w:rsidRPr="00470C7C">
        <w:rPr>
          <w:rFonts w:cs="Arial"/>
          <w:szCs w:val="20"/>
        </w:rPr>
        <w:t xml:space="preserve"> en</w:t>
      </w:r>
      <w:r w:rsidR="00F144E7" w:rsidRPr="00470C7C">
        <w:rPr>
          <w:rFonts w:cs="Arial"/>
          <w:szCs w:val="20"/>
        </w:rPr>
        <w:t xml:space="preserve"> las inspecciones a la Hacienda Brasil Verde</w:t>
      </w:r>
      <w:r w:rsidRPr="00470C7C">
        <w:rPr>
          <w:rFonts w:cs="Arial"/>
          <w:szCs w:val="20"/>
        </w:rPr>
        <w:t xml:space="preserve"> se encontraron irregularidades laborales, sino que al abrirse los procesos laborales se llegó a un acuerdo conciliatorio con el propietario de la Hacienda, sin tomar en consideración a las víctimas. Además, los representantes indicaron que la falta de actuación efectiva por parte de las autoridades frente a las denuncias y la recurrencia de los hechos denunciados evidencian una situación de discriminación estructural por parte del Estado, que permite la perpetuación de una situación de explotación a un grupo determinado de personas.</w:t>
      </w:r>
    </w:p>
    <w:p w14:paraId="6410C07B" w14:textId="77777777" w:rsidR="00D81AA1" w:rsidRPr="00470C7C" w:rsidRDefault="00D81AA1" w:rsidP="00D81AA1">
      <w:pPr>
        <w:pStyle w:val="Prrafodelista"/>
        <w:ind w:left="0"/>
        <w:rPr>
          <w:rFonts w:cs="Arial"/>
          <w:noProof/>
          <w:szCs w:val="20"/>
        </w:rPr>
      </w:pPr>
    </w:p>
    <w:p w14:paraId="71B50FB7"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szCs w:val="20"/>
        </w:rPr>
        <w:t xml:space="preserve">Al respecto, la Corte ha establecido </w:t>
      </w:r>
      <w:r w:rsidRPr="00470C7C">
        <w:rPr>
          <w:szCs w:val="20"/>
        </w:rPr>
        <w:t xml:space="preserve">en su jurisprudencia que el artículo 1.1 de la Convención es una norma de carácter general, cuyo contenido se extiende a todas las disposiciones del tratado, ya que dispone la obligación de los Estados Partes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w:t>
      </w:r>
      <w:r w:rsidRPr="00470C7C">
        <w:rPr>
          <w:i/>
          <w:szCs w:val="20"/>
        </w:rPr>
        <w:t xml:space="preserve">per se </w:t>
      </w:r>
      <w:r w:rsidRPr="00470C7C">
        <w:rPr>
          <w:szCs w:val="20"/>
        </w:rPr>
        <w:t xml:space="preserve">incompatible con la misma. </w:t>
      </w:r>
      <w:r w:rsidRPr="00470C7C">
        <w:rPr>
          <w:rFonts w:cs="Arial"/>
          <w:szCs w:val="20"/>
        </w:rPr>
        <w:t>El incumplimiento por el Estado, mediante cualquier tratamiento discriminatorio,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w:t>
      </w:r>
      <w:r w:rsidRPr="00470C7C">
        <w:rPr>
          <w:rStyle w:val="Refdenotaalpie"/>
        </w:rPr>
        <w:footnoteReference w:id="514"/>
      </w:r>
      <w:r w:rsidRPr="00470C7C">
        <w:rPr>
          <w:rFonts w:cs="Arial"/>
          <w:szCs w:val="20"/>
        </w:rPr>
        <w:t>.</w:t>
      </w:r>
    </w:p>
    <w:p w14:paraId="4A28C1F0" w14:textId="77777777" w:rsidR="00D81AA1" w:rsidRPr="00470C7C" w:rsidRDefault="00D81AA1" w:rsidP="00D81AA1">
      <w:pPr>
        <w:pStyle w:val="Prrafodelista"/>
        <w:rPr>
          <w:rFonts w:cs="Arial"/>
          <w:noProof/>
          <w:szCs w:val="20"/>
        </w:rPr>
      </w:pPr>
    </w:p>
    <w:p w14:paraId="18A4E1BE"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 xml:space="preserve">Además, la Corte ha indicado que </w:t>
      </w:r>
      <w:r w:rsidRPr="00470C7C">
        <w:rPr>
          <w:rFonts w:cs="Arial"/>
          <w:szCs w:val="20"/>
        </w:rPr>
        <w:t xml:space="preserve">el principio de la protección igualitaria y efectiva de la ley y de la no discriminación constituye un dato sobresaliente en el sistema tutelar de los derechos humanos consagrado en numerosos instrumentos internacionales y desarrollado por la doctrina y jurisprudencia. En la actual etapa de la evolución del derecho internacional, el principio fundamental de igualdad y no discriminación ha ingresado en el dominio del </w:t>
      </w:r>
      <w:proofErr w:type="spellStart"/>
      <w:r w:rsidRPr="00470C7C">
        <w:rPr>
          <w:rFonts w:cs="Arial"/>
          <w:i/>
          <w:iCs/>
          <w:szCs w:val="20"/>
        </w:rPr>
        <w:t>jus</w:t>
      </w:r>
      <w:proofErr w:type="spellEnd"/>
      <w:r w:rsidRPr="00470C7C">
        <w:rPr>
          <w:rFonts w:cs="Arial"/>
          <w:i/>
          <w:iCs/>
          <w:szCs w:val="20"/>
        </w:rPr>
        <w:t xml:space="preserve"> cogens. </w:t>
      </w:r>
      <w:r w:rsidRPr="00470C7C">
        <w:rPr>
          <w:rFonts w:cs="Arial"/>
          <w:szCs w:val="20"/>
        </w:rPr>
        <w:t>Sobre él descansa el andamiaje jurídico del orden público nacional e internacional y permean todo el ordenamiento jurídico</w:t>
      </w:r>
      <w:r w:rsidRPr="00470C7C">
        <w:rPr>
          <w:rStyle w:val="Refdenotaalpie"/>
        </w:rPr>
        <w:footnoteReference w:id="515"/>
      </w:r>
      <w:r w:rsidRPr="00470C7C">
        <w:rPr>
          <w:rFonts w:cs="Arial"/>
          <w:szCs w:val="20"/>
        </w:rPr>
        <w:t>.</w:t>
      </w:r>
    </w:p>
    <w:p w14:paraId="0874E96E" w14:textId="77777777" w:rsidR="00D81AA1" w:rsidRPr="00470C7C" w:rsidRDefault="00D81AA1" w:rsidP="00D81AA1">
      <w:pPr>
        <w:pStyle w:val="Prrafodelista"/>
        <w:rPr>
          <w:rFonts w:cs="Arial"/>
          <w:noProof/>
          <w:szCs w:val="20"/>
        </w:rPr>
      </w:pPr>
    </w:p>
    <w:p w14:paraId="082BC54E"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 xml:space="preserve">En el presente caso la Corte nota que existía una afectación desproporcional en contra de una parte de la población que compartía características relativas a su condición de exclusión, pobreza y falta de estudios. </w:t>
      </w:r>
      <w:r w:rsidR="00947ED0" w:rsidRPr="00470C7C">
        <w:rPr>
          <w:rFonts w:cs="Arial"/>
          <w:noProof/>
          <w:szCs w:val="20"/>
        </w:rPr>
        <w:t>Se constató que las víctimas de la inspección de</w:t>
      </w:r>
      <w:r w:rsidR="00354870" w:rsidRPr="00470C7C">
        <w:rPr>
          <w:rFonts w:cs="Arial"/>
          <w:noProof/>
          <w:szCs w:val="20"/>
        </w:rPr>
        <w:t>l año</w:t>
      </w:r>
      <w:r w:rsidR="00947ED0" w:rsidRPr="00470C7C">
        <w:rPr>
          <w:rFonts w:cs="Arial"/>
          <w:noProof/>
          <w:szCs w:val="20"/>
        </w:rPr>
        <w:t xml:space="preserve"> 2000 </w:t>
      </w:r>
      <w:r w:rsidR="00477B43" w:rsidRPr="00470C7C">
        <w:rPr>
          <w:rFonts w:cs="Arial"/>
          <w:noProof/>
          <w:szCs w:val="20"/>
        </w:rPr>
        <w:t>compartían estas características</w:t>
      </w:r>
      <w:r w:rsidR="005341B3" w:rsidRPr="00470C7C">
        <w:rPr>
          <w:rFonts w:cs="Arial"/>
          <w:noProof/>
          <w:szCs w:val="20"/>
        </w:rPr>
        <w:t>, las cuales los colocaban en una particular situación de vulnerabilidad</w:t>
      </w:r>
      <w:r w:rsidRPr="00470C7C">
        <w:rPr>
          <w:rFonts w:cs="Arial"/>
          <w:noProof/>
          <w:szCs w:val="20"/>
        </w:rPr>
        <w:t xml:space="preserve"> (</w:t>
      </w:r>
      <w:r w:rsidRPr="00470C7C">
        <w:rPr>
          <w:rFonts w:cs="Arial"/>
          <w:i/>
          <w:noProof/>
          <w:szCs w:val="20"/>
        </w:rPr>
        <w:t>supra</w:t>
      </w:r>
      <w:r w:rsidRPr="00470C7C">
        <w:rPr>
          <w:rFonts w:cs="Arial"/>
          <w:noProof/>
          <w:szCs w:val="20"/>
        </w:rPr>
        <w:t xml:space="preserve"> párr. </w:t>
      </w:r>
      <w:r w:rsidR="00441674" w:rsidRPr="00470C7C">
        <w:rPr>
          <w:rFonts w:cs="Arial"/>
          <w:noProof/>
          <w:szCs w:val="20"/>
        </w:rPr>
        <w:t>41</w:t>
      </w:r>
      <w:r w:rsidRPr="00470C7C">
        <w:rPr>
          <w:rFonts w:cs="Arial"/>
          <w:noProof/>
          <w:szCs w:val="20"/>
        </w:rPr>
        <w:t>).</w:t>
      </w:r>
    </w:p>
    <w:p w14:paraId="123CF87C" w14:textId="77777777" w:rsidR="00D81AA1" w:rsidRPr="00470C7C" w:rsidRDefault="00D81AA1" w:rsidP="00D81AA1">
      <w:pPr>
        <w:pStyle w:val="Prrafodelista"/>
        <w:rPr>
          <w:rFonts w:cs="Arial"/>
          <w:noProof/>
          <w:szCs w:val="20"/>
        </w:rPr>
      </w:pPr>
    </w:p>
    <w:p w14:paraId="48157AE6"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 xml:space="preserve">La Corte nota que del análisis de los procesos que se promovieron respecto de los hechos que ocurrían en la Hacienda Brasil Verde puede observarse que las autoridades no otorgaron a los hechos denunciados la extrema gravedad que los mismos representaban, y como consecuencia de ello no actuaron con la debida diligencia necesaria para garantizar los derechos de las víctimas. La falta de actuación, así como la poca severidad de los acuerdos generados y las recomendaciones emitidas reflejaron una falta de condena a los hechos que ocurrían en la Hacienda Brasil Verde. La Corte considera que la falta de acción y de sanción de estos hechos puede explicarse a través de una normalización de las condiciones a las que continuamente eran sometidas personas con determinadas características en los estados más pobres de Brasil. </w:t>
      </w:r>
    </w:p>
    <w:p w14:paraId="7B1898D3" w14:textId="77777777" w:rsidR="00D81AA1" w:rsidRPr="00470C7C" w:rsidRDefault="00D81AA1" w:rsidP="00D81AA1">
      <w:pPr>
        <w:pStyle w:val="Prrafodelista"/>
        <w:rPr>
          <w:rFonts w:cs="Arial"/>
          <w:noProof/>
          <w:szCs w:val="20"/>
        </w:rPr>
      </w:pPr>
    </w:p>
    <w:p w14:paraId="79ABDD98" w14:textId="77777777" w:rsidR="00D81AA1" w:rsidRPr="00470C7C" w:rsidRDefault="00D81AA1" w:rsidP="00D81AA1">
      <w:pPr>
        <w:pStyle w:val="Prrafodelista"/>
        <w:numPr>
          <w:ilvl w:val="0"/>
          <w:numId w:val="1"/>
        </w:numPr>
        <w:contextualSpacing w:val="0"/>
        <w:rPr>
          <w:rFonts w:cs="Arial"/>
          <w:noProof/>
          <w:szCs w:val="20"/>
        </w:rPr>
      </w:pPr>
      <w:r w:rsidRPr="00470C7C">
        <w:rPr>
          <w:rFonts w:cs="Arial"/>
          <w:noProof/>
          <w:szCs w:val="20"/>
        </w:rPr>
        <w:t xml:space="preserve">Es así, que es razonable concluir que la falta de debida diligencia y de sanción por los hechos de sometimiento a </w:t>
      </w:r>
      <w:r w:rsidR="008710EE" w:rsidRPr="00470C7C">
        <w:rPr>
          <w:rFonts w:cs="Arial"/>
          <w:noProof/>
          <w:szCs w:val="20"/>
        </w:rPr>
        <w:t xml:space="preserve">condición análoga a la de </w:t>
      </w:r>
      <w:r w:rsidRPr="00470C7C">
        <w:rPr>
          <w:rFonts w:cs="Arial"/>
          <w:noProof/>
          <w:szCs w:val="20"/>
        </w:rPr>
        <w:t>esclavo estaba relacionada a una preconcepción de las condiciones a las que podía ser normal que fueran sometidos los trabajadores de las haciendas del norte y noreste de Brasil. Esta preconcepción resultó discriminatoria en relación a las víctimas</w:t>
      </w:r>
      <w:r w:rsidR="00752D4A" w:rsidRPr="00470C7C">
        <w:rPr>
          <w:rFonts w:cs="Arial"/>
          <w:noProof/>
          <w:szCs w:val="20"/>
        </w:rPr>
        <w:t xml:space="preserve"> del caso</w:t>
      </w:r>
      <w:r w:rsidRPr="00470C7C">
        <w:rPr>
          <w:rFonts w:cs="Arial"/>
          <w:noProof/>
          <w:szCs w:val="20"/>
        </w:rPr>
        <w:t xml:space="preserve"> e impactó la actuación de las autoridades obstaculizando la posibilidad de conducir procesos que sancionaran a los responsables.</w:t>
      </w:r>
    </w:p>
    <w:p w14:paraId="516115AA" w14:textId="77777777" w:rsidR="00D81AA1" w:rsidRPr="00470C7C" w:rsidRDefault="00D81AA1" w:rsidP="00D81AA1">
      <w:pPr>
        <w:pStyle w:val="Prrafodelista"/>
        <w:rPr>
          <w:rFonts w:cs="Arial"/>
          <w:bCs/>
          <w:iCs/>
          <w:szCs w:val="20"/>
        </w:rPr>
      </w:pPr>
    </w:p>
    <w:p w14:paraId="148907EE" w14:textId="77777777" w:rsidR="00D81AA1" w:rsidRPr="00470C7C" w:rsidRDefault="00D81AA1" w:rsidP="008B0BCC">
      <w:pPr>
        <w:pStyle w:val="Prrafodelista"/>
        <w:numPr>
          <w:ilvl w:val="0"/>
          <w:numId w:val="24"/>
        </w:numPr>
        <w:autoSpaceDE w:val="0"/>
        <w:autoSpaceDN w:val="0"/>
        <w:adjustRightInd w:val="0"/>
        <w:rPr>
          <w:rFonts w:cs="Arial"/>
          <w:bCs/>
          <w:iCs/>
          <w:szCs w:val="20"/>
        </w:rPr>
      </w:pPr>
      <w:bookmarkStart w:id="383" w:name="_Toc451267363"/>
      <w:r w:rsidRPr="00470C7C">
        <w:rPr>
          <w:rFonts w:cs="Arial"/>
          <w:i/>
          <w:noProof/>
          <w:szCs w:val="20"/>
        </w:rPr>
        <w:t>Conclusión</w:t>
      </w:r>
      <w:bookmarkEnd w:id="383"/>
    </w:p>
    <w:p w14:paraId="680201E3" w14:textId="77777777" w:rsidR="00D81AA1" w:rsidRPr="00470C7C" w:rsidRDefault="00D81AA1" w:rsidP="00D81AA1">
      <w:pPr>
        <w:pStyle w:val="Prrafodelista"/>
        <w:rPr>
          <w:rFonts w:cs="Arial"/>
          <w:bCs/>
          <w:iCs/>
          <w:szCs w:val="20"/>
        </w:rPr>
      </w:pPr>
    </w:p>
    <w:p w14:paraId="300F45CC" w14:textId="77777777" w:rsidR="00D81AA1" w:rsidRPr="00470C7C" w:rsidRDefault="00D81AA1" w:rsidP="00D81AA1">
      <w:pPr>
        <w:pStyle w:val="Prrafodelista"/>
        <w:numPr>
          <w:ilvl w:val="0"/>
          <w:numId w:val="1"/>
        </w:numPr>
        <w:autoSpaceDE w:val="0"/>
        <w:autoSpaceDN w:val="0"/>
        <w:adjustRightInd w:val="0"/>
        <w:contextualSpacing w:val="0"/>
        <w:rPr>
          <w:rFonts w:cs="Arial"/>
          <w:bCs/>
          <w:iCs/>
          <w:szCs w:val="20"/>
        </w:rPr>
      </w:pPr>
      <w:r w:rsidRPr="00470C7C">
        <w:rPr>
          <w:szCs w:val="20"/>
        </w:rPr>
        <w:t>Por lo anterior, la Corte concluye que el Estado vulneró el derecho a la protección judicial, previsto en el artículo 25 de la Convención Americana</w:t>
      </w:r>
      <w:r w:rsidR="007C67C6" w:rsidRPr="00470C7C">
        <w:rPr>
          <w:szCs w:val="20"/>
        </w:rPr>
        <w:t xml:space="preserve"> sobre Derechos Humanos</w:t>
      </w:r>
      <w:r w:rsidRPr="00470C7C">
        <w:rPr>
          <w:szCs w:val="20"/>
        </w:rPr>
        <w:t>, en relación con los artículos 1.1 y 2 del mismo instrumento</w:t>
      </w:r>
      <w:r w:rsidR="007C67C6" w:rsidRPr="00470C7C">
        <w:rPr>
          <w:szCs w:val="20"/>
        </w:rPr>
        <w:t>,</w:t>
      </w:r>
      <w:r w:rsidRPr="00470C7C">
        <w:rPr>
          <w:szCs w:val="20"/>
        </w:rPr>
        <w:t xml:space="preserve"> en perjuicio de: a) </w:t>
      </w:r>
      <w:r w:rsidRPr="00470C7C">
        <w:rPr>
          <w:szCs w:val="20"/>
          <w:lang w:val="es-ES"/>
        </w:rPr>
        <w:t xml:space="preserve">los 43 trabajadores de la Hacienda Brasil Verde </w:t>
      </w:r>
      <w:r w:rsidR="009731DC" w:rsidRPr="00470C7C">
        <w:rPr>
          <w:szCs w:val="20"/>
          <w:lang w:val="es-ES"/>
        </w:rPr>
        <w:t>rescatados</w:t>
      </w:r>
      <w:r w:rsidRPr="00470C7C">
        <w:rPr>
          <w:szCs w:val="20"/>
          <w:lang w:val="es-ES"/>
        </w:rPr>
        <w:t xml:space="preserve"> durante la fiscalización de 23 de abril de 1997 y que fueron identificados por la Corte en el presente litigio </w:t>
      </w:r>
      <w:r w:rsidRPr="00470C7C">
        <w:rPr>
          <w:szCs w:val="20"/>
        </w:rPr>
        <w:t>(</w:t>
      </w:r>
      <w:r w:rsidRPr="00470C7C">
        <w:rPr>
          <w:i/>
          <w:szCs w:val="20"/>
        </w:rPr>
        <w:t>supra</w:t>
      </w:r>
      <w:r w:rsidRPr="00470C7C">
        <w:rPr>
          <w:szCs w:val="20"/>
        </w:rPr>
        <w:t xml:space="preserve"> párr. </w:t>
      </w:r>
      <w:r w:rsidR="007C67C6" w:rsidRPr="00470C7C">
        <w:rPr>
          <w:szCs w:val="20"/>
        </w:rPr>
        <w:t>199</w:t>
      </w:r>
      <w:r w:rsidRPr="00470C7C">
        <w:rPr>
          <w:szCs w:val="20"/>
        </w:rPr>
        <w:t xml:space="preserve">), y b) los 85 </w:t>
      </w:r>
      <w:r w:rsidRPr="00470C7C">
        <w:rPr>
          <w:szCs w:val="20"/>
          <w:lang w:val="es-ES"/>
        </w:rPr>
        <w:t xml:space="preserve">trabajadores de la Hacienda Brasil Verde </w:t>
      </w:r>
      <w:r w:rsidR="009731DC" w:rsidRPr="00470C7C">
        <w:rPr>
          <w:szCs w:val="20"/>
          <w:lang w:val="es-ES"/>
        </w:rPr>
        <w:t>rescatados</w:t>
      </w:r>
      <w:r w:rsidRPr="00470C7C">
        <w:rPr>
          <w:szCs w:val="20"/>
          <w:lang w:val="es-ES"/>
        </w:rPr>
        <w:t xml:space="preserve"> durante la fiscalización de 15 de marzo de 2000 y que fueron identificados por la Corte en el presente litigio </w:t>
      </w:r>
      <w:r w:rsidRPr="00470C7C">
        <w:rPr>
          <w:szCs w:val="20"/>
        </w:rPr>
        <w:t>(</w:t>
      </w:r>
      <w:r w:rsidRPr="00470C7C">
        <w:rPr>
          <w:i/>
          <w:szCs w:val="20"/>
        </w:rPr>
        <w:t>supra</w:t>
      </w:r>
      <w:r w:rsidRPr="00470C7C">
        <w:rPr>
          <w:szCs w:val="20"/>
        </w:rPr>
        <w:t xml:space="preserve"> párr. </w:t>
      </w:r>
      <w:r w:rsidR="00CE3AD4" w:rsidRPr="00470C7C">
        <w:rPr>
          <w:szCs w:val="20"/>
        </w:rPr>
        <w:t>206</w:t>
      </w:r>
      <w:r w:rsidRPr="00470C7C">
        <w:rPr>
          <w:szCs w:val="20"/>
        </w:rPr>
        <w:t xml:space="preserve">). Además, la Corte concluye que </w:t>
      </w:r>
      <w:r w:rsidR="00C9493B" w:rsidRPr="00470C7C">
        <w:rPr>
          <w:szCs w:val="20"/>
        </w:rPr>
        <w:t xml:space="preserve">respecto a </w:t>
      </w:r>
      <w:proofErr w:type="spellStart"/>
      <w:r w:rsidR="00D60654" w:rsidRPr="00470C7C">
        <w:rPr>
          <w:rFonts w:cs="Arial"/>
          <w:szCs w:val="20"/>
          <w:lang w:val="es-ES"/>
        </w:rPr>
        <w:t>Antônio</w:t>
      </w:r>
      <w:proofErr w:type="spellEnd"/>
      <w:r w:rsidR="00D60654" w:rsidRPr="00470C7C">
        <w:rPr>
          <w:rFonts w:cs="Arial"/>
          <w:szCs w:val="20"/>
          <w:lang w:val="es-ES"/>
        </w:rPr>
        <w:t xml:space="preserve"> </w:t>
      </w:r>
      <w:r w:rsidR="00C9493B" w:rsidRPr="00470C7C">
        <w:rPr>
          <w:rFonts w:cs="Arial"/>
          <w:szCs w:val="20"/>
          <w:lang w:val="es-ES"/>
        </w:rPr>
        <w:t xml:space="preserve">Francisco da Silva, quien </w:t>
      </w:r>
      <w:r w:rsidR="00C9493B" w:rsidRPr="00470C7C">
        <w:rPr>
          <w:szCs w:val="20"/>
        </w:rPr>
        <w:t>era niño durante parte de los hechos del caso, la violación del artículo 25 de la Convención</w:t>
      </w:r>
      <w:r w:rsidR="00C85A6C" w:rsidRPr="00470C7C">
        <w:rPr>
          <w:szCs w:val="20"/>
        </w:rPr>
        <w:t xml:space="preserve"> Americana</w:t>
      </w:r>
      <w:r w:rsidR="00C9493B" w:rsidRPr="00470C7C">
        <w:rPr>
          <w:szCs w:val="20"/>
        </w:rPr>
        <w:t xml:space="preserve"> anteriormente declarada está también relacionada a</w:t>
      </w:r>
      <w:r w:rsidRPr="00470C7C">
        <w:rPr>
          <w:szCs w:val="20"/>
        </w:rPr>
        <w:t>l artículo 19 de</w:t>
      </w:r>
      <w:r w:rsidR="00C85A6C" w:rsidRPr="00470C7C">
        <w:rPr>
          <w:szCs w:val="20"/>
        </w:rPr>
        <w:t>l mismo instrumento</w:t>
      </w:r>
      <w:r w:rsidRPr="00470C7C">
        <w:rPr>
          <w:szCs w:val="20"/>
        </w:rPr>
        <w:t>.</w:t>
      </w:r>
    </w:p>
    <w:p w14:paraId="54F55EE7" w14:textId="77777777" w:rsidR="00D81AA1" w:rsidRPr="00470C7C" w:rsidRDefault="00D81AA1" w:rsidP="00D81AA1">
      <w:pPr>
        <w:pStyle w:val="Prrafodelista"/>
        <w:autoSpaceDE w:val="0"/>
        <w:autoSpaceDN w:val="0"/>
        <w:adjustRightInd w:val="0"/>
        <w:ind w:left="0"/>
        <w:jc w:val="center"/>
        <w:rPr>
          <w:rFonts w:cs="Arial"/>
          <w:b/>
          <w:iCs/>
          <w:szCs w:val="20"/>
        </w:rPr>
      </w:pPr>
    </w:p>
    <w:p w14:paraId="64469BCF" w14:textId="77777777" w:rsidR="00D81AA1" w:rsidRPr="00470C7C" w:rsidRDefault="00A47A97" w:rsidP="00A47A97">
      <w:pPr>
        <w:pStyle w:val="Ttulo3"/>
        <w:rPr>
          <w:iCs/>
        </w:rPr>
      </w:pPr>
      <w:bookmarkStart w:id="384" w:name="_Toc464813979"/>
      <w:r w:rsidRPr="00470C7C">
        <w:rPr>
          <w:noProof/>
        </w:rPr>
        <w:t>B.4</w:t>
      </w:r>
      <w:r w:rsidR="00DC2886" w:rsidRPr="00470C7C">
        <w:rPr>
          <w:noProof/>
        </w:rPr>
        <w:t>.</w:t>
      </w:r>
      <w:r w:rsidRPr="00470C7C">
        <w:rPr>
          <w:noProof/>
        </w:rPr>
        <w:t xml:space="preserve"> </w:t>
      </w:r>
      <w:r w:rsidR="00D81AA1" w:rsidRPr="00470C7C">
        <w:rPr>
          <w:noProof/>
        </w:rPr>
        <w:t xml:space="preserve">Las investigaciones realizadas con relación a las alegadas desapariciones de </w:t>
      </w:r>
      <w:r w:rsidR="008B075C" w:rsidRPr="00470C7C">
        <w:rPr>
          <w:noProof/>
        </w:rPr>
        <w:t xml:space="preserve">Iron Canuto </w:t>
      </w:r>
      <w:r w:rsidR="00D81AA1" w:rsidRPr="00470C7C">
        <w:rPr>
          <w:noProof/>
        </w:rPr>
        <w:t xml:space="preserve">da Silva y </w:t>
      </w:r>
      <w:r w:rsidR="004F6F03" w:rsidRPr="00470C7C">
        <w:rPr>
          <w:noProof/>
        </w:rPr>
        <w:t xml:space="preserve">Luis Ferreira </w:t>
      </w:r>
      <w:r w:rsidR="00D81AA1" w:rsidRPr="00470C7C">
        <w:rPr>
          <w:noProof/>
        </w:rPr>
        <w:t>da Cruz</w:t>
      </w:r>
      <w:bookmarkEnd w:id="384"/>
    </w:p>
    <w:p w14:paraId="03D43084" w14:textId="77777777" w:rsidR="00D81AA1" w:rsidRPr="00470C7C" w:rsidRDefault="00D81AA1" w:rsidP="00D81AA1">
      <w:pPr>
        <w:pStyle w:val="Prrafodelista"/>
        <w:autoSpaceDE w:val="0"/>
        <w:autoSpaceDN w:val="0"/>
        <w:adjustRightInd w:val="0"/>
        <w:rPr>
          <w:rFonts w:cs="Arial"/>
          <w:bCs/>
          <w:i/>
          <w:iCs/>
          <w:szCs w:val="20"/>
          <w:lang w:val="es-ES"/>
        </w:rPr>
      </w:pPr>
    </w:p>
    <w:p w14:paraId="7E55E309" w14:textId="77777777" w:rsidR="00D81AA1" w:rsidRPr="00470C7C" w:rsidRDefault="00D81AA1" w:rsidP="00D81AA1">
      <w:pPr>
        <w:pStyle w:val="Prrafodelista"/>
        <w:numPr>
          <w:ilvl w:val="0"/>
          <w:numId w:val="1"/>
        </w:numPr>
        <w:tabs>
          <w:tab w:val="right" w:pos="0"/>
        </w:tabs>
        <w:contextualSpacing w:val="0"/>
        <w:rPr>
          <w:rFonts w:cs="Arial"/>
          <w:iCs/>
          <w:szCs w:val="20"/>
          <w:lang w:val="es-ES"/>
        </w:rPr>
      </w:pPr>
      <w:r w:rsidRPr="00470C7C">
        <w:rPr>
          <w:rFonts w:cs="Arial"/>
          <w:iCs/>
          <w:szCs w:val="20"/>
        </w:rPr>
        <w:t xml:space="preserve">La Corte constata que en el presente caso no se ha alegado la violación del deber del Estado de respetar los derechos a la libertad personal, integridad personal, vida, reconocimiento de la personalidad jurídica y derechos del niño de </w:t>
      </w:r>
      <w:proofErr w:type="spellStart"/>
      <w:r w:rsidRPr="00470C7C">
        <w:rPr>
          <w:rFonts w:cs="Arial"/>
          <w:iCs/>
          <w:szCs w:val="20"/>
        </w:rPr>
        <w:t>Iron</w:t>
      </w:r>
      <w:proofErr w:type="spellEnd"/>
      <w:r w:rsidRPr="00470C7C">
        <w:rPr>
          <w:rFonts w:cs="Arial"/>
          <w:iCs/>
          <w:szCs w:val="20"/>
        </w:rPr>
        <w:t xml:space="preserve"> Canuto da Silva y Luis Ferreira da Cruz. La controversia ha sido planteada únicamente respecto del alegado incumplimiento de la obligación del Estado de garantizar dichos derechos a través de una investigación, por lo que la Corte analizará la efectividad de dichas investigaciones a continuación.</w:t>
      </w:r>
    </w:p>
    <w:p w14:paraId="3FF3BB1E" w14:textId="77777777" w:rsidR="00D81AA1" w:rsidRPr="00470C7C" w:rsidRDefault="00D81AA1" w:rsidP="00D81AA1">
      <w:pPr>
        <w:pStyle w:val="Prrafodelista"/>
        <w:tabs>
          <w:tab w:val="left" w:pos="360"/>
        </w:tabs>
        <w:autoSpaceDE w:val="0"/>
        <w:autoSpaceDN w:val="0"/>
        <w:adjustRightInd w:val="0"/>
        <w:ind w:left="360"/>
        <w:rPr>
          <w:rFonts w:cs="Arial"/>
          <w:bCs/>
          <w:iCs/>
          <w:szCs w:val="20"/>
          <w:lang w:val="es-ES"/>
        </w:rPr>
      </w:pPr>
    </w:p>
    <w:p w14:paraId="045E48A4" w14:textId="77777777" w:rsidR="00D81AA1" w:rsidRPr="00470C7C" w:rsidRDefault="00A47A97" w:rsidP="00A47A97">
      <w:pPr>
        <w:pStyle w:val="Ttulo4"/>
        <w:rPr>
          <w:b/>
        </w:rPr>
      </w:pPr>
      <w:bookmarkStart w:id="385" w:name="_Toc460433055"/>
      <w:bookmarkStart w:id="386" w:name="_Toc460441986"/>
      <w:bookmarkStart w:id="387" w:name="_Toc462751128"/>
      <w:bookmarkStart w:id="388" w:name="_Toc464813980"/>
      <w:r w:rsidRPr="00470C7C">
        <w:t xml:space="preserve">B.4.1 </w:t>
      </w:r>
      <w:r w:rsidR="00D81AA1" w:rsidRPr="00470C7C">
        <w:t>Argumentos de las partes</w:t>
      </w:r>
      <w:bookmarkEnd w:id="385"/>
      <w:bookmarkEnd w:id="386"/>
      <w:bookmarkEnd w:id="387"/>
      <w:bookmarkEnd w:id="388"/>
      <w:r w:rsidR="009B5903" w:rsidRPr="00470C7C">
        <w:t xml:space="preserve"> y de la Comisión</w:t>
      </w:r>
    </w:p>
    <w:p w14:paraId="30156DC8" w14:textId="77777777" w:rsidR="00D81AA1" w:rsidRPr="00470C7C" w:rsidRDefault="00D81AA1" w:rsidP="00C9493B">
      <w:pPr>
        <w:pStyle w:val="Prrafodelista"/>
        <w:rPr>
          <w:rFonts w:cs="Arial"/>
          <w:iCs/>
          <w:szCs w:val="20"/>
          <w:lang w:val="es-ES"/>
        </w:rPr>
      </w:pPr>
    </w:p>
    <w:p w14:paraId="41215FF5" w14:textId="77777777" w:rsidR="00D81AA1" w:rsidRPr="00470C7C" w:rsidRDefault="00D81AA1" w:rsidP="00D81AA1">
      <w:pPr>
        <w:pStyle w:val="Prrafodelista"/>
        <w:numPr>
          <w:ilvl w:val="0"/>
          <w:numId w:val="1"/>
        </w:numPr>
        <w:tabs>
          <w:tab w:val="right" w:pos="0"/>
        </w:tabs>
        <w:contextualSpacing w:val="0"/>
        <w:rPr>
          <w:rFonts w:cs="Arial"/>
          <w:i/>
          <w:iCs/>
          <w:szCs w:val="20"/>
          <w:lang w:val="es-ES"/>
        </w:rPr>
      </w:pPr>
      <w:r w:rsidRPr="00470C7C">
        <w:rPr>
          <w:rFonts w:cs="Arial"/>
          <w:iCs/>
          <w:szCs w:val="20"/>
          <w:lang w:val="es-ES"/>
        </w:rPr>
        <w:t xml:space="preserve">La </w:t>
      </w:r>
      <w:r w:rsidRPr="00470C7C">
        <w:rPr>
          <w:rFonts w:cs="Arial"/>
          <w:b/>
          <w:i/>
          <w:iCs/>
          <w:szCs w:val="20"/>
          <w:lang w:val="es-ES"/>
        </w:rPr>
        <w:t>Comisión</w:t>
      </w:r>
      <w:r w:rsidRPr="00470C7C">
        <w:rPr>
          <w:rFonts w:cs="Arial"/>
          <w:iCs/>
          <w:szCs w:val="20"/>
          <w:lang w:val="es-ES"/>
        </w:rPr>
        <w:t xml:space="preserve"> argumentó que al recibir la denuncia en 1988 sobre la desaparición de los adolescentes </w:t>
      </w:r>
      <w:proofErr w:type="spellStart"/>
      <w:r w:rsidRPr="00470C7C">
        <w:rPr>
          <w:rFonts w:cs="Arial"/>
          <w:iCs/>
          <w:szCs w:val="20"/>
          <w:lang w:val="es-ES"/>
        </w:rPr>
        <w:t>Iron</w:t>
      </w:r>
      <w:proofErr w:type="spellEnd"/>
      <w:r w:rsidRPr="00470C7C">
        <w:rPr>
          <w:rFonts w:cs="Arial"/>
          <w:iCs/>
          <w:szCs w:val="20"/>
          <w:lang w:val="es-ES"/>
        </w:rPr>
        <w:t xml:space="preserve"> Canuto da Silva, de 17 años, y Luis Ferreira da Cruz, de 16 años, las autoridades estatales tardaron más de dos meses en hacer una visita a la Hacienda Brasil Verde, en la cual recibieron información de que los adolescentes habían huido a otra hacienda de la zona. Las autoridades no realizaron diligencia alguna para confirmar esta situación ni abrieron una investigación al respecto. La Comisión consideró que la desaparición de los adolescentes y la situación de vulnerabilidad en que se encontraban ocasionó su exclusión del orden jurídico e institucional del Estado, les impidió que interpusieran acción legal alguna respecto del ejercicio de sus derechos, y los ha mantenido fuera del mundo real y jurídico. Asimismo, la Comisión indicó que la desaparición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y </w:t>
      </w:r>
      <w:r w:rsidR="00200C04" w:rsidRPr="00470C7C">
        <w:rPr>
          <w:rFonts w:cs="Arial"/>
          <w:iCs/>
          <w:szCs w:val="20"/>
          <w:lang w:val="es-ES"/>
        </w:rPr>
        <w:t>Luis Ferreira da Cruz</w:t>
      </w:r>
      <w:r w:rsidRPr="00470C7C">
        <w:rPr>
          <w:rFonts w:cs="Arial"/>
          <w:iCs/>
          <w:szCs w:val="20"/>
          <w:lang w:val="es-ES"/>
        </w:rPr>
        <w:t xml:space="preserve"> es un ejemplo patente de discriminación estructural puesto que, a pesar del tiempo transcurrido desde la desaparición, el Estado </w:t>
      </w:r>
      <w:r w:rsidR="003C25CD" w:rsidRPr="00470C7C">
        <w:rPr>
          <w:rFonts w:cs="Arial"/>
          <w:iCs/>
          <w:szCs w:val="20"/>
          <w:lang w:val="es-ES"/>
        </w:rPr>
        <w:t xml:space="preserve">no ha tomado ninguna medida </w:t>
      </w:r>
      <w:proofErr w:type="spellStart"/>
      <w:r w:rsidR="003C25CD" w:rsidRPr="00470C7C">
        <w:rPr>
          <w:rFonts w:cs="Arial"/>
          <w:iCs/>
          <w:szCs w:val="20"/>
          <w:lang w:val="es-ES"/>
        </w:rPr>
        <w:t>seri</w:t>
      </w:r>
      <w:r w:rsidRPr="00470C7C">
        <w:rPr>
          <w:rFonts w:cs="Arial"/>
          <w:iCs/>
          <w:szCs w:val="20"/>
          <w:lang w:val="es-ES"/>
        </w:rPr>
        <w:t>a</w:t>
      </w:r>
      <w:proofErr w:type="spellEnd"/>
      <w:r w:rsidRPr="00470C7C">
        <w:rPr>
          <w:rFonts w:cs="Arial"/>
          <w:iCs/>
          <w:szCs w:val="20"/>
          <w:lang w:val="es-ES"/>
        </w:rPr>
        <w:t xml:space="preserve"> para investigar los hechos y localizar a los jóvenes. En virtud de lo anterior, la Comisión concluyó que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y </w:t>
      </w:r>
      <w:r w:rsidR="00200C04" w:rsidRPr="00470C7C">
        <w:rPr>
          <w:rFonts w:cs="Arial"/>
          <w:iCs/>
          <w:szCs w:val="20"/>
          <w:lang w:val="es-ES"/>
        </w:rPr>
        <w:t>Luis Ferreira da Cruz</w:t>
      </w:r>
      <w:r w:rsidRPr="00470C7C">
        <w:rPr>
          <w:rFonts w:cs="Arial"/>
          <w:iCs/>
          <w:szCs w:val="20"/>
          <w:lang w:val="es-ES"/>
        </w:rPr>
        <w:t xml:space="preserve"> fueron víctimas de la violación de los artículos 7, 5, 4, 3 y 19 de la Convención Americana, en concordancia con los artículos 8, 25 y 1.1 del mismo instrumento.</w:t>
      </w:r>
    </w:p>
    <w:p w14:paraId="386B0CBA" w14:textId="77777777" w:rsidR="00D81AA1" w:rsidRPr="00470C7C" w:rsidRDefault="00D81AA1" w:rsidP="00D81AA1">
      <w:pPr>
        <w:pStyle w:val="Prrafodelista"/>
        <w:tabs>
          <w:tab w:val="right" w:pos="0"/>
        </w:tabs>
        <w:ind w:left="0"/>
        <w:contextualSpacing w:val="0"/>
        <w:rPr>
          <w:rFonts w:cs="Arial"/>
          <w:i/>
          <w:iCs/>
          <w:szCs w:val="20"/>
          <w:lang w:val="es-ES"/>
        </w:rPr>
      </w:pPr>
      <w:r w:rsidRPr="00470C7C">
        <w:rPr>
          <w:rFonts w:cs="Arial"/>
          <w:iCs/>
          <w:szCs w:val="20"/>
          <w:lang w:val="es-ES"/>
        </w:rPr>
        <w:t xml:space="preserve"> </w:t>
      </w:r>
    </w:p>
    <w:p w14:paraId="7DD4036C" w14:textId="77777777" w:rsidR="00D81AA1" w:rsidRPr="00470C7C" w:rsidRDefault="00D81AA1" w:rsidP="00D81AA1">
      <w:pPr>
        <w:pStyle w:val="Prrafodelista"/>
        <w:numPr>
          <w:ilvl w:val="0"/>
          <w:numId w:val="1"/>
        </w:numPr>
        <w:tabs>
          <w:tab w:val="right" w:pos="0"/>
        </w:tabs>
        <w:contextualSpacing w:val="0"/>
        <w:rPr>
          <w:rFonts w:cs="Arial"/>
          <w:iCs/>
          <w:szCs w:val="20"/>
          <w:lang w:val="es-ES"/>
        </w:rPr>
      </w:pPr>
      <w:r w:rsidRPr="00470C7C">
        <w:rPr>
          <w:rFonts w:cs="Arial"/>
          <w:iCs/>
          <w:szCs w:val="20"/>
          <w:lang w:val="es-ES"/>
        </w:rPr>
        <w:t xml:space="preserve">Los </w:t>
      </w:r>
      <w:proofErr w:type="gramStart"/>
      <w:r w:rsidRPr="00470C7C">
        <w:rPr>
          <w:rFonts w:cs="Arial"/>
          <w:b/>
          <w:i/>
          <w:iCs/>
          <w:szCs w:val="20"/>
          <w:lang w:val="es-ES"/>
        </w:rPr>
        <w:t>representantes</w:t>
      </w:r>
      <w:r w:rsidRPr="00470C7C">
        <w:rPr>
          <w:rFonts w:cs="Arial"/>
          <w:iCs/>
          <w:szCs w:val="20"/>
          <w:lang w:val="es-ES"/>
        </w:rPr>
        <w:t xml:space="preserve">  argumentaron</w:t>
      </w:r>
      <w:proofErr w:type="gramEnd"/>
      <w:r w:rsidRPr="00470C7C">
        <w:rPr>
          <w:rFonts w:cs="Arial"/>
          <w:iCs/>
          <w:szCs w:val="20"/>
          <w:lang w:val="es-ES"/>
        </w:rPr>
        <w:t xml:space="preserve"> que en virtud de la denuncia realizada por los familiares de Luis Ferreira da Cruz e </w:t>
      </w:r>
      <w:proofErr w:type="spellStart"/>
      <w:r w:rsidRPr="00470C7C">
        <w:rPr>
          <w:rFonts w:cs="Arial"/>
          <w:iCs/>
          <w:szCs w:val="20"/>
          <w:lang w:val="es-ES"/>
        </w:rPr>
        <w:t>Iron</w:t>
      </w:r>
      <w:proofErr w:type="spellEnd"/>
      <w:r w:rsidRPr="00470C7C">
        <w:rPr>
          <w:rFonts w:cs="Arial"/>
          <w:iCs/>
          <w:szCs w:val="20"/>
          <w:lang w:val="es-ES"/>
        </w:rPr>
        <w:t xml:space="preserve"> Canuto da Silva el Estado tenía conocimiento directo y oportuno de las desapariciones. Sin embargo, ignorando las medidas especiales de protección que deben ser observadas respecto de personas menores de edad, las autoridades estatales no actuaron inmediatamente, sino que transcurrieron dos meses desde la denuncia para que la Policía Federal se presentara al lugar de los hechos y procediera a entrevistar a algunas personas al respecto, las cuales manifestaron que </w:t>
      </w:r>
      <w:r w:rsidR="00200C04" w:rsidRPr="00470C7C">
        <w:rPr>
          <w:rFonts w:cs="Arial"/>
          <w:iCs/>
          <w:szCs w:val="20"/>
          <w:lang w:val="es-ES"/>
        </w:rPr>
        <w:t>Luis Ferreira da Cruz</w:t>
      </w:r>
      <w:r w:rsidRPr="00470C7C">
        <w:rPr>
          <w:rFonts w:cs="Arial"/>
          <w:iCs/>
          <w:szCs w:val="20"/>
          <w:lang w:val="es-ES"/>
        </w:rPr>
        <w:t xml:space="preserve"> 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habían huido hacia otra hacienda. La Policía Federal no constató ese dato ni procedió a abrir investigación alguna. Por otra parte, los representantes especificaron que si bien el Estado obtuvo información sobre el paradero y fallecimiento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en 2007, ese no fue el caso de </w:t>
      </w:r>
      <w:r w:rsidR="00200C04" w:rsidRPr="00470C7C">
        <w:rPr>
          <w:rFonts w:cs="Arial"/>
          <w:iCs/>
          <w:szCs w:val="20"/>
          <w:lang w:val="es-ES"/>
        </w:rPr>
        <w:t>Luis Ferreira da Cruz</w:t>
      </w:r>
      <w:r w:rsidRPr="00470C7C">
        <w:rPr>
          <w:rFonts w:cs="Arial"/>
          <w:iCs/>
          <w:szCs w:val="20"/>
          <w:lang w:val="es-ES"/>
        </w:rPr>
        <w:t xml:space="preserve">, quien permanece desaparecido en la actualidad. De esta forma, los representantes concluyeron que a 28 años de denunciada la desaparición del adolescente </w:t>
      </w:r>
      <w:r w:rsidR="00200C04" w:rsidRPr="00470C7C">
        <w:rPr>
          <w:rFonts w:cs="Arial"/>
          <w:iCs/>
          <w:szCs w:val="20"/>
          <w:lang w:val="es-ES"/>
        </w:rPr>
        <w:t>Luis Ferreira da Cruz</w:t>
      </w:r>
      <w:r w:rsidRPr="00470C7C">
        <w:rPr>
          <w:rFonts w:cs="Arial"/>
          <w:iCs/>
          <w:szCs w:val="20"/>
          <w:lang w:val="es-ES"/>
        </w:rPr>
        <w:t xml:space="preserve">, el Estado es internacionalmente responsable por violar su deber de garantía con respecto de </w:t>
      </w:r>
      <w:r w:rsidR="00315750" w:rsidRPr="00470C7C">
        <w:rPr>
          <w:rFonts w:cs="Arial"/>
          <w:iCs/>
          <w:szCs w:val="20"/>
          <w:lang w:val="es-ES"/>
        </w:rPr>
        <w:t xml:space="preserve">sus </w:t>
      </w:r>
      <w:r w:rsidRPr="00470C7C">
        <w:rPr>
          <w:rFonts w:cs="Arial"/>
          <w:iCs/>
          <w:szCs w:val="20"/>
          <w:lang w:val="es-ES"/>
        </w:rPr>
        <w:t xml:space="preserve">derechos a la personalidad jurídica, vida, integridad y libertad personal por la falta de investigación de los hechos de su desaparición. Adicionalmente, los representantes argumentaron que la inacción estatal en la búsqueda seria y diligente de </w:t>
      </w:r>
      <w:r w:rsidR="00200C04" w:rsidRPr="00470C7C">
        <w:rPr>
          <w:rFonts w:cs="Arial"/>
          <w:iCs/>
          <w:szCs w:val="20"/>
          <w:lang w:val="es-ES"/>
        </w:rPr>
        <w:t>Luis Ferreira da Cruz</w:t>
      </w:r>
      <w:r w:rsidRPr="00470C7C">
        <w:rPr>
          <w:rFonts w:cs="Arial"/>
          <w:iCs/>
          <w:szCs w:val="20"/>
          <w:lang w:val="es-ES"/>
        </w:rPr>
        <w:t xml:space="preserve">, la revictimización por parte del Estado en el procedimiento ante la Comisión Interamericana, el sufrimiento y angustia causados en virtud del conocimiento de las circunstancias de la desaparición, así como el hecho de que fue sujeto a formas contemporáneas de esclavitud, acarrearon también la violación al derecho a la integridad personal de </w:t>
      </w:r>
      <w:r w:rsidR="00315750" w:rsidRPr="00470C7C">
        <w:rPr>
          <w:rFonts w:cs="Arial"/>
          <w:iCs/>
          <w:szCs w:val="20"/>
          <w:lang w:val="es-ES"/>
        </w:rPr>
        <w:t xml:space="preserve">sus </w:t>
      </w:r>
      <w:r w:rsidRPr="00470C7C">
        <w:rPr>
          <w:rFonts w:cs="Arial"/>
          <w:iCs/>
          <w:szCs w:val="20"/>
          <w:lang w:val="es-ES"/>
        </w:rPr>
        <w:t xml:space="preserve">familiares. </w:t>
      </w:r>
    </w:p>
    <w:p w14:paraId="49944DDB" w14:textId="77777777" w:rsidR="00D81AA1" w:rsidRPr="00470C7C" w:rsidRDefault="00D81AA1" w:rsidP="00D81AA1">
      <w:pPr>
        <w:pStyle w:val="Prrafodelista"/>
        <w:tabs>
          <w:tab w:val="right" w:pos="0"/>
        </w:tabs>
        <w:autoSpaceDE w:val="0"/>
        <w:autoSpaceDN w:val="0"/>
        <w:adjustRightInd w:val="0"/>
        <w:ind w:left="0"/>
        <w:contextualSpacing w:val="0"/>
        <w:rPr>
          <w:rFonts w:cs="Arial"/>
          <w:iCs/>
          <w:szCs w:val="20"/>
          <w:lang w:val="es-ES"/>
        </w:rPr>
      </w:pPr>
    </w:p>
    <w:p w14:paraId="597B9BB4" w14:textId="77777777" w:rsidR="00D81AA1" w:rsidRPr="00470C7C" w:rsidRDefault="00D81AA1" w:rsidP="00D81AA1">
      <w:pPr>
        <w:pStyle w:val="Prrafodelista"/>
        <w:numPr>
          <w:ilvl w:val="0"/>
          <w:numId w:val="1"/>
        </w:numPr>
        <w:tabs>
          <w:tab w:val="right" w:pos="0"/>
        </w:tabs>
        <w:contextualSpacing w:val="0"/>
        <w:rPr>
          <w:rFonts w:cs="Arial"/>
          <w:iCs/>
          <w:szCs w:val="20"/>
          <w:lang w:val="es-ES"/>
        </w:rPr>
      </w:pPr>
      <w:r w:rsidRPr="00470C7C">
        <w:rPr>
          <w:rFonts w:cs="Arial"/>
          <w:iCs/>
          <w:szCs w:val="20"/>
          <w:lang w:val="es-ES"/>
        </w:rPr>
        <w:t xml:space="preserve">El </w:t>
      </w:r>
      <w:r w:rsidRPr="00470C7C">
        <w:rPr>
          <w:rFonts w:cs="Arial"/>
          <w:b/>
          <w:i/>
          <w:iCs/>
          <w:szCs w:val="20"/>
          <w:lang w:val="es-ES"/>
        </w:rPr>
        <w:t>Estado</w:t>
      </w:r>
      <w:r w:rsidRPr="00470C7C">
        <w:rPr>
          <w:rFonts w:cs="Arial"/>
          <w:iCs/>
          <w:szCs w:val="20"/>
          <w:lang w:val="es-ES"/>
        </w:rPr>
        <w:t xml:space="preserve"> argumentó que Luis Ferreira da Cruz e </w:t>
      </w:r>
      <w:proofErr w:type="spellStart"/>
      <w:r w:rsidRPr="00470C7C">
        <w:rPr>
          <w:rFonts w:cs="Arial"/>
          <w:iCs/>
          <w:szCs w:val="20"/>
          <w:lang w:val="es-ES"/>
        </w:rPr>
        <w:t>Iron</w:t>
      </w:r>
      <w:proofErr w:type="spellEnd"/>
      <w:r w:rsidRPr="00470C7C">
        <w:rPr>
          <w:rFonts w:cs="Arial"/>
          <w:iCs/>
          <w:szCs w:val="20"/>
          <w:lang w:val="es-ES"/>
        </w:rPr>
        <w:t xml:space="preserve"> Canuto da Silva no fueron víctimas de desaparición forzada o de cualquier otra violación de derechos humanos al momento de su fuga de la Hacienda Brasil Verde. Al respecto, el Estado aportó como prueba el acta de defunción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en la cual se demuestra que</w:t>
      </w:r>
      <w:r w:rsidR="00A74771" w:rsidRPr="00470C7C">
        <w:rPr>
          <w:rFonts w:cs="Arial"/>
          <w:iCs/>
          <w:szCs w:val="20"/>
          <w:lang w:val="es-ES"/>
        </w:rPr>
        <w:t xml:space="preserve"> este </w:t>
      </w:r>
      <w:r w:rsidRPr="00470C7C">
        <w:rPr>
          <w:rFonts w:cs="Arial"/>
          <w:iCs/>
          <w:szCs w:val="20"/>
          <w:lang w:val="es-ES"/>
        </w:rPr>
        <w:t xml:space="preserve">falleció el 22 de julio de 2007. Asimismo, el Estado informó que el 4 de agosto de 2015, las señoras </w:t>
      </w:r>
      <w:proofErr w:type="spellStart"/>
      <w:r w:rsidRPr="00470C7C">
        <w:rPr>
          <w:rFonts w:cs="Arial"/>
          <w:iCs/>
          <w:szCs w:val="20"/>
          <w:lang w:val="es-ES"/>
        </w:rPr>
        <w:t>Maria</w:t>
      </w:r>
      <w:proofErr w:type="spellEnd"/>
      <w:r w:rsidRPr="00470C7C">
        <w:rPr>
          <w:rFonts w:cs="Arial"/>
          <w:iCs/>
          <w:szCs w:val="20"/>
          <w:lang w:val="es-ES"/>
        </w:rPr>
        <w:t xml:space="preserve"> </w:t>
      </w:r>
      <w:r w:rsidR="00C1157B" w:rsidRPr="00470C7C">
        <w:rPr>
          <w:rFonts w:cs="Arial"/>
          <w:iCs/>
          <w:szCs w:val="20"/>
          <w:lang w:val="es-ES"/>
        </w:rPr>
        <w:t xml:space="preserve">do </w:t>
      </w:r>
      <w:r w:rsidRPr="00470C7C">
        <w:rPr>
          <w:rFonts w:cs="Arial"/>
          <w:iCs/>
          <w:szCs w:val="20"/>
          <w:lang w:val="es-ES"/>
        </w:rPr>
        <w:t xml:space="preserve">Socorro Canuto y María </w:t>
      </w:r>
      <w:proofErr w:type="spellStart"/>
      <w:r w:rsidRPr="00470C7C">
        <w:rPr>
          <w:rFonts w:cs="Arial"/>
          <w:iCs/>
          <w:szCs w:val="20"/>
          <w:lang w:val="es-ES"/>
        </w:rPr>
        <w:t>Gorete</w:t>
      </w:r>
      <w:proofErr w:type="spellEnd"/>
      <w:r w:rsidRPr="00470C7C">
        <w:rPr>
          <w:rFonts w:cs="Arial"/>
          <w:iCs/>
          <w:szCs w:val="20"/>
          <w:lang w:val="es-ES"/>
        </w:rPr>
        <w:t xml:space="preserve">, madre y hermana de crianza de </w:t>
      </w:r>
      <w:r w:rsidR="00200C04" w:rsidRPr="00470C7C">
        <w:rPr>
          <w:rFonts w:cs="Arial"/>
          <w:iCs/>
          <w:szCs w:val="20"/>
          <w:lang w:val="es-ES"/>
        </w:rPr>
        <w:t>Luis Ferreira da Cruz</w:t>
      </w:r>
      <w:r w:rsidRPr="00470C7C">
        <w:rPr>
          <w:rFonts w:cs="Arial"/>
          <w:iCs/>
          <w:szCs w:val="20"/>
          <w:lang w:val="es-ES"/>
        </w:rPr>
        <w:t xml:space="preserve">, respectivamente, afirmaron </w:t>
      </w:r>
      <w:r w:rsidR="00C1157B" w:rsidRPr="00470C7C">
        <w:rPr>
          <w:rFonts w:cs="Arial"/>
          <w:iCs/>
          <w:szCs w:val="20"/>
          <w:lang w:val="es-ES"/>
        </w:rPr>
        <w:t xml:space="preserve">a </w:t>
      </w:r>
      <w:r w:rsidRPr="00470C7C">
        <w:rPr>
          <w:rFonts w:cs="Arial"/>
          <w:iCs/>
          <w:szCs w:val="20"/>
          <w:lang w:val="es-ES"/>
        </w:rPr>
        <w:t>la Policía Federal mediante una llamada telefónica que Luis</w:t>
      </w:r>
      <w:r w:rsidR="00D47846" w:rsidRPr="00470C7C">
        <w:rPr>
          <w:rFonts w:cs="Arial"/>
          <w:iCs/>
          <w:szCs w:val="20"/>
          <w:lang w:val="es-ES"/>
        </w:rPr>
        <w:t xml:space="preserve"> Ferreira da Cruz</w:t>
      </w:r>
      <w:r w:rsidRPr="00470C7C">
        <w:rPr>
          <w:rFonts w:cs="Arial"/>
          <w:iCs/>
          <w:szCs w:val="20"/>
          <w:lang w:val="es-ES"/>
        </w:rPr>
        <w:t xml:space="preserve"> falleció en un enfrentamiento con la Policía Militar de la ciudad de </w:t>
      </w:r>
      <w:proofErr w:type="spellStart"/>
      <w:r w:rsidRPr="00470C7C">
        <w:rPr>
          <w:rFonts w:cs="Arial"/>
          <w:iCs/>
          <w:szCs w:val="20"/>
          <w:lang w:val="es-ES"/>
        </w:rPr>
        <w:t>Xinguara</w:t>
      </w:r>
      <w:proofErr w:type="spellEnd"/>
      <w:r w:rsidRPr="00470C7C">
        <w:rPr>
          <w:rFonts w:cs="Arial"/>
          <w:iCs/>
          <w:szCs w:val="20"/>
          <w:lang w:val="es-ES"/>
        </w:rPr>
        <w:t xml:space="preserve"> hace aproximadamente 10 años. </w:t>
      </w:r>
    </w:p>
    <w:p w14:paraId="76113DBA" w14:textId="77777777" w:rsidR="00D81AA1" w:rsidRPr="00470C7C" w:rsidRDefault="00D81AA1" w:rsidP="00D81AA1">
      <w:pPr>
        <w:pStyle w:val="Prrafodelista"/>
        <w:tabs>
          <w:tab w:val="right" w:pos="0"/>
        </w:tabs>
        <w:autoSpaceDE w:val="0"/>
        <w:autoSpaceDN w:val="0"/>
        <w:adjustRightInd w:val="0"/>
        <w:ind w:left="0"/>
        <w:contextualSpacing w:val="0"/>
        <w:rPr>
          <w:rFonts w:cs="Arial"/>
          <w:iCs/>
          <w:szCs w:val="20"/>
          <w:lang w:val="es-ES"/>
        </w:rPr>
      </w:pPr>
    </w:p>
    <w:p w14:paraId="0E79F3A5" w14:textId="77777777" w:rsidR="00D81AA1" w:rsidRPr="00470C7C" w:rsidRDefault="00D81AA1" w:rsidP="00A47A97">
      <w:pPr>
        <w:pStyle w:val="Prrafodelista"/>
        <w:numPr>
          <w:ilvl w:val="0"/>
          <w:numId w:val="1"/>
        </w:numPr>
        <w:tabs>
          <w:tab w:val="right" w:pos="0"/>
        </w:tabs>
        <w:contextualSpacing w:val="0"/>
        <w:rPr>
          <w:rFonts w:cs="Arial"/>
          <w:iCs/>
          <w:szCs w:val="20"/>
          <w:lang w:val="es-ES"/>
        </w:rPr>
      </w:pPr>
      <w:r w:rsidRPr="00470C7C">
        <w:rPr>
          <w:rFonts w:cs="Arial"/>
          <w:iCs/>
          <w:szCs w:val="20"/>
          <w:lang w:val="es-ES"/>
        </w:rPr>
        <w:t xml:space="preserve">Asimismo, el Estado indicó </w:t>
      </w:r>
      <w:proofErr w:type="gramStart"/>
      <w:r w:rsidRPr="00470C7C">
        <w:rPr>
          <w:rFonts w:cs="Arial"/>
          <w:iCs/>
          <w:szCs w:val="20"/>
          <w:lang w:val="es-ES"/>
        </w:rPr>
        <w:t>que</w:t>
      </w:r>
      <w:proofErr w:type="gramEnd"/>
      <w:r w:rsidRPr="00470C7C">
        <w:rPr>
          <w:rFonts w:cs="Arial"/>
          <w:iCs/>
          <w:szCs w:val="20"/>
          <w:lang w:val="es-ES"/>
        </w:rPr>
        <w:t xml:space="preserve"> en virtud de no portar documentos de identificación al momento de su muerte, </w:t>
      </w:r>
      <w:r w:rsidR="00200C04" w:rsidRPr="00470C7C">
        <w:rPr>
          <w:rFonts w:cs="Arial"/>
          <w:iCs/>
          <w:szCs w:val="20"/>
          <w:lang w:val="es-ES"/>
        </w:rPr>
        <w:t>Luis Ferreira da Cruz</w:t>
      </w:r>
      <w:r w:rsidRPr="00470C7C">
        <w:rPr>
          <w:rFonts w:cs="Arial"/>
          <w:iCs/>
          <w:szCs w:val="20"/>
          <w:lang w:val="es-ES"/>
        </w:rPr>
        <w:t xml:space="preserve"> fue enterrado como indigente y</w:t>
      </w:r>
      <w:r w:rsidR="00CE556A" w:rsidRPr="00470C7C">
        <w:rPr>
          <w:rFonts w:cs="Arial"/>
          <w:iCs/>
          <w:szCs w:val="20"/>
          <w:lang w:val="es-ES"/>
        </w:rPr>
        <w:t>,</w:t>
      </w:r>
      <w:r w:rsidRPr="00470C7C">
        <w:rPr>
          <w:rFonts w:cs="Arial"/>
          <w:iCs/>
          <w:szCs w:val="20"/>
          <w:lang w:val="es-ES"/>
        </w:rPr>
        <w:t xml:space="preserve"> por ello</w:t>
      </w:r>
      <w:r w:rsidR="00CE556A" w:rsidRPr="00470C7C">
        <w:rPr>
          <w:rFonts w:cs="Arial"/>
          <w:iCs/>
          <w:szCs w:val="20"/>
          <w:lang w:val="es-ES"/>
        </w:rPr>
        <w:t>,</w:t>
      </w:r>
      <w:r w:rsidRPr="00470C7C">
        <w:rPr>
          <w:rFonts w:cs="Arial"/>
          <w:iCs/>
          <w:szCs w:val="20"/>
          <w:lang w:val="es-ES"/>
        </w:rPr>
        <w:t xml:space="preserve"> su nombre no aparece registrado en la base de datos del</w:t>
      </w:r>
      <w:r w:rsidRPr="00470C7C">
        <w:rPr>
          <w:rFonts w:cs="Arial"/>
          <w:iCs/>
          <w:szCs w:val="20"/>
        </w:rPr>
        <w:t xml:space="preserve"> Registro Civil de la ciudad de </w:t>
      </w:r>
      <w:proofErr w:type="spellStart"/>
      <w:r w:rsidRPr="00470C7C">
        <w:rPr>
          <w:rFonts w:cs="Arial"/>
          <w:iCs/>
          <w:szCs w:val="20"/>
        </w:rPr>
        <w:t>Xinguara</w:t>
      </w:r>
      <w:proofErr w:type="spellEnd"/>
      <w:r w:rsidRPr="00470C7C">
        <w:rPr>
          <w:rFonts w:cs="Arial"/>
          <w:iCs/>
          <w:szCs w:val="20"/>
        </w:rPr>
        <w:t xml:space="preserve">. De esta forma, el Estado argumentó que después de su fuga de la Hacienda Brasil Verde </w:t>
      </w:r>
      <w:r w:rsidR="00200C04" w:rsidRPr="00470C7C">
        <w:rPr>
          <w:rFonts w:cs="Arial"/>
          <w:iCs/>
          <w:szCs w:val="20"/>
        </w:rPr>
        <w:t>Luis Ferreira da Cruz</w:t>
      </w:r>
      <w:r w:rsidRPr="00470C7C">
        <w:rPr>
          <w:rFonts w:cs="Arial"/>
          <w:iCs/>
          <w:szCs w:val="20"/>
        </w:rPr>
        <w:t xml:space="preserve"> continuó con su vida durante más de 15 años, sin que exista indicio o prueba de que durante ese tiempo estuviese sometido a desaparición forzada. Adicionalmente, el Estado manifestó que la denuncia de la presunta desaparición fue realizada cuatro meses después de la </w:t>
      </w:r>
      <w:r w:rsidR="008E18B4" w:rsidRPr="00470C7C">
        <w:rPr>
          <w:rFonts w:cs="Arial"/>
          <w:iCs/>
          <w:szCs w:val="20"/>
        </w:rPr>
        <w:t>supuesta</w:t>
      </w:r>
      <w:r w:rsidRPr="00470C7C">
        <w:rPr>
          <w:rFonts w:cs="Arial"/>
          <w:iCs/>
          <w:szCs w:val="20"/>
        </w:rPr>
        <w:t xml:space="preserve"> ocurrencia del hecho, lo cual impidió al Estado evitar la ocurrencia del supuesto acontecimiento. En consecuencia, el Estado concluyó que no podía ser encontrado responsable por la alegada violación de los derechos humanos contemplados en los artículos 3, 4, 5, y 7 de la Convención Americana, en perjuicio de Luis Ferreira da Cruz, ni de la presunta violación de los artículos 8 y 25 del mismo instrumento en perjuicio de sus familiares.</w:t>
      </w:r>
    </w:p>
    <w:p w14:paraId="7784CA25" w14:textId="77777777" w:rsidR="000C04E5" w:rsidRPr="00470C7C" w:rsidRDefault="000C04E5" w:rsidP="00A47A97">
      <w:pPr>
        <w:tabs>
          <w:tab w:val="right" w:pos="0"/>
        </w:tabs>
        <w:autoSpaceDE w:val="0"/>
        <w:autoSpaceDN w:val="0"/>
        <w:adjustRightInd w:val="0"/>
        <w:rPr>
          <w:rFonts w:cs="Arial"/>
          <w:iCs/>
          <w:szCs w:val="20"/>
          <w:lang w:val="es-ES"/>
        </w:rPr>
      </w:pPr>
    </w:p>
    <w:p w14:paraId="3C4BD90A" w14:textId="77777777" w:rsidR="00D81AA1" w:rsidRPr="00470C7C" w:rsidRDefault="00A47A97" w:rsidP="00C30FB8">
      <w:pPr>
        <w:pStyle w:val="Ttulo4"/>
        <w:spacing w:before="0" w:after="0"/>
      </w:pPr>
      <w:bookmarkStart w:id="389" w:name="_Toc460433056"/>
      <w:bookmarkStart w:id="390" w:name="_Toc460441987"/>
      <w:bookmarkStart w:id="391" w:name="_Toc462751129"/>
      <w:bookmarkStart w:id="392" w:name="_Toc464813981"/>
      <w:r w:rsidRPr="00470C7C">
        <w:t xml:space="preserve">B.4.2 </w:t>
      </w:r>
      <w:r w:rsidR="00D81AA1" w:rsidRPr="00470C7C">
        <w:t>Consideraciones de la Corte</w:t>
      </w:r>
      <w:bookmarkEnd w:id="389"/>
      <w:bookmarkEnd w:id="390"/>
      <w:bookmarkEnd w:id="391"/>
      <w:bookmarkEnd w:id="392"/>
      <w:r w:rsidR="00C30FB8" w:rsidRPr="00470C7C">
        <w:t xml:space="preserve"> </w:t>
      </w:r>
    </w:p>
    <w:p w14:paraId="44D2282E" w14:textId="77777777" w:rsidR="00C30FB8" w:rsidRPr="00470C7C" w:rsidRDefault="00C30FB8" w:rsidP="00C30FB8">
      <w:pPr>
        <w:pStyle w:val="Prrafodelista"/>
        <w:tabs>
          <w:tab w:val="right" w:pos="0"/>
        </w:tabs>
        <w:ind w:left="0"/>
        <w:contextualSpacing w:val="0"/>
        <w:rPr>
          <w:lang w:val="es-MX"/>
        </w:rPr>
      </w:pPr>
    </w:p>
    <w:p w14:paraId="4D5C347E" w14:textId="77777777" w:rsidR="00D81AA1" w:rsidRPr="00470C7C" w:rsidRDefault="00BC1C89" w:rsidP="00C30FB8">
      <w:pPr>
        <w:pStyle w:val="Prrafodelista"/>
        <w:numPr>
          <w:ilvl w:val="0"/>
          <w:numId w:val="1"/>
        </w:numPr>
        <w:tabs>
          <w:tab w:val="right" w:pos="0"/>
        </w:tabs>
        <w:contextualSpacing w:val="0"/>
        <w:rPr>
          <w:rFonts w:cs="Arial"/>
          <w:iCs/>
          <w:szCs w:val="20"/>
        </w:rPr>
      </w:pPr>
      <w:r w:rsidRPr="00470C7C">
        <w:rPr>
          <w:rFonts w:cs="Arial"/>
          <w:iCs/>
          <w:szCs w:val="20"/>
        </w:rPr>
        <w:t>L</w:t>
      </w:r>
      <w:r w:rsidR="00D81AA1" w:rsidRPr="00470C7C">
        <w:rPr>
          <w:rFonts w:cs="Arial"/>
          <w:iCs/>
          <w:szCs w:val="20"/>
        </w:rPr>
        <w:t xml:space="preserve">a Corte ha establecido que mientras perdure la desaparición </w:t>
      </w:r>
      <w:r w:rsidRPr="00470C7C">
        <w:rPr>
          <w:rFonts w:cs="Arial"/>
          <w:iCs/>
          <w:szCs w:val="20"/>
        </w:rPr>
        <w:t xml:space="preserve">forzada </w:t>
      </w:r>
      <w:r w:rsidR="00D81AA1" w:rsidRPr="00470C7C">
        <w:rPr>
          <w:rFonts w:cs="Arial"/>
          <w:iCs/>
          <w:szCs w:val="20"/>
        </w:rPr>
        <w:t>los Estados tienen el deber correlativo de investigarla y, eventualmente, sancionar a los responsables, conforme a las obligaciones derivadas de la Convención Americana y, en particular, de la Convención Interamericana sobre Desaparición Forzada de Personas</w:t>
      </w:r>
      <w:r w:rsidR="00D81AA1" w:rsidRPr="00470C7C">
        <w:rPr>
          <w:rFonts w:cs="Arial"/>
          <w:iCs/>
          <w:szCs w:val="20"/>
          <w:vertAlign w:val="superscript"/>
          <w:lang w:val="en-US"/>
        </w:rPr>
        <w:footnoteReference w:id="516"/>
      </w:r>
      <w:r w:rsidR="00D81AA1" w:rsidRPr="00470C7C">
        <w:rPr>
          <w:rFonts w:cs="Arial"/>
          <w:iCs/>
          <w:szCs w:val="20"/>
        </w:rPr>
        <w:t>. De acuerdo con lo argumentado por las partes,</w:t>
      </w:r>
      <w:r w:rsidR="00B54FB3" w:rsidRPr="00470C7C">
        <w:rPr>
          <w:rFonts w:cs="Arial"/>
          <w:iCs/>
          <w:szCs w:val="20"/>
        </w:rPr>
        <w:t xml:space="preserve"> esta </w:t>
      </w:r>
      <w:r w:rsidR="00D81AA1" w:rsidRPr="00470C7C">
        <w:rPr>
          <w:rFonts w:cs="Arial"/>
          <w:iCs/>
          <w:szCs w:val="20"/>
        </w:rPr>
        <w:t xml:space="preserve">sería la obligación que el Estado presuntamente ha incumplido en el presente caso. </w:t>
      </w:r>
    </w:p>
    <w:p w14:paraId="6556A00F" w14:textId="77777777" w:rsidR="00D81AA1" w:rsidRPr="00470C7C" w:rsidRDefault="00D81AA1" w:rsidP="00D81AA1">
      <w:pPr>
        <w:pStyle w:val="Prrafodelista"/>
        <w:tabs>
          <w:tab w:val="right" w:pos="0"/>
        </w:tabs>
        <w:autoSpaceDE w:val="0"/>
        <w:autoSpaceDN w:val="0"/>
        <w:adjustRightInd w:val="0"/>
        <w:ind w:left="0"/>
        <w:contextualSpacing w:val="0"/>
        <w:rPr>
          <w:rFonts w:cs="Arial"/>
          <w:iCs/>
          <w:szCs w:val="20"/>
        </w:rPr>
      </w:pPr>
    </w:p>
    <w:p w14:paraId="47475AEE" w14:textId="77777777" w:rsidR="00D81AA1" w:rsidRPr="00470C7C" w:rsidRDefault="00D81AA1" w:rsidP="00D81AA1">
      <w:pPr>
        <w:pStyle w:val="Prrafodelista"/>
        <w:numPr>
          <w:ilvl w:val="0"/>
          <w:numId w:val="1"/>
        </w:numPr>
        <w:tabs>
          <w:tab w:val="right" w:pos="0"/>
        </w:tabs>
        <w:contextualSpacing w:val="0"/>
        <w:rPr>
          <w:rFonts w:cs="Arial"/>
          <w:iCs/>
          <w:szCs w:val="20"/>
        </w:rPr>
      </w:pPr>
      <w:r w:rsidRPr="00470C7C">
        <w:rPr>
          <w:rFonts w:cs="Arial"/>
          <w:iCs/>
          <w:szCs w:val="20"/>
        </w:rPr>
        <w:t>De esta forma, con respecto al deber de debida diligencia frente a denuncias de desaparición, la Corte ha establecido que esta obligación de medio exige la realización exhaustiva de actividades de búsqueda. En particular, es imprescindible la actuación pronta e inmediata de las autoridades policiales, fiscales y judiciales ordenando medidas oportunas y necesarias dirigidas a la determinación del paradero de las presuntas víctimas. Asimismo, deben existir procedimientos adecuados para la interposición de denuncias y estas deben tener como consecuencia la realización de una investigación efectiva desde las primeras horas. A su vez, el Tribunal ha establecido que las autoridades deben presumir que la persona desaparecida sigue con vida hasta que se ponga fin a la incertidumbre sobre la suerte que ha corrido</w:t>
      </w:r>
      <w:r w:rsidRPr="00470C7C">
        <w:rPr>
          <w:rFonts w:cs="Arial"/>
          <w:iCs/>
          <w:szCs w:val="20"/>
          <w:vertAlign w:val="superscript"/>
        </w:rPr>
        <w:footnoteReference w:id="517"/>
      </w:r>
      <w:r w:rsidRPr="00470C7C">
        <w:rPr>
          <w:rFonts w:cs="Arial"/>
          <w:iCs/>
          <w:szCs w:val="20"/>
        </w:rPr>
        <w:t>.</w:t>
      </w:r>
    </w:p>
    <w:p w14:paraId="1778437D" w14:textId="77777777" w:rsidR="00D81AA1" w:rsidRPr="00470C7C" w:rsidRDefault="00D81AA1" w:rsidP="00D81AA1">
      <w:pPr>
        <w:pStyle w:val="Prrafodelista"/>
        <w:tabs>
          <w:tab w:val="right" w:pos="0"/>
        </w:tabs>
        <w:ind w:left="0"/>
        <w:rPr>
          <w:rFonts w:cs="Arial"/>
          <w:iCs/>
          <w:szCs w:val="20"/>
          <w:lang w:val="es-ES"/>
        </w:rPr>
      </w:pPr>
    </w:p>
    <w:p w14:paraId="7BC1E2E1" w14:textId="77777777" w:rsidR="00D81AA1" w:rsidRPr="00470C7C" w:rsidRDefault="00D81AA1" w:rsidP="00D81AA1">
      <w:pPr>
        <w:pStyle w:val="Prrafodelista"/>
        <w:numPr>
          <w:ilvl w:val="0"/>
          <w:numId w:val="1"/>
        </w:numPr>
        <w:tabs>
          <w:tab w:val="right" w:pos="0"/>
        </w:tabs>
        <w:contextualSpacing w:val="0"/>
        <w:rPr>
          <w:rFonts w:cs="Arial"/>
          <w:i/>
          <w:iCs/>
          <w:szCs w:val="20"/>
          <w:lang w:val="es-ES"/>
        </w:rPr>
      </w:pPr>
      <w:r w:rsidRPr="00470C7C">
        <w:rPr>
          <w:rFonts w:cs="Arial"/>
          <w:iCs/>
          <w:szCs w:val="20"/>
          <w:lang w:val="es-ES"/>
        </w:rPr>
        <w:t xml:space="preserve">En el presente caso, la Corte constató como antecedentes que el 21 de diciembre de 1988 la Comisión Pastoral de la Tierra y la Diócesis de </w:t>
      </w:r>
      <w:proofErr w:type="spellStart"/>
      <w:r w:rsidRPr="00470C7C">
        <w:rPr>
          <w:rFonts w:cs="Arial"/>
          <w:iCs/>
          <w:szCs w:val="20"/>
          <w:lang w:val="es-ES"/>
        </w:rPr>
        <w:t>Araguaia</w:t>
      </w:r>
      <w:proofErr w:type="spellEnd"/>
      <w:r w:rsidRPr="00470C7C">
        <w:rPr>
          <w:rFonts w:cs="Arial"/>
          <w:iCs/>
          <w:szCs w:val="20"/>
          <w:lang w:val="es-ES"/>
        </w:rPr>
        <w:t xml:space="preserve">, junto con José Teodoro da Silva, padre de </w:t>
      </w:r>
      <w:proofErr w:type="spellStart"/>
      <w:r w:rsidRPr="00470C7C">
        <w:rPr>
          <w:rFonts w:cs="Arial"/>
          <w:iCs/>
          <w:szCs w:val="20"/>
          <w:lang w:val="es-ES"/>
        </w:rPr>
        <w:t>lron</w:t>
      </w:r>
      <w:proofErr w:type="spellEnd"/>
      <w:r w:rsidRPr="00470C7C">
        <w:rPr>
          <w:rFonts w:cs="Arial"/>
          <w:iCs/>
          <w:szCs w:val="20"/>
          <w:lang w:val="es-ES"/>
        </w:rPr>
        <w:t xml:space="preserve"> Canuto da Silva de 17 años, y Miguel Ferreira da Cruz, hermano de Luis Ferreira da Cruz de 16 años, presentaron una denuncia ante la Policía Federal por la práctica de trabajo esclavo en la Hacienda Brasil Verde, así como por la desaparición de </w:t>
      </w:r>
      <w:r w:rsidR="0050553E" w:rsidRPr="00470C7C">
        <w:rPr>
          <w:rFonts w:cs="Arial"/>
          <w:iCs/>
          <w:szCs w:val="20"/>
          <w:lang w:val="es-ES"/>
        </w:rPr>
        <w:t>ambos</w:t>
      </w:r>
      <w:r w:rsidRPr="00470C7C">
        <w:rPr>
          <w:rFonts w:cs="Arial"/>
          <w:iCs/>
          <w:szCs w:val="20"/>
          <w:lang w:val="es-ES"/>
        </w:rPr>
        <w:t xml:space="preserve"> jóvenes. En dicha denuncia alegaron que en agosto de 1988 </w:t>
      </w:r>
      <w:proofErr w:type="spellStart"/>
      <w:r w:rsidRPr="00470C7C">
        <w:rPr>
          <w:rFonts w:cs="Arial"/>
          <w:iCs/>
          <w:szCs w:val="20"/>
          <w:lang w:val="es-ES"/>
        </w:rPr>
        <w:t>lron</w:t>
      </w:r>
      <w:proofErr w:type="spellEnd"/>
      <w:r w:rsidRPr="00470C7C">
        <w:rPr>
          <w:rFonts w:cs="Arial"/>
          <w:iCs/>
          <w:szCs w:val="20"/>
          <w:lang w:val="es-ES"/>
        </w:rPr>
        <w:t xml:space="preserve"> Canuto</w:t>
      </w:r>
      <w:r w:rsidR="0050553E" w:rsidRPr="00470C7C">
        <w:rPr>
          <w:rFonts w:cs="Arial"/>
          <w:iCs/>
          <w:szCs w:val="20"/>
          <w:lang w:val="es-ES"/>
        </w:rPr>
        <w:t xml:space="preserve"> da Silva</w:t>
      </w:r>
      <w:r w:rsidRPr="00470C7C">
        <w:rPr>
          <w:rFonts w:cs="Arial"/>
          <w:iCs/>
          <w:szCs w:val="20"/>
          <w:lang w:val="es-ES"/>
        </w:rPr>
        <w:t xml:space="preserve"> y </w:t>
      </w:r>
      <w:r w:rsidR="00200C04" w:rsidRPr="00470C7C">
        <w:rPr>
          <w:rFonts w:cs="Arial"/>
          <w:iCs/>
          <w:szCs w:val="20"/>
          <w:lang w:val="es-ES"/>
        </w:rPr>
        <w:t>Luis Ferreira da Cruz</w:t>
      </w:r>
      <w:r w:rsidRPr="00470C7C">
        <w:rPr>
          <w:rFonts w:cs="Arial"/>
          <w:iCs/>
          <w:szCs w:val="20"/>
          <w:lang w:val="es-ES"/>
        </w:rPr>
        <w:t xml:space="preserve"> habían sido llevados por el señor </w:t>
      </w:r>
      <w:proofErr w:type="spellStart"/>
      <w:r w:rsidRPr="00470C7C">
        <w:rPr>
          <w:rFonts w:cs="Arial"/>
          <w:iCs/>
          <w:szCs w:val="20"/>
          <w:lang w:val="es-ES"/>
        </w:rPr>
        <w:t>Manoel</w:t>
      </w:r>
      <w:proofErr w:type="spellEnd"/>
      <w:r w:rsidRPr="00470C7C">
        <w:rPr>
          <w:rFonts w:cs="Arial"/>
          <w:iCs/>
          <w:szCs w:val="20"/>
          <w:lang w:val="es-ES"/>
        </w:rPr>
        <w:t xml:space="preserve"> Pinto Ferreira, quien era un</w:t>
      </w:r>
      <w:r w:rsidR="00DB1C1D" w:rsidRPr="00470C7C">
        <w:rPr>
          <w:rFonts w:cs="Arial"/>
          <w:i/>
          <w:iCs/>
          <w:szCs w:val="20"/>
          <w:lang w:val="es-ES"/>
        </w:rPr>
        <w:t xml:space="preserve"> gato </w:t>
      </w:r>
      <w:r w:rsidRPr="00470C7C">
        <w:rPr>
          <w:rFonts w:cs="Arial"/>
          <w:iCs/>
          <w:szCs w:val="20"/>
          <w:lang w:val="es-ES"/>
        </w:rPr>
        <w:t>conocido como “Mano”, para trabajar por 60 días en la Hacienda Brasil Verde. Asimismo, señalaron que de acuerdo con lo que les fue indicado por el</w:t>
      </w:r>
      <w:r w:rsidR="00DB1C1D" w:rsidRPr="00470C7C">
        <w:rPr>
          <w:rFonts w:cs="Arial"/>
          <w:i/>
          <w:iCs/>
          <w:szCs w:val="20"/>
          <w:lang w:val="es-ES"/>
        </w:rPr>
        <w:t xml:space="preserve"> gato </w:t>
      </w:r>
      <w:r w:rsidRPr="00470C7C">
        <w:rPr>
          <w:rFonts w:cs="Arial"/>
          <w:iCs/>
          <w:szCs w:val="20"/>
          <w:lang w:val="es-ES"/>
        </w:rPr>
        <w:t xml:space="preserve">“Mano”, aproximadamente en septiembre del mismo año los jóvenes habrían intentado huir de la </w:t>
      </w:r>
      <w:proofErr w:type="gramStart"/>
      <w:r w:rsidRPr="00470C7C">
        <w:rPr>
          <w:rFonts w:cs="Arial"/>
          <w:iCs/>
          <w:szCs w:val="20"/>
          <w:lang w:val="es-ES"/>
        </w:rPr>
        <w:t>Hacienda</w:t>
      </w:r>
      <w:proofErr w:type="gramEnd"/>
      <w:r w:rsidRPr="00470C7C">
        <w:rPr>
          <w:rFonts w:cs="Arial"/>
          <w:iCs/>
          <w:szCs w:val="20"/>
          <w:lang w:val="es-ES"/>
        </w:rPr>
        <w:t xml:space="preserve"> pero habrían sido encontrados por el</w:t>
      </w:r>
      <w:r w:rsidR="00DB1C1D" w:rsidRPr="00470C7C">
        <w:rPr>
          <w:rFonts w:cs="Arial"/>
          <w:i/>
          <w:iCs/>
          <w:szCs w:val="20"/>
          <w:lang w:val="es-ES"/>
        </w:rPr>
        <w:t xml:space="preserve"> gato </w:t>
      </w:r>
      <w:r w:rsidRPr="00470C7C">
        <w:rPr>
          <w:rFonts w:cs="Arial"/>
          <w:iCs/>
          <w:szCs w:val="20"/>
          <w:lang w:val="es-ES"/>
        </w:rPr>
        <w:t>y regresados a la fuerza. El</w:t>
      </w:r>
      <w:r w:rsidR="00DB1C1D" w:rsidRPr="00470C7C">
        <w:rPr>
          <w:rFonts w:cs="Arial"/>
          <w:i/>
          <w:iCs/>
          <w:szCs w:val="20"/>
          <w:lang w:val="es-ES"/>
        </w:rPr>
        <w:t xml:space="preserve"> gato </w:t>
      </w:r>
      <w:r w:rsidRPr="00470C7C">
        <w:rPr>
          <w:rFonts w:cs="Arial"/>
          <w:iCs/>
          <w:szCs w:val="20"/>
          <w:lang w:val="es-ES"/>
        </w:rPr>
        <w:t>habría amenazado de muerte a los jóvenes e incluso realizado disparos con un arma de fuego. Finalmente, los denunciantes indicaron que desconocían el paradero de los jóvenes y que dicha situación había generado una gran preocupación para la familia (</w:t>
      </w:r>
      <w:r w:rsidRPr="00470C7C">
        <w:rPr>
          <w:rFonts w:cs="Arial"/>
          <w:i/>
          <w:iCs/>
          <w:szCs w:val="20"/>
          <w:lang w:val="es-ES"/>
        </w:rPr>
        <w:t>supra</w:t>
      </w:r>
      <w:r w:rsidR="00B30674" w:rsidRPr="00470C7C">
        <w:rPr>
          <w:rFonts w:cs="Arial"/>
          <w:iCs/>
          <w:szCs w:val="20"/>
          <w:lang w:val="es-ES"/>
        </w:rPr>
        <w:t xml:space="preserve"> párr</w:t>
      </w:r>
      <w:r w:rsidRPr="00470C7C">
        <w:rPr>
          <w:rFonts w:cs="Arial"/>
          <w:iCs/>
          <w:szCs w:val="20"/>
          <w:lang w:val="es-ES"/>
        </w:rPr>
        <w:t xml:space="preserve">. </w:t>
      </w:r>
      <w:r w:rsidR="00B30674" w:rsidRPr="00470C7C">
        <w:rPr>
          <w:rFonts w:cs="Arial"/>
          <w:iCs/>
          <w:szCs w:val="20"/>
          <w:lang w:val="es-ES"/>
        </w:rPr>
        <w:t>130</w:t>
      </w:r>
      <w:r w:rsidRPr="00470C7C">
        <w:rPr>
          <w:rFonts w:cs="Arial"/>
          <w:iCs/>
          <w:szCs w:val="20"/>
          <w:lang w:val="es-ES"/>
        </w:rPr>
        <w:t>).</w:t>
      </w:r>
    </w:p>
    <w:p w14:paraId="5829D516" w14:textId="77777777" w:rsidR="00D81AA1" w:rsidRPr="00470C7C" w:rsidRDefault="00D81AA1" w:rsidP="00D81AA1">
      <w:pPr>
        <w:pStyle w:val="Prrafodelista"/>
        <w:tabs>
          <w:tab w:val="right" w:pos="0"/>
        </w:tabs>
        <w:autoSpaceDE w:val="0"/>
        <w:autoSpaceDN w:val="0"/>
        <w:adjustRightInd w:val="0"/>
        <w:ind w:left="0"/>
        <w:rPr>
          <w:rFonts w:cs="Arial"/>
          <w:iCs/>
          <w:szCs w:val="20"/>
          <w:lang w:val="es-ES"/>
        </w:rPr>
      </w:pPr>
    </w:p>
    <w:p w14:paraId="57E096DD" w14:textId="77777777" w:rsidR="00D81AA1" w:rsidRPr="00470C7C" w:rsidRDefault="00D81AA1" w:rsidP="00D81AA1">
      <w:pPr>
        <w:pStyle w:val="Prrafodelista"/>
        <w:numPr>
          <w:ilvl w:val="0"/>
          <w:numId w:val="1"/>
        </w:numPr>
        <w:tabs>
          <w:tab w:val="right" w:pos="0"/>
        </w:tabs>
        <w:contextualSpacing w:val="0"/>
        <w:rPr>
          <w:rFonts w:cs="Arial"/>
          <w:iCs/>
          <w:szCs w:val="20"/>
          <w:lang w:val="es-ES"/>
        </w:rPr>
      </w:pPr>
      <w:r w:rsidRPr="00470C7C">
        <w:rPr>
          <w:rFonts w:cs="Arial"/>
          <w:iCs/>
          <w:szCs w:val="20"/>
          <w:lang w:val="es-ES"/>
        </w:rPr>
        <w:t>A su vez, el Tribunal verificó que el 20 de febrero de 1989 la Policía Federal realizó una visita a la Hacienda Brasil Verde. En esa visita los</w:t>
      </w:r>
      <w:r w:rsidRPr="00470C7C">
        <w:rPr>
          <w:rFonts w:cs="Arial"/>
          <w:i/>
          <w:iCs/>
          <w:szCs w:val="20"/>
          <w:lang w:val="es-ES"/>
        </w:rPr>
        <w:t xml:space="preserve"> </w:t>
      </w:r>
      <w:r w:rsidRPr="00470C7C">
        <w:rPr>
          <w:rFonts w:cs="Arial"/>
          <w:iCs/>
          <w:szCs w:val="20"/>
          <w:lang w:val="es-ES"/>
        </w:rPr>
        <w:t>trabajadores presentes identificaron al</w:t>
      </w:r>
      <w:r w:rsidR="00DB1C1D" w:rsidRPr="00470C7C">
        <w:rPr>
          <w:rFonts w:cs="Arial"/>
          <w:i/>
          <w:iCs/>
          <w:szCs w:val="20"/>
          <w:lang w:val="es-ES"/>
        </w:rPr>
        <w:t xml:space="preserve"> gato </w:t>
      </w:r>
      <w:r w:rsidRPr="00470C7C">
        <w:rPr>
          <w:rFonts w:cs="Arial"/>
          <w:iCs/>
          <w:szCs w:val="20"/>
          <w:lang w:val="es-ES"/>
        </w:rPr>
        <w:t>conocido como “Mano” e</w:t>
      </w:r>
      <w:r w:rsidRPr="00470C7C">
        <w:rPr>
          <w:rFonts w:cs="Arial"/>
          <w:i/>
          <w:iCs/>
          <w:szCs w:val="20"/>
          <w:lang w:val="es-ES"/>
        </w:rPr>
        <w:t xml:space="preserve"> </w:t>
      </w:r>
      <w:r w:rsidRPr="00470C7C">
        <w:rPr>
          <w:rFonts w:cs="Arial"/>
          <w:iCs/>
          <w:szCs w:val="20"/>
          <w:lang w:val="es-ES"/>
        </w:rPr>
        <w:t xml:space="preserve">informaron a la Policía Federal que </w:t>
      </w:r>
      <w:proofErr w:type="spellStart"/>
      <w:r w:rsidRPr="00470C7C">
        <w:rPr>
          <w:rFonts w:cs="Arial"/>
          <w:iCs/>
          <w:szCs w:val="20"/>
          <w:lang w:val="es-ES"/>
        </w:rPr>
        <w:t>lron</w:t>
      </w:r>
      <w:proofErr w:type="spellEnd"/>
      <w:r w:rsidRPr="00470C7C">
        <w:rPr>
          <w:rFonts w:cs="Arial"/>
          <w:iCs/>
          <w:szCs w:val="20"/>
          <w:lang w:val="es-ES"/>
        </w:rPr>
        <w:t xml:space="preserve"> Canuto</w:t>
      </w:r>
      <w:r w:rsidR="00AE1405" w:rsidRPr="00470C7C">
        <w:rPr>
          <w:rFonts w:cs="Arial"/>
          <w:iCs/>
          <w:szCs w:val="20"/>
          <w:lang w:val="es-ES"/>
        </w:rPr>
        <w:t xml:space="preserve"> da Silva</w:t>
      </w:r>
      <w:r w:rsidRPr="00470C7C">
        <w:rPr>
          <w:rFonts w:cs="Arial"/>
          <w:iCs/>
          <w:szCs w:val="20"/>
          <w:lang w:val="es-ES"/>
        </w:rPr>
        <w:t xml:space="preserve"> y </w:t>
      </w:r>
      <w:r w:rsidR="00200C04" w:rsidRPr="00470C7C">
        <w:rPr>
          <w:rFonts w:cs="Arial"/>
          <w:iCs/>
          <w:szCs w:val="20"/>
          <w:lang w:val="es-ES"/>
        </w:rPr>
        <w:t>Luis Ferreira da Cruz</w:t>
      </w:r>
      <w:r w:rsidRPr="00470C7C">
        <w:rPr>
          <w:rFonts w:cs="Arial"/>
          <w:iCs/>
          <w:szCs w:val="20"/>
          <w:lang w:val="es-ES"/>
        </w:rPr>
        <w:t xml:space="preserve"> habrían huido de la Hacienda Brasil Verde, con dirección a la Hacienda Belém (</w:t>
      </w:r>
      <w:r w:rsidRPr="00470C7C">
        <w:rPr>
          <w:rFonts w:cs="Arial"/>
          <w:i/>
          <w:iCs/>
          <w:szCs w:val="20"/>
          <w:lang w:val="es-ES"/>
        </w:rPr>
        <w:t>supra</w:t>
      </w:r>
      <w:r w:rsidRPr="00470C7C">
        <w:rPr>
          <w:rFonts w:cs="Arial"/>
          <w:iCs/>
          <w:szCs w:val="20"/>
          <w:lang w:val="es-ES"/>
        </w:rPr>
        <w:t xml:space="preserve"> </w:t>
      </w:r>
      <w:proofErr w:type="spellStart"/>
      <w:r w:rsidRPr="00470C7C">
        <w:rPr>
          <w:rFonts w:cs="Arial"/>
          <w:iCs/>
          <w:szCs w:val="20"/>
          <w:lang w:val="es-ES"/>
        </w:rPr>
        <w:t>párr</w:t>
      </w:r>
      <w:r w:rsidR="00B30674" w:rsidRPr="00470C7C">
        <w:rPr>
          <w:rFonts w:cs="Arial"/>
          <w:iCs/>
          <w:szCs w:val="20"/>
          <w:lang w:val="es-ES"/>
        </w:rPr>
        <w:t>s</w:t>
      </w:r>
      <w:proofErr w:type="spellEnd"/>
      <w:r w:rsidRPr="00470C7C">
        <w:rPr>
          <w:rFonts w:cs="Arial"/>
          <w:iCs/>
          <w:szCs w:val="20"/>
          <w:lang w:val="es-ES"/>
        </w:rPr>
        <w:t xml:space="preserve">. </w:t>
      </w:r>
      <w:r w:rsidR="00B30674" w:rsidRPr="00470C7C">
        <w:rPr>
          <w:rFonts w:cs="Arial"/>
          <w:iCs/>
          <w:szCs w:val="20"/>
          <w:lang w:val="es-ES"/>
        </w:rPr>
        <w:t>134 y 135</w:t>
      </w:r>
      <w:r w:rsidRPr="00470C7C">
        <w:rPr>
          <w:rFonts w:cs="Arial"/>
          <w:iCs/>
          <w:szCs w:val="20"/>
          <w:lang w:val="es-ES"/>
        </w:rPr>
        <w:t xml:space="preserve">). Ante esa constatación la policía no continuó con la investigación de la desaparición 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y </w:t>
      </w:r>
      <w:r w:rsidR="00200C04" w:rsidRPr="00470C7C">
        <w:rPr>
          <w:rFonts w:cs="Arial"/>
          <w:iCs/>
          <w:szCs w:val="20"/>
          <w:lang w:val="es-ES"/>
        </w:rPr>
        <w:t>Luis Ferreira da Cruz</w:t>
      </w:r>
      <w:r w:rsidRPr="00470C7C">
        <w:rPr>
          <w:rFonts w:cs="Arial"/>
          <w:iCs/>
          <w:szCs w:val="20"/>
          <w:lang w:val="es-ES"/>
        </w:rPr>
        <w:t xml:space="preserve"> por considerar que no estaban desaparecidos. Respecto a lo anterior, la Corte no tiene competencia para declarar una violación a la Convención Americana puesto que los hechos ocurrieron previo al reconocimiento de competencia por parte del Estado. </w:t>
      </w:r>
      <w:r w:rsidRPr="00470C7C">
        <w:rPr>
          <w:rFonts w:cs="Arial"/>
          <w:iCs/>
          <w:szCs w:val="20"/>
        </w:rPr>
        <w:t xml:space="preserve">Por lo tanto, las eventuales </w:t>
      </w:r>
      <w:r w:rsidRPr="00470C7C">
        <w:rPr>
          <w:rFonts w:cs="Arial"/>
          <w:iCs/>
          <w:szCs w:val="20"/>
          <w:lang w:val="es-ES"/>
        </w:rPr>
        <w:t xml:space="preserve"> fallas en esa investigación no pueden ser objeto de una determinación por este Tribunal.</w:t>
      </w:r>
    </w:p>
    <w:p w14:paraId="5E088F60" w14:textId="77777777" w:rsidR="00D81AA1" w:rsidRPr="00470C7C" w:rsidRDefault="00D81AA1" w:rsidP="00D81AA1">
      <w:pPr>
        <w:pStyle w:val="Prrafodelista"/>
        <w:tabs>
          <w:tab w:val="right" w:pos="0"/>
        </w:tabs>
        <w:autoSpaceDE w:val="0"/>
        <w:autoSpaceDN w:val="0"/>
        <w:adjustRightInd w:val="0"/>
        <w:ind w:left="0"/>
        <w:contextualSpacing w:val="0"/>
        <w:rPr>
          <w:rFonts w:cs="Arial"/>
          <w:iCs/>
          <w:szCs w:val="20"/>
          <w:lang w:val="es-ES"/>
        </w:rPr>
      </w:pPr>
    </w:p>
    <w:p w14:paraId="09712FB8" w14:textId="77777777" w:rsidR="00D81AA1" w:rsidRPr="00470C7C" w:rsidRDefault="00D81AA1" w:rsidP="00D81AA1">
      <w:pPr>
        <w:pStyle w:val="Prrafodelista"/>
        <w:numPr>
          <w:ilvl w:val="0"/>
          <w:numId w:val="1"/>
        </w:numPr>
        <w:tabs>
          <w:tab w:val="right" w:pos="0"/>
        </w:tabs>
        <w:contextualSpacing w:val="0"/>
        <w:rPr>
          <w:rFonts w:cs="Arial"/>
          <w:iCs/>
          <w:szCs w:val="20"/>
          <w:lang w:val="es-ES"/>
        </w:rPr>
      </w:pPr>
      <w:r w:rsidRPr="00470C7C">
        <w:rPr>
          <w:rFonts w:cs="Arial"/>
          <w:iCs/>
          <w:szCs w:val="20"/>
          <w:lang w:val="es-ES"/>
        </w:rPr>
        <w:t xml:space="preserve">Asimismo, en el año 2007, durante el trámite del caso ante la Comisión Interamericana, el Estado reabrió la investigación y averiguó que el señor </w:t>
      </w:r>
      <w:proofErr w:type="spellStart"/>
      <w:r w:rsidR="00656DDC" w:rsidRPr="00470C7C">
        <w:rPr>
          <w:rFonts w:cs="Arial"/>
          <w:iCs/>
          <w:szCs w:val="20"/>
          <w:lang w:val="es-ES"/>
        </w:rPr>
        <w:t>Iron</w:t>
      </w:r>
      <w:proofErr w:type="spellEnd"/>
      <w:r w:rsidR="00656DDC" w:rsidRPr="00470C7C">
        <w:rPr>
          <w:rFonts w:cs="Arial"/>
          <w:iCs/>
          <w:szCs w:val="20"/>
          <w:lang w:val="es-ES"/>
        </w:rPr>
        <w:t xml:space="preserve"> </w:t>
      </w:r>
      <w:r w:rsidRPr="00470C7C">
        <w:rPr>
          <w:rFonts w:cs="Arial"/>
          <w:iCs/>
          <w:szCs w:val="20"/>
          <w:lang w:val="es-ES"/>
        </w:rPr>
        <w:t>Canuto</w:t>
      </w:r>
      <w:r w:rsidR="00656DDC" w:rsidRPr="00470C7C">
        <w:rPr>
          <w:rFonts w:cs="Arial"/>
          <w:iCs/>
          <w:szCs w:val="20"/>
          <w:lang w:val="es-ES"/>
        </w:rPr>
        <w:t xml:space="preserve"> da Silva</w:t>
      </w:r>
      <w:r w:rsidRPr="00470C7C">
        <w:rPr>
          <w:rFonts w:cs="Arial"/>
          <w:iCs/>
          <w:szCs w:val="20"/>
          <w:lang w:val="es-ES"/>
        </w:rPr>
        <w:t xml:space="preserve"> fue asesinado el 22 de julio de 2007 por una persona desconocida en circunstancias no relacionadas con los hechos del presente caso. Al respecto, la señora Raimunda </w:t>
      </w:r>
      <w:proofErr w:type="spellStart"/>
      <w:r w:rsidRPr="00470C7C">
        <w:rPr>
          <w:rFonts w:cs="Arial"/>
          <w:iCs/>
          <w:szCs w:val="20"/>
          <w:lang w:val="es-ES"/>
        </w:rPr>
        <w:t>Márcia</w:t>
      </w:r>
      <w:proofErr w:type="spellEnd"/>
      <w:r w:rsidRPr="00470C7C">
        <w:rPr>
          <w:rFonts w:cs="Arial"/>
          <w:iCs/>
          <w:szCs w:val="20"/>
          <w:lang w:val="es-ES"/>
        </w:rPr>
        <w:t xml:space="preserve"> Azevedo da Silva manifestó ante la delegación de policía de Floresta do </w:t>
      </w:r>
      <w:proofErr w:type="spellStart"/>
      <w:r w:rsidRPr="00470C7C">
        <w:rPr>
          <w:rFonts w:cs="Arial"/>
          <w:iCs/>
          <w:szCs w:val="20"/>
          <w:lang w:val="es-ES"/>
        </w:rPr>
        <w:t>Araguaia</w:t>
      </w:r>
      <w:proofErr w:type="spellEnd"/>
      <w:r w:rsidRPr="00470C7C">
        <w:rPr>
          <w:rFonts w:cs="Arial"/>
          <w:iCs/>
          <w:szCs w:val="20"/>
          <w:lang w:val="es-ES"/>
        </w:rPr>
        <w:t xml:space="preserve">, Pará, que ella convivía maritalmente con el señor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da Silva</w:t>
      </w:r>
      <w:r w:rsidRPr="00470C7C">
        <w:rPr>
          <w:rFonts w:cs="Arial"/>
          <w:iCs/>
          <w:szCs w:val="20"/>
          <w:lang w:val="es-ES"/>
        </w:rPr>
        <w:t xml:space="preserve"> desde 1994 y que tenían cuatro hijos menores de edad (</w:t>
      </w:r>
      <w:r w:rsidRPr="00470C7C">
        <w:rPr>
          <w:rFonts w:cs="Arial"/>
          <w:i/>
          <w:iCs/>
          <w:szCs w:val="20"/>
          <w:lang w:val="es-ES"/>
        </w:rPr>
        <w:t>supra</w:t>
      </w:r>
      <w:r w:rsidRPr="00470C7C">
        <w:rPr>
          <w:rFonts w:cs="Arial"/>
          <w:iCs/>
          <w:szCs w:val="20"/>
          <w:lang w:val="es-ES"/>
        </w:rPr>
        <w:t xml:space="preserve"> párr. </w:t>
      </w:r>
      <w:r w:rsidR="00B57789" w:rsidRPr="00470C7C">
        <w:rPr>
          <w:rFonts w:cs="Arial"/>
          <w:iCs/>
          <w:szCs w:val="20"/>
          <w:lang w:val="es-ES"/>
        </w:rPr>
        <w:t>187</w:t>
      </w:r>
      <w:r w:rsidRPr="00470C7C">
        <w:rPr>
          <w:rFonts w:cs="Arial"/>
          <w:iCs/>
          <w:szCs w:val="20"/>
          <w:lang w:val="es-ES"/>
        </w:rPr>
        <w:t xml:space="preserve">). </w:t>
      </w:r>
      <w:r w:rsidR="00656DDC" w:rsidRPr="00470C7C">
        <w:rPr>
          <w:rFonts w:cs="Arial"/>
          <w:iCs/>
          <w:szCs w:val="20"/>
          <w:lang w:val="es-ES"/>
        </w:rPr>
        <w:t>Además</w:t>
      </w:r>
      <w:r w:rsidRPr="00470C7C">
        <w:rPr>
          <w:rFonts w:cs="Arial"/>
          <w:iCs/>
          <w:szCs w:val="20"/>
          <w:lang w:val="es-ES"/>
        </w:rPr>
        <w:t xml:space="preserve">, fue aportado como prueba al presente proceso la certificación de su autopsia, en la cual se indicó que el señor </w:t>
      </w:r>
      <w:proofErr w:type="spellStart"/>
      <w:r w:rsidR="00656DDC" w:rsidRPr="00470C7C">
        <w:rPr>
          <w:rFonts w:cs="Arial"/>
          <w:iCs/>
          <w:szCs w:val="20"/>
          <w:lang w:val="es-ES"/>
        </w:rPr>
        <w:t>Iron</w:t>
      </w:r>
      <w:proofErr w:type="spellEnd"/>
      <w:r w:rsidR="00656DDC" w:rsidRPr="00470C7C">
        <w:rPr>
          <w:rFonts w:cs="Arial"/>
          <w:iCs/>
          <w:szCs w:val="20"/>
          <w:lang w:val="es-ES"/>
        </w:rPr>
        <w:t xml:space="preserve"> </w:t>
      </w:r>
      <w:r w:rsidRPr="00470C7C">
        <w:rPr>
          <w:rFonts w:cs="Arial"/>
          <w:iCs/>
          <w:szCs w:val="20"/>
          <w:lang w:val="es-ES"/>
        </w:rPr>
        <w:t>Canuto</w:t>
      </w:r>
      <w:r w:rsidR="00656DDC" w:rsidRPr="00470C7C">
        <w:rPr>
          <w:rFonts w:cs="Arial"/>
          <w:iCs/>
          <w:szCs w:val="20"/>
          <w:lang w:val="es-ES"/>
        </w:rPr>
        <w:t xml:space="preserve"> da Silva</w:t>
      </w:r>
      <w:r w:rsidRPr="00470C7C">
        <w:rPr>
          <w:rFonts w:cs="Arial"/>
          <w:iCs/>
          <w:szCs w:val="20"/>
          <w:lang w:val="es-ES"/>
        </w:rPr>
        <w:t xml:space="preserve"> falleció producto de las heridas ocasionadas por disparos con arma de fuego (</w:t>
      </w:r>
      <w:r w:rsidRPr="00470C7C">
        <w:rPr>
          <w:rFonts w:cs="Arial"/>
          <w:i/>
          <w:iCs/>
          <w:szCs w:val="20"/>
          <w:lang w:val="es-ES"/>
        </w:rPr>
        <w:t>supra</w:t>
      </w:r>
      <w:r w:rsidRPr="00470C7C">
        <w:rPr>
          <w:rFonts w:cs="Arial"/>
          <w:iCs/>
          <w:szCs w:val="20"/>
          <w:lang w:val="es-ES"/>
        </w:rPr>
        <w:t xml:space="preserve"> párr. </w:t>
      </w:r>
      <w:r w:rsidR="00B57789" w:rsidRPr="00470C7C">
        <w:rPr>
          <w:rFonts w:cs="Arial"/>
          <w:iCs/>
          <w:szCs w:val="20"/>
          <w:lang w:val="es-ES"/>
        </w:rPr>
        <w:t>187</w:t>
      </w:r>
      <w:r w:rsidRPr="00470C7C">
        <w:rPr>
          <w:rFonts w:cs="Arial"/>
          <w:iCs/>
          <w:szCs w:val="20"/>
          <w:lang w:val="es-ES"/>
        </w:rPr>
        <w:t xml:space="preserve">). De esta forma, la Corte considera que el Estado reabrió la investigación sobre la desaparición del señor </w:t>
      </w:r>
      <w:proofErr w:type="spellStart"/>
      <w:r w:rsidR="00656DDC" w:rsidRPr="00470C7C">
        <w:rPr>
          <w:rFonts w:cs="Arial"/>
          <w:iCs/>
          <w:szCs w:val="20"/>
          <w:lang w:val="es-ES"/>
        </w:rPr>
        <w:t>Iron</w:t>
      </w:r>
      <w:proofErr w:type="spellEnd"/>
      <w:r w:rsidR="00656DDC" w:rsidRPr="00470C7C">
        <w:rPr>
          <w:rFonts w:cs="Arial"/>
          <w:iCs/>
          <w:szCs w:val="20"/>
          <w:lang w:val="es-ES"/>
        </w:rPr>
        <w:t xml:space="preserve"> </w:t>
      </w:r>
      <w:r w:rsidRPr="00470C7C">
        <w:rPr>
          <w:rFonts w:cs="Arial"/>
          <w:iCs/>
          <w:szCs w:val="20"/>
          <w:lang w:val="es-ES"/>
        </w:rPr>
        <w:t>Canuto</w:t>
      </w:r>
      <w:r w:rsidR="00656DDC" w:rsidRPr="00470C7C">
        <w:rPr>
          <w:rFonts w:cs="Arial"/>
          <w:iCs/>
          <w:szCs w:val="20"/>
          <w:lang w:val="es-ES"/>
        </w:rPr>
        <w:t xml:space="preserve"> da Silva</w:t>
      </w:r>
      <w:r w:rsidRPr="00470C7C">
        <w:rPr>
          <w:rFonts w:cs="Arial"/>
          <w:iCs/>
          <w:szCs w:val="20"/>
          <w:lang w:val="es-ES"/>
        </w:rPr>
        <w:t xml:space="preserve"> en 2007 y constató que no había sido víctima de desaparición forzada. </w:t>
      </w:r>
    </w:p>
    <w:p w14:paraId="56405127" w14:textId="77777777" w:rsidR="00D81AA1" w:rsidRPr="00470C7C" w:rsidRDefault="00D81AA1" w:rsidP="00D81AA1">
      <w:pPr>
        <w:pStyle w:val="Prrafodelista"/>
        <w:tabs>
          <w:tab w:val="right" w:pos="0"/>
        </w:tabs>
        <w:autoSpaceDE w:val="0"/>
        <w:autoSpaceDN w:val="0"/>
        <w:adjustRightInd w:val="0"/>
        <w:ind w:left="0"/>
        <w:contextualSpacing w:val="0"/>
        <w:rPr>
          <w:rFonts w:cs="Arial"/>
          <w:iCs/>
          <w:szCs w:val="20"/>
          <w:lang w:val="es-ES"/>
        </w:rPr>
      </w:pPr>
      <w:r w:rsidRPr="00470C7C">
        <w:rPr>
          <w:rFonts w:cs="Arial"/>
          <w:iCs/>
          <w:szCs w:val="20"/>
          <w:lang w:val="es-ES"/>
        </w:rPr>
        <w:tab/>
      </w:r>
    </w:p>
    <w:p w14:paraId="7C761E8E" w14:textId="77777777" w:rsidR="00D81AA1" w:rsidRPr="00470C7C" w:rsidRDefault="00D81AA1" w:rsidP="00D81AA1">
      <w:pPr>
        <w:pStyle w:val="Prrafodelista"/>
        <w:numPr>
          <w:ilvl w:val="0"/>
          <w:numId w:val="1"/>
        </w:numPr>
        <w:tabs>
          <w:tab w:val="right" w:pos="0"/>
        </w:tabs>
        <w:contextualSpacing w:val="0"/>
        <w:rPr>
          <w:rFonts w:cs="Arial"/>
          <w:iCs/>
          <w:szCs w:val="20"/>
        </w:rPr>
      </w:pPr>
      <w:r w:rsidRPr="00470C7C">
        <w:rPr>
          <w:rFonts w:cs="Arial"/>
          <w:iCs/>
          <w:szCs w:val="20"/>
          <w:lang w:val="es-ES"/>
        </w:rPr>
        <w:t xml:space="preserve">Por otra parte, en cuanto a Luis Ferreira da Cruz, la Corte nota </w:t>
      </w:r>
      <w:proofErr w:type="gramStart"/>
      <w:r w:rsidRPr="00470C7C">
        <w:rPr>
          <w:rFonts w:cs="Arial"/>
          <w:iCs/>
          <w:szCs w:val="20"/>
          <w:lang w:val="es-ES"/>
        </w:rPr>
        <w:t>que</w:t>
      </w:r>
      <w:proofErr w:type="gramEnd"/>
      <w:r w:rsidRPr="00470C7C">
        <w:rPr>
          <w:rFonts w:cs="Arial"/>
          <w:iCs/>
          <w:szCs w:val="20"/>
          <w:lang w:val="es-ES"/>
        </w:rPr>
        <w:t xml:space="preserve"> como consecuencia de la reapertura de la investigación en 2007, se verificó que el 17 de febrero de 2009 la señora </w:t>
      </w:r>
      <w:proofErr w:type="spellStart"/>
      <w:r w:rsidRPr="00470C7C">
        <w:rPr>
          <w:rFonts w:cs="Arial"/>
          <w:iCs/>
          <w:szCs w:val="20"/>
          <w:lang w:val="es-ES"/>
        </w:rPr>
        <w:t>Maria</w:t>
      </w:r>
      <w:proofErr w:type="spellEnd"/>
      <w:r w:rsidRPr="00470C7C">
        <w:rPr>
          <w:rFonts w:cs="Arial"/>
          <w:iCs/>
          <w:szCs w:val="20"/>
          <w:lang w:val="es-ES"/>
        </w:rPr>
        <w:t xml:space="preserve"> do Socorro Canuto, madre de crianza de </w:t>
      </w:r>
      <w:r w:rsidR="00200C04" w:rsidRPr="00470C7C">
        <w:rPr>
          <w:rFonts w:cs="Arial"/>
          <w:iCs/>
          <w:szCs w:val="20"/>
          <w:lang w:val="es-ES"/>
        </w:rPr>
        <w:t>Luis Ferreira da Cruz</w:t>
      </w:r>
      <w:r w:rsidRPr="00470C7C">
        <w:rPr>
          <w:rFonts w:cs="Arial"/>
          <w:iCs/>
          <w:szCs w:val="20"/>
          <w:lang w:val="es-ES"/>
        </w:rPr>
        <w:t>, declaró ante la Secretaría de Justicia y Derechos Humanos del Estado de Pará que desde su huida de la Hacienda Brasil Verde no se sabía de su paradero (</w:t>
      </w:r>
      <w:r w:rsidRPr="00470C7C">
        <w:rPr>
          <w:rFonts w:cs="Arial"/>
          <w:i/>
          <w:iCs/>
          <w:szCs w:val="20"/>
          <w:lang w:val="es-ES"/>
        </w:rPr>
        <w:t>supra</w:t>
      </w:r>
      <w:r w:rsidRPr="00470C7C">
        <w:rPr>
          <w:rFonts w:cs="Arial"/>
          <w:iCs/>
          <w:szCs w:val="20"/>
          <w:lang w:val="es-ES"/>
        </w:rPr>
        <w:t xml:space="preserve"> párr. </w:t>
      </w:r>
      <w:r w:rsidR="00B57789" w:rsidRPr="00470C7C">
        <w:rPr>
          <w:rFonts w:cs="Arial"/>
          <w:iCs/>
          <w:szCs w:val="20"/>
          <w:lang w:val="es-ES"/>
        </w:rPr>
        <w:t>188</w:t>
      </w:r>
      <w:r w:rsidRPr="00470C7C">
        <w:rPr>
          <w:rFonts w:cs="Arial"/>
          <w:iCs/>
          <w:szCs w:val="20"/>
          <w:lang w:val="es-ES"/>
        </w:rPr>
        <w:t xml:space="preserve">). Sin embargo, el 4 de agosto de 2015 la señora Canuto y la señora María </w:t>
      </w:r>
      <w:proofErr w:type="spellStart"/>
      <w:r w:rsidRPr="00470C7C">
        <w:rPr>
          <w:rFonts w:cs="Arial"/>
          <w:iCs/>
          <w:szCs w:val="20"/>
          <w:lang w:val="es-ES"/>
        </w:rPr>
        <w:t>Gorete</w:t>
      </w:r>
      <w:proofErr w:type="spellEnd"/>
      <w:r w:rsidRPr="00470C7C">
        <w:rPr>
          <w:rFonts w:cs="Arial"/>
          <w:iCs/>
          <w:szCs w:val="20"/>
          <w:lang w:val="es-ES"/>
        </w:rPr>
        <w:t>, hermana de crianza de Luis</w:t>
      </w:r>
      <w:r w:rsidR="0013378D" w:rsidRPr="00470C7C">
        <w:rPr>
          <w:rFonts w:cs="Arial"/>
          <w:iCs/>
          <w:szCs w:val="20"/>
          <w:lang w:val="es-ES"/>
        </w:rPr>
        <w:t xml:space="preserve"> Ferreira da Cruz</w:t>
      </w:r>
      <w:r w:rsidRPr="00470C7C">
        <w:rPr>
          <w:rFonts w:cs="Arial"/>
          <w:iCs/>
          <w:szCs w:val="20"/>
          <w:lang w:val="es-ES"/>
        </w:rPr>
        <w:t>, relataron por teléfono a la Policía Federal que Luis</w:t>
      </w:r>
      <w:r w:rsidR="00910615" w:rsidRPr="00470C7C">
        <w:rPr>
          <w:rFonts w:cs="Arial"/>
          <w:iCs/>
          <w:szCs w:val="20"/>
          <w:lang w:val="es-ES"/>
        </w:rPr>
        <w:t xml:space="preserve"> Ferreira da Cruz</w:t>
      </w:r>
      <w:r w:rsidRPr="00470C7C">
        <w:rPr>
          <w:rFonts w:cs="Arial"/>
          <w:iCs/>
          <w:szCs w:val="20"/>
          <w:lang w:val="es-ES"/>
        </w:rPr>
        <w:t xml:space="preserve"> habría muerto aproximadamente 10 años antes, en un enfrentamiento con la Policía Militar en la ciudad de </w:t>
      </w:r>
      <w:proofErr w:type="spellStart"/>
      <w:r w:rsidRPr="00470C7C">
        <w:rPr>
          <w:rFonts w:cs="Arial"/>
          <w:iCs/>
          <w:szCs w:val="20"/>
          <w:lang w:val="es-ES"/>
        </w:rPr>
        <w:t>Xinguara</w:t>
      </w:r>
      <w:proofErr w:type="spellEnd"/>
      <w:r w:rsidRPr="00470C7C">
        <w:rPr>
          <w:rFonts w:cs="Arial"/>
          <w:iCs/>
          <w:szCs w:val="20"/>
          <w:lang w:val="es-ES"/>
        </w:rPr>
        <w:t xml:space="preserve">. Adicionalmente, la </w:t>
      </w:r>
      <w:r w:rsidRPr="00470C7C">
        <w:rPr>
          <w:rFonts w:cs="Arial"/>
          <w:iCs/>
          <w:szCs w:val="20"/>
        </w:rPr>
        <w:t xml:space="preserve">señora María </w:t>
      </w:r>
      <w:proofErr w:type="spellStart"/>
      <w:r w:rsidRPr="00470C7C">
        <w:rPr>
          <w:rFonts w:cs="Arial"/>
          <w:iCs/>
          <w:szCs w:val="20"/>
        </w:rPr>
        <w:t>Gorete</w:t>
      </w:r>
      <w:proofErr w:type="spellEnd"/>
      <w:r w:rsidRPr="00470C7C">
        <w:rPr>
          <w:rFonts w:cs="Arial"/>
          <w:iCs/>
          <w:szCs w:val="20"/>
        </w:rPr>
        <w:t xml:space="preserve"> declaró que cuando fueron informadas del fallecimiento de Luis</w:t>
      </w:r>
      <w:r w:rsidR="00FB2CDE" w:rsidRPr="00470C7C">
        <w:rPr>
          <w:rFonts w:cs="Arial"/>
          <w:iCs/>
          <w:szCs w:val="20"/>
        </w:rPr>
        <w:t xml:space="preserve"> Ferreira da Cruz</w:t>
      </w:r>
      <w:r w:rsidRPr="00470C7C">
        <w:rPr>
          <w:rFonts w:cs="Arial"/>
          <w:iCs/>
          <w:szCs w:val="20"/>
        </w:rPr>
        <w:t xml:space="preserve"> ya</w:t>
      </w:r>
      <w:r w:rsidR="00A74771" w:rsidRPr="00470C7C">
        <w:rPr>
          <w:rFonts w:cs="Arial"/>
          <w:iCs/>
          <w:szCs w:val="20"/>
        </w:rPr>
        <w:t xml:space="preserve"> este </w:t>
      </w:r>
      <w:r w:rsidRPr="00470C7C">
        <w:rPr>
          <w:rFonts w:cs="Arial"/>
          <w:iCs/>
          <w:szCs w:val="20"/>
        </w:rPr>
        <w:t xml:space="preserve">había sido sepultado como indigente por no poseer documentos personales al momento de su muerte. En relación con lo anterior, la Policía Federal consultó al Registro Civil de la ciudad de </w:t>
      </w:r>
      <w:proofErr w:type="spellStart"/>
      <w:r w:rsidRPr="00470C7C">
        <w:rPr>
          <w:rFonts w:cs="Arial"/>
          <w:iCs/>
          <w:szCs w:val="20"/>
        </w:rPr>
        <w:t>Xinguara</w:t>
      </w:r>
      <w:proofErr w:type="spellEnd"/>
      <w:r w:rsidRPr="00470C7C">
        <w:rPr>
          <w:rFonts w:cs="Arial"/>
          <w:iCs/>
          <w:szCs w:val="20"/>
        </w:rPr>
        <w:t xml:space="preserve"> sobre el acta de defunción del señor </w:t>
      </w:r>
      <w:r w:rsidR="00200C04" w:rsidRPr="00470C7C">
        <w:rPr>
          <w:rFonts w:cs="Arial"/>
          <w:iCs/>
          <w:szCs w:val="20"/>
        </w:rPr>
        <w:t>Luis Ferreira da Cruz</w:t>
      </w:r>
      <w:r w:rsidRPr="00470C7C">
        <w:rPr>
          <w:rFonts w:cs="Arial"/>
          <w:iCs/>
          <w:szCs w:val="20"/>
        </w:rPr>
        <w:t>, sin embargo informaron que no existía registro de su muerte, por lo cual era probable que, de haber fallecido,</w:t>
      </w:r>
      <w:r w:rsidR="00A74771" w:rsidRPr="00470C7C">
        <w:rPr>
          <w:rFonts w:cs="Arial"/>
          <w:iCs/>
          <w:szCs w:val="20"/>
        </w:rPr>
        <w:t xml:space="preserve"> este </w:t>
      </w:r>
      <w:r w:rsidRPr="00470C7C">
        <w:rPr>
          <w:rFonts w:cs="Arial"/>
          <w:iCs/>
          <w:szCs w:val="20"/>
        </w:rPr>
        <w:t xml:space="preserve">fuera enterrado como indigente. Adicionalmente, en declaración rendida el 28 de enero de 2016 ante la Policía Federal, la señora </w:t>
      </w:r>
      <w:proofErr w:type="spellStart"/>
      <w:r w:rsidRPr="00470C7C">
        <w:rPr>
          <w:rFonts w:cs="Arial"/>
          <w:iCs/>
          <w:szCs w:val="20"/>
        </w:rPr>
        <w:t>Maria</w:t>
      </w:r>
      <w:proofErr w:type="spellEnd"/>
      <w:r w:rsidRPr="00470C7C">
        <w:rPr>
          <w:rFonts w:cs="Arial"/>
          <w:iCs/>
          <w:szCs w:val="20"/>
        </w:rPr>
        <w:t xml:space="preserve"> do Socorro Canuto manifestó que entró en conocimiento de la muerte de Luis </w:t>
      </w:r>
      <w:r w:rsidR="00C033FE" w:rsidRPr="00470C7C">
        <w:rPr>
          <w:rFonts w:cs="Arial"/>
          <w:iCs/>
          <w:szCs w:val="20"/>
        </w:rPr>
        <w:t xml:space="preserve">Ferreira da Cruz </w:t>
      </w:r>
      <w:r w:rsidRPr="00470C7C">
        <w:rPr>
          <w:rFonts w:cs="Arial"/>
          <w:iCs/>
          <w:szCs w:val="20"/>
        </w:rPr>
        <w:t xml:space="preserve">a través de su madre, y que esta había recibido la noticia por parte de un desconocido. </w:t>
      </w:r>
    </w:p>
    <w:p w14:paraId="5A7F222C" w14:textId="77777777" w:rsidR="00D81AA1" w:rsidRPr="00470C7C" w:rsidRDefault="00D81AA1" w:rsidP="00D81AA1">
      <w:pPr>
        <w:pStyle w:val="Prrafodelista"/>
        <w:tabs>
          <w:tab w:val="right" w:pos="0"/>
        </w:tabs>
        <w:ind w:left="0"/>
        <w:contextualSpacing w:val="0"/>
        <w:rPr>
          <w:rFonts w:cs="Arial"/>
          <w:iCs/>
          <w:szCs w:val="20"/>
        </w:rPr>
      </w:pPr>
    </w:p>
    <w:p w14:paraId="5A4EE419" w14:textId="77777777" w:rsidR="00D81AA1" w:rsidRPr="00470C7C" w:rsidRDefault="00D81AA1" w:rsidP="00D81AA1">
      <w:pPr>
        <w:pStyle w:val="Prrafodelista"/>
        <w:numPr>
          <w:ilvl w:val="0"/>
          <w:numId w:val="1"/>
        </w:numPr>
        <w:tabs>
          <w:tab w:val="right" w:pos="0"/>
        </w:tabs>
        <w:contextualSpacing w:val="0"/>
        <w:rPr>
          <w:rFonts w:cs="Arial"/>
          <w:iCs/>
          <w:szCs w:val="20"/>
        </w:rPr>
      </w:pPr>
      <w:r w:rsidRPr="00470C7C">
        <w:rPr>
          <w:rFonts w:cs="Arial"/>
          <w:iCs/>
          <w:szCs w:val="20"/>
        </w:rPr>
        <w:t>Ahora bien, la Corte observa que, respecto del presunto fallecimiento de Luis Ferreira da Cruz, la prueba aportada por la Comisión y las partes es contradictoria y poco concluyente. En 2009 la versión de los familiares de crianza de Luis</w:t>
      </w:r>
      <w:r w:rsidR="0066368D" w:rsidRPr="00470C7C">
        <w:rPr>
          <w:rFonts w:cs="Arial"/>
          <w:iCs/>
          <w:szCs w:val="20"/>
        </w:rPr>
        <w:t xml:space="preserve"> Ferreira da Cruz</w:t>
      </w:r>
      <w:r w:rsidRPr="00470C7C">
        <w:rPr>
          <w:rFonts w:cs="Arial"/>
          <w:iCs/>
          <w:szCs w:val="20"/>
        </w:rPr>
        <w:t xml:space="preserve"> establecía que</w:t>
      </w:r>
      <w:r w:rsidR="00B54FB3" w:rsidRPr="00470C7C">
        <w:rPr>
          <w:rFonts w:cs="Arial"/>
          <w:iCs/>
          <w:szCs w:val="20"/>
        </w:rPr>
        <w:t xml:space="preserve"> este </w:t>
      </w:r>
      <w:r w:rsidRPr="00470C7C">
        <w:rPr>
          <w:rFonts w:cs="Arial"/>
          <w:iCs/>
          <w:szCs w:val="20"/>
        </w:rPr>
        <w:t xml:space="preserve">se encontraba desaparecido desde su huida de la Hacienda Brasil Verde, ocurrida en 1988. Sin embargo, en 2015 las señoras </w:t>
      </w:r>
      <w:proofErr w:type="spellStart"/>
      <w:r w:rsidRPr="00470C7C">
        <w:rPr>
          <w:rFonts w:cs="Arial"/>
          <w:iCs/>
          <w:szCs w:val="20"/>
          <w:lang w:val="es-ES"/>
        </w:rPr>
        <w:t>Maria</w:t>
      </w:r>
      <w:proofErr w:type="spellEnd"/>
      <w:r w:rsidRPr="00470C7C">
        <w:rPr>
          <w:rFonts w:cs="Arial"/>
          <w:iCs/>
          <w:szCs w:val="20"/>
          <w:lang w:val="es-ES"/>
        </w:rPr>
        <w:t xml:space="preserve"> do Socorro Canuto y María </w:t>
      </w:r>
      <w:proofErr w:type="spellStart"/>
      <w:r w:rsidRPr="00470C7C">
        <w:rPr>
          <w:rFonts w:cs="Arial"/>
          <w:iCs/>
          <w:szCs w:val="20"/>
          <w:lang w:val="es-ES"/>
        </w:rPr>
        <w:t>Gorete</w:t>
      </w:r>
      <w:proofErr w:type="spellEnd"/>
      <w:r w:rsidRPr="00470C7C">
        <w:rPr>
          <w:rFonts w:cs="Arial"/>
          <w:iCs/>
          <w:szCs w:val="20"/>
          <w:lang w:val="es-ES"/>
        </w:rPr>
        <w:t xml:space="preserve"> manifestaron que </w:t>
      </w:r>
      <w:r w:rsidR="00200C04" w:rsidRPr="00470C7C">
        <w:rPr>
          <w:rFonts w:cs="Arial"/>
          <w:iCs/>
          <w:szCs w:val="20"/>
          <w:lang w:val="es-ES"/>
        </w:rPr>
        <w:t>Luis Ferreira da Cruz</w:t>
      </w:r>
      <w:r w:rsidRPr="00470C7C">
        <w:rPr>
          <w:rFonts w:cs="Arial"/>
          <w:iCs/>
          <w:szCs w:val="20"/>
          <w:lang w:val="es-ES"/>
        </w:rPr>
        <w:t xml:space="preserve"> había fallecido 10 años antes, es decir, aproximadamente en 2005. Adicionalmente, en declaración rendida en 2016, la señora </w:t>
      </w:r>
      <w:proofErr w:type="spellStart"/>
      <w:r w:rsidRPr="00470C7C">
        <w:rPr>
          <w:rFonts w:cs="Arial"/>
          <w:iCs/>
          <w:szCs w:val="20"/>
          <w:lang w:val="es-ES"/>
        </w:rPr>
        <w:t>Maria</w:t>
      </w:r>
      <w:proofErr w:type="spellEnd"/>
      <w:r w:rsidRPr="00470C7C">
        <w:rPr>
          <w:rFonts w:cs="Arial"/>
          <w:iCs/>
          <w:szCs w:val="20"/>
          <w:lang w:val="es-ES"/>
        </w:rPr>
        <w:t xml:space="preserve"> do Socorro indicó que la persona de la cual provenía dicha información era un desconocido. </w:t>
      </w:r>
      <w:r w:rsidRPr="00470C7C">
        <w:rPr>
          <w:rFonts w:cs="Arial"/>
          <w:iCs/>
          <w:szCs w:val="20"/>
        </w:rPr>
        <w:t xml:space="preserve">En ninguna de las declaraciones rendidas por la señora </w:t>
      </w:r>
      <w:proofErr w:type="spellStart"/>
      <w:r w:rsidRPr="00470C7C">
        <w:rPr>
          <w:rFonts w:cs="Arial"/>
          <w:iCs/>
          <w:szCs w:val="20"/>
        </w:rPr>
        <w:t>Maria</w:t>
      </w:r>
      <w:proofErr w:type="spellEnd"/>
      <w:r w:rsidRPr="00470C7C">
        <w:rPr>
          <w:rFonts w:cs="Arial"/>
          <w:iCs/>
          <w:szCs w:val="20"/>
        </w:rPr>
        <w:t xml:space="preserve"> do Socorro Canuto se indica la fecha aproximada en la cual recibió la noticia del fallecimiento de </w:t>
      </w:r>
      <w:r w:rsidR="00200C04" w:rsidRPr="00470C7C">
        <w:rPr>
          <w:rFonts w:cs="Arial"/>
          <w:iCs/>
          <w:szCs w:val="20"/>
        </w:rPr>
        <w:t>Luis Ferreira da Cruz</w:t>
      </w:r>
      <w:r w:rsidRPr="00470C7C">
        <w:rPr>
          <w:rFonts w:cs="Arial"/>
          <w:iCs/>
          <w:szCs w:val="20"/>
        </w:rPr>
        <w:t xml:space="preserve">. Incluso en caso de que dicha información fuera cierta y el señor </w:t>
      </w:r>
      <w:r w:rsidR="00200C04" w:rsidRPr="00470C7C">
        <w:rPr>
          <w:rFonts w:cs="Arial"/>
          <w:iCs/>
          <w:szCs w:val="20"/>
        </w:rPr>
        <w:t>Luis Ferreira da Cruz</w:t>
      </w:r>
      <w:r w:rsidRPr="00470C7C">
        <w:rPr>
          <w:rFonts w:cs="Arial"/>
          <w:iCs/>
          <w:szCs w:val="20"/>
        </w:rPr>
        <w:t xml:space="preserve"> se encuentre difunto, por haber fallecido sin documentos de identificación es probable que haya sido enterrado como indigente, y es un hecho no controvertido que su nombre no se encuentra en el registro correspondiente de personas fallecidas.</w:t>
      </w:r>
    </w:p>
    <w:p w14:paraId="1F91856D" w14:textId="77777777" w:rsidR="00D81AA1" w:rsidRPr="00470C7C" w:rsidRDefault="00D81AA1" w:rsidP="00D81AA1">
      <w:pPr>
        <w:pStyle w:val="Prrafodelista"/>
        <w:tabs>
          <w:tab w:val="right" w:pos="0"/>
        </w:tabs>
        <w:ind w:left="0"/>
        <w:contextualSpacing w:val="0"/>
        <w:rPr>
          <w:rFonts w:cs="Arial"/>
          <w:iCs/>
          <w:szCs w:val="20"/>
        </w:rPr>
      </w:pPr>
    </w:p>
    <w:p w14:paraId="2CB8611E" w14:textId="77777777" w:rsidR="00D1019C" w:rsidRPr="00470C7C" w:rsidRDefault="00D81AA1" w:rsidP="00D1019C">
      <w:pPr>
        <w:pStyle w:val="Prrafodelista"/>
        <w:numPr>
          <w:ilvl w:val="0"/>
          <w:numId w:val="1"/>
        </w:numPr>
        <w:tabs>
          <w:tab w:val="right" w:pos="0"/>
        </w:tabs>
        <w:contextualSpacing w:val="0"/>
        <w:rPr>
          <w:rFonts w:cs="Arial"/>
          <w:iCs/>
          <w:szCs w:val="20"/>
        </w:rPr>
      </w:pPr>
      <w:r w:rsidRPr="00470C7C">
        <w:rPr>
          <w:rFonts w:cs="Arial"/>
          <w:iCs/>
          <w:szCs w:val="20"/>
          <w:lang w:val="es-ES"/>
        </w:rPr>
        <w:t xml:space="preserve">Por todo lo anterior, en relación a los </w:t>
      </w:r>
      <w:r w:rsidR="000C2402" w:rsidRPr="00470C7C">
        <w:rPr>
          <w:rFonts w:cs="Arial"/>
          <w:iCs/>
          <w:szCs w:val="20"/>
          <w:lang w:val="es-ES"/>
        </w:rPr>
        <w:t xml:space="preserve">hechos respecto de los </w:t>
      </w:r>
      <w:r w:rsidRPr="00470C7C">
        <w:rPr>
          <w:rFonts w:cs="Arial"/>
          <w:iCs/>
          <w:szCs w:val="20"/>
          <w:lang w:val="es-ES"/>
        </w:rPr>
        <w:t xml:space="preserve">cuales tiene competencia, la Corte nota que el Estado reabrió la investigación sobre la alegada desaparición del señor </w:t>
      </w:r>
      <w:r w:rsidR="00C53635" w:rsidRPr="00470C7C">
        <w:rPr>
          <w:rFonts w:cs="Arial"/>
          <w:iCs/>
          <w:szCs w:val="20"/>
          <w:lang w:val="es-ES"/>
        </w:rPr>
        <w:t xml:space="preserve">Luis </w:t>
      </w:r>
      <w:r w:rsidRPr="00470C7C">
        <w:rPr>
          <w:rFonts w:cs="Arial"/>
          <w:iCs/>
          <w:szCs w:val="20"/>
          <w:lang w:val="es-ES"/>
        </w:rPr>
        <w:t>Ferreira</w:t>
      </w:r>
      <w:r w:rsidR="00C53635" w:rsidRPr="00470C7C">
        <w:rPr>
          <w:rFonts w:cs="Arial"/>
          <w:iCs/>
          <w:szCs w:val="20"/>
          <w:lang w:val="es-ES"/>
        </w:rPr>
        <w:t xml:space="preserve"> da Cruz</w:t>
      </w:r>
      <w:r w:rsidRPr="00470C7C">
        <w:rPr>
          <w:rFonts w:cs="Arial"/>
          <w:iCs/>
          <w:szCs w:val="20"/>
          <w:lang w:val="es-ES"/>
        </w:rPr>
        <w:t xml:space="preserve"> en 2007, sin </w:t>
      </w:r>
      <w:proofErr w:type="gramStart"/>
      <w:r w:rsidRPr="00470C7C">
        <w:rPr>
          <w:rFonts w:cs="Arial"/>
          <w:iCs/>
          <w:szCs w:val="20"/>
          <w:lang w:val="es-ES"/>
        </w:rPr>
        <w:t>embargo</w:t>
      </w:r>
      <w:proofErr w:type="gramEnd"/>
      <w:r w:rsidRPr="00470C7C">
        <w:rPr>
          <w:rFonts w:cs="Arial"/>
          <w:iCs/>
          <w:szCs w:val="20"/>
          <w:lang w:val="es-ES"/>
        </w:rPr>
        <w:t xml:space="preserve"> no logró establecer su paradero. Posteriormente, en el año 2015 el Estado averiguó a través de declaraciones de sus familiares que el señor </w:t>
      </w:r>
      <w:r w:rsidR="00C53635" w:rsidRPr="00470C7C">
        <w:rPr>
          <w:rFonts w:cs="Arial"/>
          <w:iCs/>
          <w:szCs w:val="20"/>
          <w:lang w:val="es-ES"/>
        </w:rPr>
        <w:t xml:space="preserve">Luis </w:t>
      </w:r>
      <w:r w:rsidRPr="00470C7C">
        <w:rPr>
          <w:rFonts w:cs="Arial"/>
          <w:iCs/>
          <w:szCs w:val="20"/>
          <w:lang w:val="es-ES"/>
        </w:rPr>
        <w:t>Ferreira</w:t>
      </w:r>
      <w:r w:rsidR="00C53635" w:rsidRPr="00470C7C">
        <w:rPr>
          <w:rFonts w:cs="Arial"/>
          <w:iCs/>
          <w:szCs w:val="20"/>
          <w:lang w:val="es-ES"/>
        </w:rPr>
        <w:t xml:space="preserve"> da Cruz</w:t>
      </w:r>
      <w:r w:rsidRPr="00470C7C">
        <w:rPr>
          <w:rFonts w:cs="Arial"/>
          <w:iCs/>
          <w:szCs w:val="20"/>
          <w:lang w:val="es-ES"/>
        </w:rPr>
        <w:t xml:space="preserve"> habría muerto alrededor de 2005. </w:t>
      </w:r>
      <w:r w:rsidRPr="00470C7C">
        <w:rPr>
          <w:rFonts w:cs="Arial"/>
          <w:iCs/>
          <w:szCs w:val="20"/>
        </w:rPr>
        <w:t>En virtud de lo anterior, de la prueba aportada por la Comisión y por las partes, al momento de la emisión del presente fallo</w:t>
      </w:r>
      <w:r w:rsidR="006E3A4D" w:rsidRPr="00470C7C">
        <w:rPr>
          <w:rFonts w:cs="Arial"/>
          <w:iCs/>
          <w:szCs w:val="20"/>
        </w:rPr>
        <w:t>,</w:t>
      </w:r>
      <w:r w:rsidRPr="00470C7C">
        <w:rPr>
          <w:rFonts w:cs="Arial"/>
          <w:iCs/>
          <w:szCs w:val="20"/>
        </w:rPr>
        <w:t xml:space="preserve"> la Corte Interamericana se encuentra imposibilitada para concluir que </w:t>
      </w:r>
      <w:r w:rsidR="00200C04" w:rsidRPr="00470C7C">
        <w:rPr>
          <w:rFonts w:cs="Arial"/>
          <w:iCs/>
          <w:szCs w:val="20"/>
        </w:rPr>
        <w:t xml:space="preserve">Luis Ferreira </w:t>
      </w:r>
      <w:r w:rsidR="00701BB2" w:rsidRPr="00470C7C">
        <w:rPr>
          <w:rFonts w:cs="Arial"/>
          <w:iCs/>
          <w:szCs w:val="20"/>
        </w:rPr>
        <w:t xml:space="preserve">da Cruz </w:t>
      </w:r>
      <w:r w:rsidRPr="00470C7C">
        <w:rPr>
          <w:rFonts w:cs="Arial"/>
          <w:iCs/>
          <w:szCs w:val="20"/>
        </w:rPr>
        <w:t xml:space="preserve">fue víctima de desaparición, </w:t>
      </w:r>
      <w:r w:rsidRPr="00470C7C">
        <w:rPr>
          <w:rFonts w:cs="Arial"/>
          <w:iCs/>
          <w:szCs w:val="20"/>
          <w:lang w:val="es-ES"/>
        </w:rPr>
        <w:t>y en consecuencia no podría atribuirse la responsabilidad al Estado por la falta de investigación y eventual sanción de los alegados responsables</w:t>
      </w:r>
      <w:r w:rsidRPr="00470C7C">
        <w:rPr>
          <w:rFonts w:cs="Arial"/>
          <w:iCs/>
          <w:szCs w:val="20"/>
        </w:rPr>
        <w:t>.</w:t>
      </w:r>
    </w:p>
    <w:p w14:paraId="3872906B" w14:textId="77777777" w:rsidR="00D1019C" w:rsidRPr="00470C7C" w:rsidRDefault="00D1019C" w:rsidP="00D1019C">
      <w:pPr>
        <w:pStyle w:val="Prrafodelista"/>
        <w:rPr>
          <w:rFonts w:cs="Arial"/>
          <w:iCs/>
          <w:szCs w:val="20"/>
          <w:lang w:val="es-ES_tradnl"/>
        </w:rPr>
      </w:pPr>
    </w:p>
    <w:p w14:paraId="1E1B2E84" w14:textId="77777777" w:rsidR="004D4500" w:rsidRPr="00470C7C" w:rsidRDefault="00D81AA1" w:rsidP="00D1019C">
      <w:pPr>
        <w:pStyle w:val="Prrafodelista"/>
        <w:numPr>
          <w:ilvl w:val="0"/>
          <w:numId w:val="1"/>
        </w:numPr>
        <w:tabs>
          <w:tab w:val="right" w:pos="0"/>
        </w:tabs>
        <w:contextualSpacing w:val="0"/>
        <w:rPr>
          <w:rFonts w:cs="Arial"/>
          <w:iCs/>
          <w:szCs w:val="20"/>
        </w:rPr>
      </w:pPr>
      <w:r w:rsidRPr="00470C7C">
        <w:rPr>
          <w:rFonts w:cs="Arial"/>
          <w:iCs/>
          <w:szCs w:val="20"/>
          <w:lang w:val="es-ES_tradnl"/>
        </w:rPr>
        <w:t xml:space="preserve">Por lo anterior, </w:t>
      </w:r>
      <w:r w:rsidRPr="00470C7C">
        <w:rPr>
          <w:rFonts w:cs="Arial"/>
          <w:iCs/>
          <w:szCs w:val="20"/>
          <w:lang w:val="es-ES"/>
        </w:rPr>
        <w:t xml:space="preserve">la Corte concluye que el Estado no </w:t>
      </w:r>
      <w:r w:rsidRPr="00470C7C">
        <w:rPr>
          <w:rFonts w:cs="Arial"/>
          <w:iCs/>
          <w:szCs w:val="20"/>
          <w:lang w:val="es-GT"/>
        </w:rPr>
        <w:t xml:space="preserve">es responsable por las alegadas violaciones a </w:t>
      </w:r>
      <w:r w:rsidRPr="00470C7C">
        <w:rPr>
          <w:rFonts w:cs="Arial"/>
          <w:iCs/>
          <w:szCs w:val="20"/>
          <w:lang w:val="es-ES"/>
        </w:rPr>
        <w:t>los derechos a la personalidad jurídica, vida, integridad y libertad personal, contemplados en los artículos 3, 4, 5 y 7 de la Convención Americana</w:t>
      </w:r>
      <w:r w:rsidR="00A64EF1" w:rsidRPr="00470C7C">
        <w:rPr>
          <w:rFonts w:cs="Arial"/>
          <w:iCs/>
          <w:szCs w:val="20"/>
          <w:lang w:val="es-ES"/>
        </w:rPr>
        <w:t xml:space="preserve"> sobre Derechos Humanos</w:t>
      </w:r>
      <w:r w:rsidRPr="00470C7C">
        <w:rPr>
          <w:rFonts w:cs="Arial"/>
          <w:iCs/>
          <w:szCs w:val="20"/>
          <w:lang w:val="es-ES"/>
        </w:rPr>
        <w:t>, en relación con los derechos del niño</w:t>
      </w:r>
      <w:r w:rsidR="00A97675" w:rsidRPr="00470C7C">
        <w:rPr>
          <w:rFonts w:cs="Arial"/>
          <w:iCs/>
          <w:szCs w:val="20"/>
          <w:lang w:val="es-ES"/>
        </w:rPr>
        <w:t>,</w:t>
      </w:r>
      <w:r w:rsidRPr="00470C7C">
        <w:rPr>
          <w:rFonts w:cs="Arial"/>
          <w:iCs/>
          <w:szCs w:val="20"/>
          <w:lang w:val="es-ES"/>
        </w:rPr>
        <w:t xml:space="preserve"> establecidos en el artículo 19 del mismo instrumento, en perjuicio de </w:t>
      </w:r>
      <w:proofErr w:type="spellStart"/>
      <w:r w:rsidR="00C9493B" w:rsidRPr="00470C7C">
        <w:rPr>
          <w:rFonts w:cs="Arial"/>
          <w:iCs/>
          <w:szCs w:val="20"/>
          <w:lang w:val="es-ES"/>
        </w:rPr>
        <w:t>Iron</w:t>
      </w:r>
      <w:proofErr w:type="spellEnd"/>
      <w:r w:rsidR="00C9493B" w:rsidRPr="00470C7C">
        <w:rPr>
          <w:rFonts w:cs="Arial"/>
          <w:iCs/>
          <w:szCs w:val="20"/>
          <w:lang w:val="es-ES"/>
        </w:rPr>
        <w:t xml:space="preserve"> Canuto da Silva y </w:t>
      </w:r>
      <w:r w:rsidRPr="00470C7C">
        <w:rPr>
          <w:rFonts w:cs="Arial"/>
          <w:iCs/>
          <w:szCs w:val="20"/>
          <w:lang w:val="es-ES"/>
        </w:rPr>
        <w:t>Luis Ferreira da Cruz, ni de la violación de los artículos 8 y 25 del mismo instrumento en perjuicio de sus familiares.</w:t>
      </w:r>
    </w:p>
    <w:p w14:paraId="13D44909" w14:textId="77777777" w:rsidR="00D1019C" w:rsidRPr="00470C7C" w:rsidRDefault="00D1019C" w:rsidP="00D81AA1">
      <w:pPr>
        <w:pStyle w:val="Prrafodelista"/>
        <w:autoSpaceDE w:val="0"/>
        <w:autoSpaceDN w:val="0"/>
        <w:adjustRightInd w:val="0"/>
        <w:ind w:left="0"/>
        <w:contextualSpacing w:val="0"/>
        <w:rPr>
          <w:rFonts w:cs="Arial"/>
          <w:b/>
          <w:iCs/>
          <w:szCs w:val="20"/>
        </w:rPr>
      </w:pPr>
    </w:p>
    <w:p w14:paraId="520291E5" w14:textId="77777777" w:rsidR="004D4500" w:rsidRPr="00470C7C" w:rsidRDefault="00D609BD"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93" w:name="_Toc460432528"/>
      <w:bookmarkStart w:id="394" w:name="_Toc464813982"/>
      <w:r w:rsidRPr="00470C7C">
        <w:rPr>
          <w:rFonts w:eastAsia="Times New Roman" w:cs="Verdana"/>
          <w:b/>
          <w:bCs/>
          <w:caps/>
          <w:noProof/>
          <w:snapToGrid w:val="0"/>
          <w:szCs w:val="20"/>
          <w:lang w:eastAsia="es-ES"/>
        </w:rPr>
        <w:t>IX</w:t>
      </w:r>
      <w:bookmarkEnd w:id="393"/>
      <w:bookmarkEnd w:id="394"/>
    </w:p>
    <w:p w14:paraId="47A3DDCD" w14:textId="77777777" w:rsidR="00D609BD" w:rsidRPr="00470C7C" w:rsidRDefault="00D609BD"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95" w:name="_Toc464813983"/>
      <w:r w:rsidRPr="00470C7C">
        <w:rPr>
          <w:rFonts w:eastAsia="Times New Roman" w:cs="Verdana"/>
          <w:b/>
          <w:bCs/>
          <w:caps/>
          <w:noProof/>
          <w:snapToGrid w:val="0"/>
          <w:szCs w:val="20"/>
          <w:lang w:eastAsia="es-ES"/>
        </w:rPr>
        <w:t>REPARACIONES</w:t>
      </w:r>
      <w:bookmarkEnd w:id="395"/>
    </w:p>
    <w:p w14:paraId="7480D29E" w14:textId="77777777" w:rsidR="00D609BD" w:rsidRPr="00470C7C" w:rsidRDefault="00D609BD" w:rsidP="0039404C">
      <w:pPr>
        <w:keepNext/>
        <w:keepLines/>
        <w:tabs>
          <w:tab w:val="clear" w:pos="4419"/>
          <w:tab w:val="clear" w:pos="8838"/>
        </w:tabs>
        <w:jc w:val="center"/>
        <w:outlineLvl w:val="0"/>
        <w:rPr>
          <w:rFonts w:eastAsia="Times New Roman" w:cs="Verdana"/>
          <w:b/>
          <w:bCs/>
          <w:caps/>
          <w:noProof/>
          <w:snapToGrid w:val="0"/>
          <w:szCs w:val="20"/>
          <w:lang w:eastAsia="es-ES"/>
        </w:rPr>
      </w:pPr>
      <w:bookmarkStart w:id="396" w:name="_Toc460432530"/>
      <w:bookmarkStart w:id="397" w:name="_Toc460433059"/>
      <w:bookmarkStart w:id="398" w:name="_Toc460441990"/>
      <w:bookmarkStart w:id="399" w:name="_Toc462751132"/>
      <w:bookmarkStart w:id="400" w:name="_Toc464813984"/>
      <w:r w:rsidRPr="00470C7C">
        <w:rPr>
          <w:rFonts w:eastAsia="Times New Roman" w:cs="Verdana"/>
          <w:b/>
          <w:bCs/>
          <w:caps/>
          <w:noProof/>
          <w:snapToGrid w:val="0"/>
          <w:szCs w:val="20"/>
          <w:lang w:eastAsia="es-ES"/>
        </w:rPr>
        <w:t>(Aplicación del Artículo 63.1 de la Convención Americana)</w:t>
      </w:r>
      <w:bookmarkEnd w:id="396"/>
      <w:bookmarkEnd w:id="397"/>
      <w:bookmarkEnd w:id="398"/>
      <w:bookmarkEnd w:id="399"/>
      <w:bookmarkEnd w:id="400"/>
    </w:p>
    <w:p w14:paraId="0D1CECBD" w14:textId="77777777" w:rsidR="008F611E" w:rsidRPr="00470C7C" w:rsidRDefault="008F611E" w:rsidP="00D609BD">
      <w:pPr>
        <w:pStyle w:val="Prrafodelista"/>
        <w:autoSpaceDE w:val="0"/>
        <w:autoSpaceDN w:val="0"/>
        <w:adjustRightInd w:val="0"/>
        <w:ind w:left="0"/>
        <w:contextualSpacing w:val="0"/>
        <w:rPr>
          <w:rFonts w:cs="Arial"/>
          <w:iCs/>
          <w:szCs w:val="20"/>
          <w:lang w:val="es-ES"/>
        </w:rPr>
      </w:pPr>
    </w:p>
    <w:p w14:paraId="29B2D385" w14:textId="77777777" w:rsidR="00D609BD" w:rsidRPr="00470C7C" w:rsidRDefault="00D609BD" w:rsidP="00D609BD">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Sobre la base de lo dispuesto en el artículo 63.1 de la Convención Americana</w:t>
      </w:r>
      <w:r w:rsidRPr="00470C7C">
        <w:rPr>
          <w:rFonts w:cs="Arial"/>
          <w:iCs/>
          <w:szCs w:val="20"/>
          <w:vertAlign w:val="superscript"/>
          <w:lang w:val="es-ES_tradnl"/>
        </w:rPr>
        <w:footnoteReference w:id="518"/>
      </w:r>
      <w:r w:rsidRPr="00470C7C">
        <w:rPr>
          <w:rFonts w:cs="Arial"/>
          <w:iCs/>
          <w:szCs w:val="20"/>
          <w:lang w:val="es-ES_tradnl"/>
        </w:rPr>
        <w:t>, la Corte ha indicado que toda violación de una obligación internacional que haya producido daño comporta el deber de repararlo adecuadamente</w:t>
      </w:r>
      <w:r w:rsidRPr="00470C7C">
        <w:rPr>
          <w:rFonts w:cs="Arial"/>
          <w:iCs/>
          <w:szCs w:val="20"/>
          <w:vertAlign w:val="superscript"/>
          <w:lang w:val="es-ES_tradnl"/>
        </w:rPr>
        <w:footnoteReference w:id="519"/>
      </w:r>
      <w:r w:rsidRPr="00470C7C">
        <w:rPr>
          <w:rFonts w:cs="Arial"/>
          <w:iCs/>
          <w:szCs w:val="20"/>
          <w:lang w:val="es-ES_tradnl"/>
        </w:rPr>
        <w:t>, y que esa disposición recoge una norma consuetudinaria que constituye uno de los principios fundamentales del Derecho Internacional contemporáneo sobre responsabilidad de un Estado</w:t>
      </w:r>
      <w:r w:rsidRPr="00470C7C">
        <w:rPr>
          <w:rFonts w:cs="Arial"/>
          <w:iCs/>
          <w:szCs w:val="20"/>
          <w:vertAlign w:val="superscript"/>
          <w:lang w:val="es-ES_tradnl"/>
        </w:rPr>
        <w:footnoteReference w:id="520"/>
      </w:r>
      <w:r w:rsidRPr="00470C7C">
        <w:rPr>
          <w:rFonts w:cs="Arial"/>
          <w:iCs/>
          <w:szCs w:val="20"/>
          <w:lang w:val="es-ES_tradnl"/>
        </w:rPr>
        <w:t>.</w:t>
      </w:r>
    </w:p>
    <w:p w14:paraId="4C696C62" w14:textId="77777777" w:rsidR="00D609BD" w:rsidRPr="00470C7C" w:rsidRDefault="00D609BD" w:rsidP="00D609BD">
      <w:pPr>
        <w:pStyle w:val="Prrafodelista"/>
        <w:autoSpaceDE w:val="0"/>
        <w:autoSpaceDN w:val="0"/>
        <w:adjustRightInd w:val="0"/>
        <w:ind w:left="0"/>
        <w:rPr>
          <w:rFonts w:cs="Arial"/>
          <w:iCs/>
          <w:szCs w:val="20"/>
          <w:lang w:val="es-ES_tradnl"/>
        </w:rPr>
      </w:pPr>
    </w:p>
    <w:p w14:paraId="036FC7FE" w14:textId="77777777" w:rsidR="00D609BD" w:rsidRPr="00470C7C" w:rsidRDefault="00D609BD" w:rsidP="00D609BD">
      <w:pPr>
        <w:pStyle w:val="Prrafodelista"/>
        <w:numPr>
          <w:ilvl w:val="0"/>
          <w:numId w:val="1"/>
        </w:numPr>
        <w:autoSpaceDE w:val="0"/>
        <w:autoSpaceDN w:val="0"/>
        <w:adjustRightInd w:val="0"/>
        <w:rPr>
          <w:rFonts w:cs="Arial"/>
          <w:iCs/>
          <w:szCs w:val="20"/>
          <w:lang w:val="es-ES_tradnl"/>
        </w:rPr>
      </w:pPr>
      <w:r w:rsidRPr="00470C7C">
        <w:rPr>
          <w:rFonts w:cs="Arial"/>
          <w:bCs/>
          <w:iCs/>
          <w:szCs w:val="20"/>
        </w:rPr>
        <w:t>La reparación del daño ocasionado por la infracción de una obligación internacional requiere, siempre que sea posible, la plena restitución (</w:t>
      </w:r>
      <w:proofErr w:type="spellStart"/>
      <w:r w:rsidRPr="00470C7C">
        <w:rPr>
          <w:rFonts w:cs="Arial"/>
          <w:bCs/>
          <w:i/>
          <w:iCs/>
          <w:szCs w:val="20"/>
        </w:rPr>
        <w:t>restitutio</w:t>
      </w:r>
      <w:proofErr w:type="spellEnd"/>
      <w:r w:rsidRPr="00470C7C">
        <w:rPr>
          <w:rFonts w:cs="Arial"/>
          <w:bCs/>
          <w:i/>
          <w:iCs/>
          <w:szCs w:val="20"/>
        </w:rPr>
        <w:t xml:space="preserve"> in </w:t>
      </w:r>
      <w:proofErr w:type="spellStart"/>
      <w:r w:rsidRPr="00470C7C">
        <w:rPr>
          <w:rFonts w:cs="Arial"/>
          <w:bCs/>
          <w:i/>
          <w:iCs/>
          <w:szCs w:val="20"/>
        </w:rPr>
        <w:t>integrum</w:t>
      </w:r>
      <w:proofErr w:type="spellEnd"/>
      <w:r w:rsidRPr="00470C7C">
        <w:rPr>
          <w:rFonts w:cs="Arial"/>
          <w:bCs/>
          <w:iCs/>
          <w:szCs w:val="20"/>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470C7C">
        <w:rPr>
          <w:rFonts w:cs="Arial"/>
          <w:iCs/>
          <w:szCs w:val="20"/>
          <w:vertAlign w:val="superscript"/>
        </w:rPr>
        <w:footnoteReference w:id="521"/>
      </w:r>
      <w:r w:rsidRPr="00470C7C">
        <w:rPr>
          <w:rFonts w:cs="Arial"/>
          <w:bCs/>
          <w:iCs/>
          <w:szCs w:val="20"/>
        </w:rPr>
        <w:t>.</w:t>
      </w:r>
    </w:p>
    <w:p w14:paraId="72580D53" w14:textId="77777777" w:rsidR="00D609BD" w:rsidRPr="00470C7C" w:rsidRDefault="00D609BD" w:rsidP="00D609BD">
      <w:pPr>
        <w:pStyle w:val="Prrafodelista"/>
        <w:autoSpaceDE w:val="0"/>
        <w:autoSpaceDN w:val="0"/>
        <w:adjustRightInd w:val="0"/>
        <w:ind w:left="0"/>
        <w:rPr>
          <w:rFonts w:cs="Arial"/>
          <w:iCs/>
          <w:szCs w:val="20"/>
          <w:lang w:val="es-ES_tradnl"/>
        </w:rPr>
      </w:pPr>
    </w:p>
    <w:p w14:paraId="37040FE1" w14:textId="77777777" w:rsidR="00D609BD" w:rsidRPr="00470C7C" w:rsidRDefault="00D609BD" w:rsidP="00D609BD">
      <w:pPr>
        <w:pStyle w:val="Prrafodelista"/>
        <w:numPr>
          <w:ilvl w:val="0"/>
          <w:numId w:val="1"/>
        </w:numPr>
        <w:autoSpaceDE w:val="0"/>
        <w:autoSpaceDN w:val="0"/>
        <w:adjustRightInd w:val="0"/>
        <w:rPr>
          <w:rFonts w:cs="Arial"/>
          <w:iCs/>
          <w:szCs w:val="20"/>
          <w:lang w:val="es-ES_tradnl"/>
        </w:rPr>
      </w:pPr>
      <w:r w:rsidRPr="00470C7C">
        <w:rPr>
          <w:rFonts w:cs="Arial"/>
          <w:iCs/>
          <w:szCs w:val="20"/>
        </w:rPr>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470C7C">
        <w:rPr>
          <w:rFonts w:cs="Arial"/>
          <w:iCs/>
          <w:szCs w:val="20"/>
          <w:vertAlign w:val="superscript"/>
        </w:rPr>
        <w:footnoteReference w:id="522"/>
      </w:r>
      <w:r w:rsidRPr="00470C7C">
        <w:rPr>
          <w:rFonts w:cs="Arial"/>
          <w:iCs/>
          <w:szCs w:val="20"/>
        </w:rPr>
        <w:t>.</w:t>
      </w:r>
    </w:p>
    <w:p w14:paraId="31E205C7" w14:textId="77777777" w:rsidR="00D609BD" w:rsidRPr="00470C7C" w:rsidRDefault="00D609BD" w:rsidP="00D609BD">
      <w:pPr>
        <w:pStyle w:val="Prrafodelista"/>
        <w:autoSpaceDE w:val="0"/>
        <w:autoSpaceDN w:val="0"/>
        <w:adjustRightInd w:val="0"/>
        <w:ind w:left="0"/>
        <w:rPr>
          <w:rFonts w:cs="Arial"/>
          <w:iCs/>
          <w:szCs w:val="20"/>
          <w:lang w:val="es-ES_tradnl"/>
        </w:rPr>
      </w:pPr>
    </w:p>
    <w:p w14:paraId="4704715E" w14:textId="77777777" w:rsidR="004B0842" w:rsidRPr="00470C7C" w:rsidRDefault="00D609BD"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En consideración de las violaciones declaradas en el capítulo </w:t>
      </w:r>
      <w:r w:rsidRPr="00470C7C">
        <w:rPr>
          <w:rFonts w:cs="Arial"/>
          <w:iCs/>
          <w:szCs w:val="20"/>
          <w:lang w:val="es-CL"/>
        </w:rPr>
        <w:t>anterior</w:t>
      </w:r>
      <w:r w:rsidRPr="00470C7C">
        <w:rPr>
          <w:rFonts w:cs="Arial"/>
          <w:iCs/>
          <w:szCs w:val="20"/>
          <w:lang w:val="es-ES_tradnl"/>
        </w:rPr>
        <w:t>, el Tribunal procederá a analizar las pretensiones presentadas por los representantes de las víctimas, así como los argumentos del Estado, a la luz de los criterios fijados en la jurisprudencia de la Corte en relación con la naturaleza y alcance de la obligación de reparar</w:t>
      </w:r>
      <w:r w:rsidRPr="00470C7C">
        <w:rPr>
          <w:rFonts w:cs="Arial"/>
          <w:iCs/>
          <w:szCs w:val="20"/>
          <w:vertAlign w:val="superscript"/>
          <w:lang w:val="es-ES_tradnl"/>
        </w:rPr>
        <w:footnoteReference w:id="523"/>
      </w:r>
      <w:r w:rsidRPr="00470C7C">
        <w:rPr>
          <w:rFonts w:cs="Arial"/>
          <w:iCs/>
          <w:szCs w:val="20"/>
          <w:lang w:val="es-ES_tradnl"/>
        </w:rPr>
        <w:t>, con el objeto de disponer las medidas dirigidas a reparar los daños ocasionados a las víctimas.</w:t>
      </w:r>
    </w:p>
    <w:p w14:paraId="107E0755" w14:textId="77777777" w:rsidR="004B0842" w:rsidRPr="00470C7C" w:rsidRDefault="004B0842" w:rsidP="004B0842">
      <w:pPr>
        <w:pStyle w:val="Prrafodelista"/>
        <w:ind w:left="0"/>
        <w:rPr>
          <w:rFonts w:cs="Arial"/>
          <w:iCs/>
          <w:szCs w:val="20"/>
        </w:rPr>
      </w:pPr>
    </w:p>
    <w:p w14:paraId="4DEBF5BC" w14:textId="77777777" w:rsidR="004B0842" w:rsidRPr="00470C7C" w:rsidRDefault="004B0842" w:rsidP="008B0BCC">
      <w:pPr>
        <w:pStyle w:val="Ttulo2"/>
        <w:numPr>
          <w:ilvl w:val="0"/>
          <w:numId w:val="21"/>
        </w:numPr>
      </w:pPr>
      <w:bookmarkStart w:id="401" w:name="_Toc464813985"/>
      <w:r w:rsidRPr="00470C7C">
        <w:t>Parte lesionada</w:t>
      </w:r>
      <w:bookmarkEnd w:id="401"/>
    </w:p>
    <w:p w14:paraId="703F0D6D" w14:textId="77777777" w:rsidR="004B0842" w:rsidRPr="00470C7C" w:rsidRDefault="004B0842" w:rsidP="004B0842">
      <w:pPr>
        <w:pStyle w:val="Prrafodelista"/>
        <w:ind w:left="0"/>
        <w:rPr>
          <w:rFonts w:cs="Arial"/>
          <w:iCs/>
          <w:szCs w:val="20"/>
        </w:rPr>
      </w:pPr>
    </w:p>
    <w:p w14:paraId="3DF31086" w14:textId="77777777" w:rsidR="004B0842" w:rsidRPr="00470C7C" w:rsidRDefault="004B0842" w:rsidP="00D92C1E">
      <w:pPr>
        <w:pStyle w:val="Prrafodelista"/>
        <w:numPr>
          <w:ilvl w:val="0"/>
          <w:numId w:val="1"/>
        </w:numPr>
        <w:autoSpaceDE w:val="0"/>
        <w:autoSpaceDN w:val="0"/>
        <w:adjustRightInd w:val="0"/>
        <w:rPr>
          <w:rFonts w:cs="Arial"/>
          <w:iCs/>
          <w:szCs w:val="20"/>
          <w:lang w:val="es-ES_tradnl"/>
        </w:rPr>
      </w:pPr>
      <w:r w:rsidRPr="00470C7C">
        <w:rPr>
          <w:rFonts w:cs="Arial"/>
          <w:iCs/>
          <w:szCs w:val="20"/>
        </w:rPr>
        <w:t>Este Tribunal reitera que se consideran partes lesionadas, en los términos del artículo 63.1 de la Convención, a quienes han sido declaradas víctimas de la violación de algún derecho reconocido en la misma</w:t>
      </w:r>
      <w:r w:rsidRPr="00470C7C">
        <w:rPr>
          <w:rFonts w:cs="Arial"/>
          <w:iCs/>
          <w:szCs w:val="20"/>
          <w:vertAlign w:val="superscript"/>
        </w:rPr>
        <w:footnoteReference w:id="524"/>
      </w:r>
      <w:r w:rsidRPr="00470C7C">
        <w:rPr>
          <w:rFonts w:cs="Arial"/>
          <w:iCs/>
          <w:szCs w:val="20"/>
        </w:rPr>
        <w:t xml:space="preserve">. </w:t>
      </w:r>
      <w:r w:rsidRPr="00470C7C">
        <w:rPr>
          <w:rFonts w:cs="Arial"/>
          <w:iCs/>
          <w:szCs w:val="20"/>
          <w:lang w:val="pt-BR"/>
        </w:rPr>
        <w:t xml:space="preserve">Por </w:t>
      </w:r>
      <w:proofErr w:type="spellStart"/>
      <w:r w:rsidRPr="00470C7C">
        <w:rPr>
          <w:rFonts w:cs="Arial"/>
          <w:iCs/>
          <w:szCs w:val="20"/>
          <w:lang w:val="pt-BR"/>
        </w:rPr>
        <w:t>lo</w:t>
      </w:r>
      <w:proofErr w:type="spellEnd"/>
      <w:r w:rsidRPr="00470C7C">
        <w:rPr>
          <w:rFonts w:cs="Arial"/>
          <w:iCs/>
          <w:szCs w:val="20"/>
          <w:lang w:val="pt-BR"/>
        </w:rPr>
        <w:t xml:space="preserve"> tanto, esta Corte considera como “partes lesionadas” a </w:t>
      </w:r>
      <w:r w:rsidR="00D92C1E" w:rsidRPr="00470C7C">
        <w:rPr>
          <w:szCs w:val="20"/>
          <w:lang w:val="pt-BR"/>
        </w:rPr>
        <w:t>1. Alcione</w:t>
      </w:r>
      <w:r w:rsidR="003C73E3" w:rsidRPr="00470C7C">
        <w:rPr>
          <w:szCs w:val="20"/>
          <w:lang w:val="pt-BR"/>
        </w:rPr>
        <w:t xml:space="preserve"> Freitas </w:t>
      </w:r>
      <w:r w:rsidR="00D92C1E" w:rsidRPr="00470C7C">
        <w:rPr>
          <w:szCs w:val="20"/>
          <w:lang w:val="pt-BR"/>
        </w:rPr>
        <w:t xml:space="preserve">Sousa; 2. Alfredo Rodrigues; 3. Antônio Almir Lima da Silva; 4. </w:t>
      </w:r>
      <w:r w:rsidR="00D60654" w:rsidRPr="00470C7C">
        <w:rPr>
          <w:szCs w:val="20"/>
          <w:lang w:val="pt-BR"/>
        </w:rPr>
        <w:t xml:space="preserve">Antônio </w:t>
      </w:r>
      <w:r w:rsidR="00D92C1E" w:rsidRPr="00470C7C">
        <w:rPr>
          <w:szCs w:val="20"/>
          <w:lang w:val="pt-BR"/>
        </w:rPr>
        <w:t xml:space="preserve">Aroldo Rodrigues Santos; 5. </w:t>
      </w:r>
      <w:r w:rsidR="00D60654" w:rsidRPr="00470C7C">
        <w:rPr>
          <w:szCs w:val="20"/>
          <w:lang w:val="pt-BR"/>
        </w:rPr>
        <w:t xml:space="preserve">Antônio </w:t>
      </w:r>
      <w:r w:rsidR="00D92C1E" w:rsidRPr="00470C7C">
        <w:rPr>
          <w:szCs w:val="20"/>
          <w:lang w:val="pt-BR"/>
        </w:rPr>
        <w:t xml:space="preserve">Bento da Silva; 6. </w:t>
      </w:r>
      <w:r w:rsidR="00D60654" w:rsidRPr="00470C7C">
        <w:rPr>
          <w:szCs w:val="20"/>
          <w:lang w:val="pt-BR"/>
        </w:rPr>
        <w:t xml:space="preserve">Antônio </w:t>
      </w:r>
      <w:r w:rsidR="00D92C1E" w:rsidRPr="00470C7C">
        <w:rPr>
          <w:szCs w:val="20"/>
          <w:lang w:val="pt-BR"/>
        </w:rPr>
        <w:t xml:space="preserve">da Silva Martins; 7. </w:t>
      </w:r>
      <w:r w:rsidR="00D60654" w:rsidRPr="00470C7C">
        <w:rPr>
          <w:szCs w:val="20"/>
          <w:lang w:val="pt-BR"/>
        </w:rPr>
        <w:t xml:space="preserve">Antônio </w:t>
      </w:r>
      <w:r w:rsidR="00D92C1E" w:rsidRPr="00470C7C">
        <w:rPr>
          <w:szCs w:val="20"/>
          <w:lang w:val="pt-BR"/>
        </w:rPr>
        <w:t xml:space="preserve">Damas Filho; </w:t>
      </w:r>
      <w:r w:rsidR="00D92C1E" w:rsidRPr="00470C7C">
        <w:rPr>
          <w:rFonts w:cs="Times New Roman"/>
          <w:szCs w:val="20"/>
          <w:lang w:val="pt-BR"/>
        </w:rPr>
        <w:t xml:space="preserve">8. </w:t>
      </w:r>
      <w:r w:rsidR="00D60654" w:rsidRPr="00470C7C">
        <w:rPr>
          <w:rFonts w:cs="Times New Roman"/>
          <w:szCs w:val="20"/>
          <w:lang w:val="pt-BR"/>
        </w:rPr>
        <w:t xml:space="preserve">Antônio </w:t>
      </w:r>
      <w:r w:rsidR="00D92C1E" w:rsidRPr="00470C7C">
        <w:rPr>
          <w:rFonts w:cs="Times New Roman"/>
          <w:szCs w:val="20"/>
          <w:lang w:val="pt-BR"/>
        </w:rPr>
        <w:t>de Paula Rodrigues de Sousa</w:t>
      </w:r>
      <w:r w:rsidR="00D92C1E" w:rsidRPr="00470C7C">
        <w:rPr>
          <w:szCs w:val="20"/>
          <w:lang w:val="pt-BR"/>
        </w:rPr>
        <w:t xml:space="preserve">; </w:t>
      </w:r>
      <w:r w:rsidR="00D92C1E" w:rsidRPr="00470C7C">
        <w:rPr>
          <w:rFonts w:cs="Times New Roman"/>
          <w:szCs w:val="20"/>
          <w:lang w:val="pt-BR"/>
        </w:rPr>
        <w:t xml:space="preserve">9. </w:t>
      </w:r>
      <w:r w:rsidR="00D60654" w:rsidRPr="00470C7C">
        <w:rPr>
          <w:rFonts w:cs="Times New Roman"/>
          <w:szCs w:val="20"/>
          <w:lang w:val="pt-BR"/>
        </w:rPr>
        <w:t xml:space="preserve">Antônio </w:t>
      </w:r>
      <w:r w:rsidR="00D92C1E" w:rsidRPr="00470C7C">
        <w:rPr>
          <w:rFonts w:cs="Times New Roman"/>
          <w:szCs w:val="20"/>
          <w:lang w:val="pt-BR"/>
        </w:rPr>
        <w:t>Edvaldo da Silva</w:t>
      </w:r>
      <w:r w:rsidR="00D92C1E" w:rsidRPr="00470C7C">
        <w:rPr>
          <w:szCs w:val="20"/>
          <w:lang w:val="pt-BR"/>
        </w:rPr>
        <w:t xml:space="preserve">; </w:t>
      </w:r>
      <w:r w:rsidR="00D92C1E" w:rsidRPr="00470C7C">
        <w:rPr>
          <w:rFonts w:cs="Times New Roman"/>
          <w:szCs w:val="20"/>
          <w:lang w:val="pt-BR"/>
        </w:rPr>
        <w:t xml:space="preserve">10. </w:t>
      </w:r>
      <w:r w:rsidR="00D60654" w:rsidRPr="00470C7C">
        <w:rPr>
          <w:rFonts w:cs="Times New Roman"/>
          <w:szCs w:val="20"/>
          <w:lang w:val="pt-BR"/>
        </w:rPr>
        <w:t xml:space="preserve">Antônio </w:t>
      </w:r>
      <w:r w:rsidR="00D92C1E" w:rsidRPr="00470C7C">
        <w:rPr>
          <w:rFonts w:cs="Times New Roman"/>
          <w:szCs w:val="20"/>
          <w:lang w:val="pt-BR"/>
        </w:rPr>
        <w:t>Fernandes Costa</w:t>
      </w:r>
      <w:r w:rsidR="00D92C1E" w:rsidRPr="00470C7C">
        <w:rPr>
          <w:szCs w:val="20"/>
          <w:lang w:val="pt-BR"/>
        </w:rPr>
        <w:t xml:space="preserve">; </w:t>
      </w:r>
      <w:r w:rsidR="00D92C1E" w:rsidRPr="00470C7C">
        <w:rPr>
          <w:rFonts w:cs="Times New Roman"/>
          <w:szCs w:val="20"/>
          <w:lang w:val="pt-BR"/>
        </w:rPr>
        <w:t xml:space="preserve">11. </w:t>
      </w:r>
      <w:r w:rsidR="00D60654" w:rsidRPr="00470C7C">
        <w:rPr>
          <w:rFonts w:cs="Times New Roman"/>
          <w:szCs w:val="20"/>
          <w:lang w:val="pt-BR"/>
        </w:rPr>
        <w:t xml:space="preserve">Antônio </w:t>
      </w:r>
      <w:r w:rsidR="00D92C1E" w:rsidRPr="00470C7C">
        <w:rPr>
          <w:rFonts w:cs="Times New Roman"/>
          <w:szCs w:val="20"/>
          <w:lang w:val="pt-BR"/>
        </w:rPr>
        <w:t>Francisco da Silva</w:t>
      </w:r>
      <w:r w:rsidR="00D92C1E" w:rsidRPr="00470C7C">
        <w:rPr>
          <w:szCs w:val="20"/>
          <w:lang w:val="pt-BR"/>
        </w:rPr>
        <w:t xml:space="preserve">; </w:t>
      </w:r>
      <w:r w:rsidR="00D92C1E" w:rsidRPr="00470C7C">
        <w:rPr>
          <w:rFonts w:cs="Times New Roman"/>
          <w:szCs w:val="20"/>
          <w:lang w:val="pt-BR"/>
        </w:rPr>
        <w:t xml:space="preserve">12. </w:t>
      </w:r>
      <w:r w:rsidR="00D60654" w:rsidRPr="00470C7C">
        <w:rPr>
          <w:rFonts w:cs="Times New Roman"/>
          <w:szCs w:val="20"/>
          <w:lang w:val="pt-BR"/>
        </w:rPr>
        <w:t xml:space="preserve">Antônio </w:t>
      </w:r>
      <w:r w:rsidR="00D92C1E" w:rsidRPr="00470C7C">
        <w:rPr>
          <w:rFonts w:cs="Times New Roman"/>
          <w:szCs w:val="20"/>
          <w:lang w:val="pt-BR"/>
        </w:rPr>
        <w:t>Francisco da Silva Fernandes</w:t>
      </w:r>
      <w:r w:rsidR="00D92C1E" w:rsidRPr="00470C7C">
        <w:rPr>
          <w:szCs w:val="20"/>
          <w:lang w:val="pt-BR"/>
        </w:rPr>
        <w:t xml:space="preserve">; </w:t>
      </w:r>
      <w:r w:rsidR="00D92C1E" w:rsidRPr="00470C7C">
        <w:rPr>
          <w:rFonts w:cs="Times New Roman"/>
          <w:szCs w:val="20"/>
          <w:lang w:val="pt-BR"/>
        </w:rPr>
        <w:t xml:space="preserve">13. </w:t>
      </w:r>
      <w:r w:rsidR="00D60654" w:rsidRPr="00470C7C">
        <w:rPr>
          <w:rFonts w:cs="Times New Roman"/>
          <w:szCs w:val="20"/>
          <w:lang w:val="pt-BR"/>
        </w:rPr>
        <w:t xml:space="preserve">Antônio </w:t>
      </w:r>
      <w:r w:rsidR="00D92C1E" w:rsidRPr="00470C7C">
        <w:rPr>
          <w:rFonts w:cs="Times New Roman"/>
          <w:szCs w:val="20"/>
          <w:lang w:val="pt-BR"/>
        </w:rPr>
        <w:t>Ivaldo Rodrigues da Silva</w:t>
      </w:r>
      <w:r w:rsidR="00D92C1E" w:rsidRPr="00470C7C">
        <w:rPr>
          <w:szCs w:val="20"/>
          <w:lang w:val="pt-BR"/>
        </w:rPr>
        <w:t xml:space="preserve">; </w:t>
      </w:r>
      <w:r w:rsidR="00D92C1E" w:rsidRPr="00470C7C">
        <w:rPr>
          <w:rFonts w:cs="Times New Roman"/>
          <w:szCs w:val="20"/>
          <w:lang w:val="pt-BR"/>
        </w:rPr>
        <w:t xml:space="preserve">14. </w:t>
      </w:r>
      <w:r w:rsidR="00D60654" w:rsidRPr="00470C7C">
        <w:rPr>
          <w:rFonts w:cs="Times New Roman"/>
          <w:szCs w:val="20"/>
          <w:lang w:val="pt-BR"/>
        </w:rPr>
        <w:t xml:space="preserve">Antônio </w:t>
      </w:r>
      <w:r w:rsidR="00D92C1E" w:rsidRPr="00470C7C">
        <w:rPr>
          <w:rFonts w:cs="Times New Roman"/>
          <w:szCs w:val="20"/>
          <w:lang w:val="pt-BR"/>
        </w:rPr>
        <w:t>Paulo da Silva</w:t>
      </w:r>
      <w:r w:rsidR="00D92C1E" w:rsidRPr="00470C7C">
        <w:rPr>
          <w:szCs w:val="20"/>
          <w:lang w:val="pt-BR"/>
        </w:rPr>
        <w:t xml:space="preserve">; </w:t>
      </w:r>
      <w:r w:rsidR="00D92C1E" w:rsidRPr="00470C7C">
        <w:rPr>
          <w:rFonts w:cs="Times New Roman"/>
          <w:szCs w:val="20"/>
          <w:lang w:val="pt-BR"/>
        </w:rPr>
        <w:t xml:space="preserve">15. </w:t>
      </w:r>
      <w:r w:rsidR="00D60654" w:rsidRPr="00470C7C">
        <w:rPr>
          <w:rFonts w:cs="Times New Roman"/>
          <w:szCs w:val="20"/>
          <w:lang w:val="pt-BR"/>
        </w:rPr>
        <w:t xml:space="preserve">Antônio </w:t>
      </w:r>
      <w:r w:rsidR="00D92C1E" w:rsidRPr="00470C7C">
        <w:rPr>
          <w:rFonts w:cs="Times New Roman"/>
          <w:szCs w:val="20"/>
          <w:lang w:val="pt-BR"/>
        </w:rPr>
        <w:t>Pereira da Silva</w:t>
      </w:r>
      <w:r w:rsidR="00D92C1E" w:rsidRPr="00470C7C">
        <w:rPr>
          <w:szCs w:val="20"/>
          <w:lang w:val="pt-BR"/>
        </w:rPr>
        <w:t xml:space="preserve">; 16. </w:t>
      </w:r>
      <w:r w:rsidR="00D60654" w:rsidRPr="00470C7C">
        <w:rPr>
          <w:rFonts w:cs="Times New Roman"/>
          <w:szCs w:val="20"/>
          <w:lang w:val="pt-BR"/>
        </w:rPr>
        <w:t xml:space="preserve">Antônio </w:t>
      </w:r>
      <w:r w:rsidR="00D92C1E" w:rsidRPr="00470C7C">
        <w:rPr>
          <w:rFonts w:cs="Times New Roman"/>
          <w:szCs w:val="20"/>
          <w:lang w:val="pt-BR"/>
        </w:rPr>
        <w:t>Pereira dos Santos; 17. Carlito Bastos Gonçalves</w:t>
      </w:r>
      <w:r w:rsidR="00D92C1E" w:rsidRPr="00470C7C">
        <w:rPr>
          <w:szCs w:val="20"/>
          <w:lang w:val="pt-BR"/>
        </w:rPr>
        <w:t xml:space="preserve">; </w:t>
      </w:r>
      <w:r w:rsidR="00D92C1E" w:rsidRPr="00470C7C">
        <w:rPr>
          <w:rFonts w:cs="Times New Roman"/>
          <w:szCs w:val="20"/>
          <w:lang w:val="pt-BR"/>
        </w:rPr>
        <w:t xml:space="preserve">18. Carlos Alberto Silva Alves; 19. Carlos André da Conceição Pereira; 20. Carlos Augusto Cunha; 21. Carlos Ferreira Lopes; 22. </w:t>
      </w:r>
      <w:proofErr w:type="spellStart"/>
      <w:r w:rsidR="00D92C1E" w:rsidRPr="00470C7C">
        <w:rPr>
          <w:rFonts w:cs="Times New Roman"/>
          <w:szCs w:val="20"/>
          <w:lang w:val="pt-BR"/>
        </w:rPr>
        <w:t>Edirceu</w:t>
      </w:r>
      <w:proofErr w:type="spellEnd"/>
      <w:r w:rsidR="00D92C1E" w:rsidRPr="00470C7C">
        <w:rPr>
          <w:rFonts w:cs="Times New Roman"/>
          <w:szCs w:val="20"/>
          <w:lang w:val="pt-BR"/>
        </w:rPr>
        <w:t xml:space="preserve"> Lima de Brito; 23. </w:t>
      </w:r>
      <w:proofErr w:type="spellStart"/>
      <w:r w:rsidR="00D92C1E" w:rsidRPr="00470C7C">
        <w:rPr>
          <w:rFonts w:cs="Times New Roman"/>
          <w:szCs w:val="20"/>
          <w:lang w:val="pt-BR"/>
        </w:rPr>
        <w:t>Erimar</w:t>
      </w:r>
      <w:proofErr w:type="spellEnd"/>
      <w:r w:rsidR="00D92C1E" w:rsidRPr="00470C7C">
        <w:rPr>
          <w:rFonts w:cs="Times New Roman"/>
          <w:szCs w:val="20"/>
          <w:lang w:val="pt-BR"/>
        </w:rPr>
        <w:t xml:space="preserve"> Lima da Silva; 24. Firmino da Silva; 25. Francisco </w:t>
      </w:r>
      <w:r w:rsidR="00D60654" w:rsidRPr="00470C7C">
        <w:rPr>
          <w:rFonts w:cs="Times New Roman"/>
          <w:szCs w:val="20"/>
          <w:lang w:val="pt-BR"/>
        </w:rPr>
        <w:t xml:space="preserve">Antônio </w:t>
      </w:r>
      <w:r w:rsidR="00D92C1E" w:rsidRPr="00470C7C">
        <w:rPr>
          <w:rFonts w:cs="Times New Roman"/>
          <w:szCs w:val="20"/>
          <w:lang w:val="pt-BR"/>
        </w:rPr>
        <w:t xml:space="preserve">Oliveira Barbosa; 26. Francisco da Silva; 27. Francisco das Chagas </w:t>
      </w:r>
      <w:proofErr w:type="spellStart"/>
      <w:r w:rsidR="00D92C1E" w:rsidRPr="00470C7C">
        <w:rPr>
          <w:rFonts w:cs="Times New Roman"/>
          <w:szCs w:val="20"/>
          <w:lang w:val="pt-BR"/>
        </w:rPr>
        <w:t>Araujo</w:t>
      </w:r>
      <w:proofErr w:type="spellEnd"/>
      <w:r w:rsidR="00D92C1E" w:rsidRPr="00470C7C">
        <w:rPr>
          <w:rFonts w:cs="Times New Roman"/>
          <w:szCs w:val="20"/>
          <w:lang w:val="pt-BR"/>
        </w:rPr>
        <w:t xml:space="preserve"> Carvalho; </w:t>
      </w:r>
      <w:r w:rsidR="00D92C1E" w:rsidRPr="00470C7C">
        <w:rPr>
          <w:szCs w:val="20"/>
          <w:lang w:val="pt-BR"/>
        </w:rPr>
        <w:t xml:space="preserve">28. Francisco das Chagas Bastos Souza; </w:t>
      </w:r>
      <w:r w:rsidR="00D92C1E" w:rsidRPr="00470C7C">
        <w:rPr>
          <w:rFonts w:cs="Times New Roman"/>
          <w:szCs w:val="20"/>
          <w:lang w:val="pt-BR"/>
        </w:rPr>
        <w:t xml:space="preserve">29. Francisco das Chagas Cardoso Carvalho; 30. Francisco das Chagas Costa Rabelo; 31. Francisco das Chagas da Silva Lira; 32. Francisco Mariano da Silva; 33. Francisco das Chagas Diogo; 34. Francisco das Chagas Moreira Alves; 35. Francisco das Chagas Rodrigues de Sousa; 36. Francisco das Chagas Sousa Cardoso; 37. Francisco de Assis Felix; 38. Francisco de Assis Pereira da Silva; 39. Francisco de Souza </w:t>
      </w:r>
      <w:proofErr w:type="spellStart"/>
      <w:r w:rsidR="00D92C1E" w:rsidRPr="00470C7C">
        <w:rPr>
          <w:rFonts w:cs="Times New Roman"/>
          <w:szCs w:val="20"/>
          <w:lang w:val="pt-BR"/>
        </w:rPr>
        <w:t>Brígido</w:t>
      </w:r>
      <w:proofErr w:type="spellEnd"/>
      <w:r w:rsidR="00D92C1E" w:rsidRPr="00470C7C">
        <w:rPr>
          <w:rFonts w:cs="Times New Roman"/>
          <w:szCs w:val="20"/>
          <w:lang w:val="pt-BR"/>
        </w:rPr>
        <w:t>; 40. Francisco Ernesto de Melo; 41. Francisco Fabiano Leandro; 42. Francisco Ferreira da Silva</w:t>
      </w:r>
      <w:r w:rsidR="00D92C1E" w:rsidRPr="00470C7C">
        <w:rPr>
          <w:szCs w:val="20"/>
          <w:lang w:val="pt-BR"/>
        </w:rPr>
        <w:t xml:space="preserve">; </w:t>
      </w:r>
      <w:r w:rsidR="00D92C1E" w:rsidRPr="00470C7C">
        <w:rPr>
          <w:rFonts w:cs="Times New Roman"/>
          <w:szCs w:val="20"/>
          <w:lang w:val="pt-BR"/>
        </w:rPr>
        <w:t xml:space="preserve">43. Francisco Ferreira da Silva Filho; 44. Francisco José Furtado; 45. Francisco Junior da Silva; 46. Francisco </w:t>
      </w:r>
      <w:proofErr w:type="spellStart"/>
      <w:r w:rsidR="00D92C1E" w:rsidRPr="00470C7C">
        <w:rPr>
          <w:rFonts w:cs="Times New Roman"/>
          <w:szCs w:val="20"/>
          <w:lang w:val="pt-BR"/>
        </w:rPr>
        <w:t>Mirele</w:t>
      </w:r>
      <w:proofErr w:type="spellEnd"/>
      <w:r w:rsidR="00D92C1E" w:rsidRPr="00470C7C">
        <w:rPr>
          <w:rFonts w:cs="Times New Roman"/>
          <w:szCs w:val="20"/>
          <w:lang w:val="pt-BR"/>
        </w:rPr>
        <w:t xml:space="preserve"> Ribeiro da Silva; </w:t>
      </w:r>
      <w:r w:rsidR="00D92C1E" w:rsidRPr="00470C7C">
        <w:rPr>
          <w:szCs w:val="20"/>
          <w:lang w:val="pt-BR"/>
        </w:rPr>
        <w:t xml:space="preserve">47. Francisco Pereira da Silva; </w:t>
      </w:r>
      <w:r w:rsidR="00D92C1E" w:rsidRPr="00470C7C">
        <w:rPr>
          <w:rFonts w:cs="Times New Roman"/>
          <w:szCs w:val="20"/>
          <w:lang w:val="pt-BR"/>
        </w:rPr>
        <w:t>48. Francisco Soares da Silva; 49. Francisco Teodoro Diogo; 50. Geraldo Ferreira da Silva; 51. Gonçalo Constâncio da Silva; 52. Gonçalo Firmino de Sousa; 53. Gonçalo José Gomes;</w:t>
      </w:r>
      <w:r w:rsidR="00653E8C" w:rsidRPr="00470C7C">
        <w:rPr>
          <w:rFonts w:cs="Times New Roman"/>
          <w:szCs w:val="20"/>
          <w:lang w:val="pt-BR"/>
        </w:rPr>
        <w:t xml:space="preserve"> 54. </w:t>
      </w:r>
      <w:r w:rsidR="00AB6218" w:rsidRPr="00470C7C">
        <w:rPr>
          <w:rFonts w:cs="Times New Roman"/>
          <w:szCs w:val="20"/>
          <w:lang w:val="pt-BR"/>
        </w:rPr>
        <w:t>José Francisco Furtado de Sousa</w:t>
      </w:r>
      <w:r w:rsidR="00653E8C" w:rsidRPr="00470C7C">
        <w:rPr>
          <w:rFonts w:cs="Times New Roman"/>
          <w:szCs w:val="20"/>
          <w:lang w:val="pt-BR"/>
        </w:rPr>
        <w:t xml:space="preserve">; 55. </w:t>
      </w:r>
      <w:proofErr w:type="spellStart"/>
      <w:r w:rsidR="00653E8C" w:rsidRPr="00470C7C">
        <w:rPr>
          <w:rFonts w:cs="Times New Roman"/>
          <w:szCs w:val="20"/>
          <w:lang w:val="pt-BR"/>
        </w:rPr>
        <w:t>J</w:t>
      </w:r>
      <w:r w:rsidR="00D92C1E" w:rsidRPr="00470C7C">
        <w:rPr>
          <w:rFonts w:cs="Times New Roman"/>
          <w:szCs w:val="20"/>
          <w:lang w:val="pt-BR"/>
        </w:rPr>
        <w:t>enival</w:t>
      </w:r>
      <w:proofErr w:type="spellEnd"/>
      <w:r w:rsidR="00D92C1E" w:rsidRPr="00470C7C">
        <w:rPr>
          <w:rFonts w:cs="Times New Roman"/>
          <w:szCs w:val="20"/>
          <w:lang w:val="pt-BR"/>
        </w:rPr>
        <w:t xml:space="preserve"> Lopes; 56. João Diogo Pereira Filho; 57. José Cordeiro Ramos; 58. José de Deus de Jesus Sousa; 59. José de Ribamar Souza; 60. José do Egito Santos; 61. José Gomes; 62. José Leandro da Silva; </w:t>
      </w:r>
      <w:r w:rsidR="00D92C1E" w:rsidRPr="00470C7C">
        <w:rPr>
          <w:szCs w:val="20"/>
          <w:lang w:val="pt-BR"/>
        </w:rPr>
        <w:t xml:space="preserve">63. José Renato do Nascimento Costa; </w:t>
      </w:r>
      <w:r w:rsidR="00D92C1E" w:rsidRPr="00470C7C">
        <w:rPr>
          <w:rFonts w:cs="Times New Roman"/>
          <w:szCs w:val="20"/>
          <w:lang w:val="pt-BR"/>
        </w:rPr>
        <w:t xml:space="preserve">64. </w:t>
      </w:r>
      <w:proofErr w:type="spellStart"/>
      <w:r w:rsidR="00D92C1E" w:rsidRPr="00470C7C">
        <w:rPr>
          <w:rFonts w:cs="Times New Roman"/>
          <w:szCs w:val="20"/>
          <w:lang w:val="pt-BR"/>
        </w:rPr>
        <w:t>Juni</w:t>
      </w:r>
      <w:proofErr w:type="spellEnd"/>
      <w:r w:rsidR="00D92C1E" w:rsidRPr="00470C7C">
        <w:rPr>
          <w:rFonts w:cs="Times New Roman"/>
          <w:szCs w:val="20"/>
          <w:lang w:val="pt-BR"/>
        </w:rPr>
        <w:t xml:space="preserve"> Carlos da Silva; 65. Lourival da Silva Santos; </w:t>
      </w:r>
      <w:r w:rsidR="00D92C1E" w:rsidRPr="00470C7C">
        <w:rPr>
          <w:szCs w:val="20"/>
          <w:lang w:val="pt-BR"/>
        </w:rPr>
        <w:t xml:space="preserve">66. </w:t>
      </w:r>
      <w:proofErr w:type="spellStart"/>
      <w:r w:rsidR="00D92C1E" w:rsidRPr="00470C7C">
        <w:rPr>
          <w:szCs w:val="20"/>
          <w:lang w:val="pt-BR"/>
        </w:rPr>
        <w:t>Luis</w:t>
      </w:r>
      <w:proofErr w:type="spellEnd"/>
      <w:r w:rsidR="00D92C1E" w:rsidRPr="00470C7C">
        <w:rPr>
          <w:szCs w:val="20"/>
          <w:lang w:val="pt-BR"/>
        </w:rPr>
        <w:t xml:space="preserve"> Carlos da Silva Santos; </w:t>
      </w:r>
      <w:r w:rsidR="00D92C1E" w:rsidRPr="00470C7C">
        <w:rPr>
          <w:rFonts w:cs="Times New Roman"/>
          <w:szCs w:val="20"/>
          <w:lang w:val="pt-BR"/>
        </w:rPr>
        <w:t xml:space="preserve">67. Luiz Gonzaga Silva Pires; 68. Luiz </w:t>
      </w:r>
      <w:proofErr w:type="spellStart"/>
      <w:r w:rsidR="00D92C1E" w:rsidRPr="00470C7C">
        <w:rPr>
          <w:rFonts w:cs="Times New Roman"/>
          <w:szCs w:val="20"/>
          <w:lang w:val="pt-BR"/>
        </w:rPr>
        <w:t>Sicinato</w:t>
      </w:r>
      <w:proofErr w:type="spellEnd"/>
      <w:r w:rsidR="00D92C1E" w:rsidRPr="00470C7C">
        <w:rPr>
          <w:rFonts w:cs="Times New Roman"/>
          <w:szCs w:val="20"/>
          <w:lang w:val="pt-BR"/>
        </w:rPr>
        <w:t xml:space="preserve"> de Menezes; </w:t>
      </w:r>
      <w:r w:rsidR="00D92C1E" w:rsidRPr="00470C7C">
        <w:rPr>
          <w:szCs w:val="20"/>
          <w:lang w:val="pt-BR"/>
        </w:rPr>
        <w:t>69. Manoel do Nascimento; 70</w:t>
      </w:r>
      <w:r w:rsidR="00D92C1E" w:rsidRPr="00470C7C">
        <w:rPr>
          <w:rFonts w:cs="Times New Roman"/>
          <w:szCs w:val="20"/>
          <w:lang w:val="pt-BR"/>
        </w:rPr>
        <w:t xml:space="preserve">. Manoel do Nascimento da Silva; 71. Manoel Pinheiro Brito; </w:t>
      </w:r>
      <w:r w:rsidR="00D92C1E" w:rsidRPr="00470C7C">
        <w:rPr>
          <w:szCs w:val="20"/>
          <w:lang w:val="pt-BR"/>
        </w:rPr>
        <w:t>72. Marcio F</w:t>
      </w:r>
      <w:r w:rsidR="00665D3A" w:rsidRPr="00470C7C">
        <w:rPr>
          <w:szCs w:val="20"/>
          <w:lang w:val="pt-BR"/>
        </w:rPr>
        <w:t>ran</w:t>
      </w:r>
      <w:r w:rsidR="00D92C1E" w:rsidRPr="00470C7C">
        <w:rPr>
          <w:szCs w:val="20"/>
          <w:lang w:val="pt-BR"/>
        </w:rPr>
        <w:t xml:space="preserve">ça da Costa Silva; </w:t>
      </w:r>
      <w:r w:rsidR="002A2605" w:rsidRPr="00470C7C">
        <w:rPr>
          <w:rFonts w:cs="Times New Roman"/>
          <w:szCs w:val="20"/>
          <w:lang w:val="pt-BR"/>
        </w:rPr>
        <w:t xml:space="preserve">73. Marcos </w:t>
      </w:r>
      <w:r w:rsidR="00D60654" w:rsidRPr="00470C7C">
        <w:rPr>
          <w:rFonts w:cs="Times New Roman"/>
          <w:szCs w:val="20"/>
          <w:lang w:val="pt-BR"/>
        </w:rPr>
        <w:t xml:space="preserve">Antônio </w:t>
      </w:r>
      <w:r w:rsidR="00D92C1E" w:rsidRPr="00470C7C">
        <w:rPr>
          <w:rFonts w:cs="Times New Roman"/>
          <w:szCs w:val="20"/>
          <w:lang w:val="pt-BR"/>
        </w:rPr>
        <w:t xml:space="preserve">Lima; 74. Paulo Pereira dos Santos; </w:t>
      </w:r>
      <w:r w:rsidR="00D92C1E" w:rsidRPr="00470C7C">
        <w:rPr>
          <w:szCs w:val="20"/>
          <w:lang w:val="pt-BR"/>
        </w:rPr>
        <w:t xml:space="preserve">75. Pedro Fernandes da Silva; </w:t>
      </w:r>
      <w:r w:rsidR="00D92C1E" w:rsidRPr="00470C7C">
        <w:rPr>
          <w:rFonts w:cs="Times New Roman"/>
          <w:szCs w:val="20"/>
          <w:lang w:val="pt-BR"/>
        </w:rPr>
        <w:t xml:space="preserve">76. Raimundo Cardoso Macêdo; 77. Raimundo de Andrade; </w:t>
      </w:r>
      <w:r w:rsidR="00D92C1E" w:rsidRPr="00470C7C">
        <w:rPr>
          <w:szCs w:val="20"/>
          <w:lang w:val="pt-BR"/>
        </w:rPr>
        <w:t xml:space="preserve">78. Raimundo de Sousa Leandro; </w:t>
      </w:r>
      <w:r w:rsidR="00D92C1E" w:rsidRPr="00470C7C">
        <w:rPr>
          <w:rFonts w:cs="Times New Roman"/>
          <w:szCs w:val="20"/>
          <w:lang w:val="pt-BR"/>
        </w:rPr>
        <w:t xml:space="preserve">79. Raimundo Nonato da Silva; 80. Roberto Alves Nascimento; </w:t>
      </w:r>
      <w:r w:rsidR="00D92C1E" w:rsidRPr="00470C7C">
        <w:rPr>
          <w:szCs w:val="20"/>
          <w:lang w:val="pt-BR"/>
        </w:rPr>
        <w:t xml:space="preserve">81. Rogerio Felix Silva; </w:t>
      </w:r>
      <w:r w:rsidR="00D92C1E" w:rsidRPr="00470C7C">
        <w:rPr>
          <w:rFonts w:cs="Times New Roman"/>
          <w:szCs w:val="20"/>
          <w:lang w:val="pt-BR"/>
        </w:rPr>
        <w:t xml:space="preserve">82. Sebastião Pereira de Sousa Neto; 83. Silvestre Moreira de Castro Filho; </w:t>
      </w:r>
      <w:r w:rsidR="00D92C1E" w:rsidRPr="00470C7C">
        <w:rPr>
          <w:szCs w:val="20"/>
          <w:lang w:val="pt-BR"/>
        </w:rPr>
        <w:t xml:space="preserve">84. Valdir Gonçalves da Silva; 85. Vicentina Maria da Conceição; 86. </w:t>
      </w:r>
      <w:r w:rsidR="00D60654" w:rsidRPr="00470C7C">
        <w:rPr>
          <w:rFonts w:cs="Helvetica"/>
          <w:szCs w:val="20"/>
          <w:lang w:val="pt-BR"/>
        </w:rPr>
        <w:t xml:space="preserve">Antônio </w:t>
      </w:r>
      <w:r w:rsidR="00D92C1E" w:rsidRPr="00470C7C">
        <w:rPr>
          <w:rFonts w:cs="Helvetica"/>
          <w:szCs w:val="20"/>
          <w:lang w:val="pt-BR"/>
        </w:rPr>
        <w:t>Alves de Souza;</w:t>
      </w:r>
      <w:r w:rsidR="00D92C1E" w:rsidRPr="00470C7C">
        <w:rPr>
          <w:szCs w:val="20"/>
          <w:lang w:val="pt-BR"/>
        </w:rPr>
        <w:t xml:space="preserve"> </w:t>
      </w:r>
      <w:r w:rsidR="0060726B" w:rsidRPr="00470C7C">
        <w:rPr>
          <w:szCs w:val="20"/>
          <w:lang w:val="pt-BR"/>
        </w:rPr>
        <w:t>87</w:t>
      </w:r>
      <w:r w:rsidR="00D92C1E" w:rsidRPr="00470C7C">
        <w:rPr>
          <w:rFonts w:cs="Helvetica"/>
          <w:szCs w:val="20"/>
          <w:lang w:val="pt-BR"/>
        </w:rPr>
        <w:t xml:space="preserve">. </w:t>
      </w:r>
      <w:r w:rsidR="00D60654" w:rsidRPr="00470C7C">
        <w:rPr>
          <w:rFonts w:cs="Helvetica"/>
          <w:szCs w:val="20"/>
          <w:lang w:val="pt-BR"/>
        </w:rPr>
        <w:t xml:space="preserve">Antônio </w:t>
      </w:r>
      <w:r w:rsidR="00D92C1E" w:rsidRPr="00470C7C">
        <w:rPr>
          <w:rFonts w:cs="Helvetica"/>
          <w:szCs w:val="20"/>
          <w:lang w:val="pt-BR"/>
        </w:rPr>
        <w:t>Bispo dos Santos;</w:t>
      </w:r>
      <w:r w:rsidR="00D92C1E" w:rsidRPr="00470C7C">
        <w:rPr>
          <w:szCs w:val="20"/>
          <w:lang w:val="pt-BR"/>
        </w:rPr>
        <w:t xml:space="preserve"> </w:t>
      </w:r>
      <w:r w:rsidR="0060726B" w:rsidRPr="00470C7C">
        <w:rPr>
          <w:szCs w:val="20"/>
          <w:lang w:val="pt-BR"/>
        </w:rPr>
        <w:t>88</w:t>
      </w:r>
      <w:r w:rsidR="00D92C1E" w:rsidRPr="00470C7C">
        <w:rPr>
          <w:rFonts w:cs="Helvetica"/>
          <w:szCs w:val="20"/>
          <w:lang w:val="pt-BR"/>
        </w:rPr>
        <w:t xml:space="preserve">. </w:t>
      </w:r>
      <w:r w:rsidR="00D60654" w:rsidRPr="00470C7C">
        <w:rPr>
          <w:rFonts w:cs="Helvetica"/>
          <w:szCs w:val="20"/>
          <w:lang w:val="pt-BR"/>
        </w:rPr>
        <w:t xml:space="preserve">Antônio </w:t>
      </w:r>
      <w:r w:rsidR="00D92C1E" w:rsidRPr="00470C7C">
        <w:rPr>
          <w:rFonts w:cs="Helvetica"/>
          <w:szCs w:val="20"/>
          <w:lang w:val="pt-BR"/>
        </w:rPr>
        <w:t>da Silva Nascimento;</w:t>
      </w:r>
      <w:r w:rsidR="00D92C1E" w:rsidRPr="00470C7C">
        <w:rPr>
          <w:szCs w:val="20"/>
          <w:lang w:val="pt-BR"/>
        </w:rPr>
        <w:t xml:space="preserve"> </w:t>
      </w:r>
      <w:r w:rsidR="0060726B" w:rsidRPr="00470C7C">
        <w:rPr>
          <w:szCs w:val="20"/>
          <w:lang w:val="pt-BR"/>
        </w:rPr>
        <w:t>89</w:t>
      </w:r>
      <w:r w:rsidR="00D92C1E" w:rsidRPr="00470C7C">
        <w:rPr>
          <w:rFonts w:cs="Helvetica"/>
          <w:szCs w:val="20"/>
          <w:lang w:val="pt-BR"/>
        </w:rPr>
        <w:t xml:space="preserve">. </w:t>
      </w:r>
      <w:r w:rsidR="00D60654" w:rsidRPr="00470C7C">
        <w:rPr>
          <w:rFonts w:cs="Helvetica"/>
          <w:szCs w:val="20"/>
          <w:lang w:val="pt-BR"/>
        </w:rPr>
        <w:t xml:space="preserve">Antônio </w:t>
      </w:r>
      <w:r w:rsidR="00D92C1E" w:rsidRPr="00470C7C">
        <w:rPr>
          <w:rFonts w:cs="Helvetica"/>
          <w:szCs w:val="20"/>
          <w:lang w:val="pt-BR"/>
        </w:rPr>
        <w:t>Pereira da Silva;</w:t>
      </w:r>
      <w:r w:rsidR="00D92C1E" w:rsidRPr="00470C7C">
        <w:rPr>
          <w:szCs w:val="20"/>
          <w:lang w:val="pt-BR"/>
        </w:rPr>
        <w:t xml:space="preserve"> </w:t>
      </w:r>
      <w:r w:rsidR="0060726B" w:rsidRPr="00470C7C">
        <w:rPr>
          <w:szCs w:val="20"/>
          <w:lang w:val="pt-BR"/>
        </w:rPr>
        <w:t>90</w:t>
      </w:r>
      <w:r w:rsidR="00D92C1E" w:rsidRPr="00470C7C">
        <w:rPr>
          <w:rFonts w:cs="Helvetica"/>
          <w:szCs w:val="20"/>
          <w:lang w:val="pt-BR"/>
        </w:rPr>
        <w:t xml:space="preserve">. </w:t>
      </w:r>
      <w:r w:rsidR="00D60654" w:rsidRPr="00470C7C">
        <w:rPr>
          <w:rFonts w:cs="Helvetica"/>
          <w:szCs w:val="20"/>
          <w:lang w:val="pt-BR"/>
        </w:rPr>
        <w:t xml:space="preserve">Antônio </w:t>
      </w:r>
      <w:r w:rsidR="00D92C1E" w:rsidRPr="00470C7C">
        <w:rPr>
          <w:rFonts w:cs="Helvetica"/>
          <w:szCs w:val="20"/>
          <w:lang w:val="pt-BR"/>
        </w:rPr>
        <w:t>Renato Barros;</w:t>
      </w:r>
      <w:r w:rsidR="00D92C1E" w:rsidRPr="00470C7C">
        <w:rPr>
          <w:szCs w:val="20"/>
          <w:lang w:val="pt-BR"/>
        </w:rPr>
        <w:t xml:space="preserve"> </w:t>
      </w:r>
      <w:r w:rsidR="0060726B" w:rsidRPr="00470C7C">
        <w:rPr>
          <w:szCs w:val="20"/>
          <w:lang w:val="pt-BR"/>
        </w:rPr>
        <w:t>91</w:t>
      </w:r>
      <w:r w:rsidR="00D92C1E" w:rsidRPr="00470C7C">
        <w:rPr>
          <w:rFonts w:cs="Helvetica"/>
          <w:szCs w:val="20"/>
          <w:lang w:val="pt-BR"/>
        </w:rPr>
        <w:t>. Benigno Rodrigues da Silva;</w:t>
      </w:r>
      <w:r w:rsidR="00D92C1E" w:rsidRPr="00470C7C">
        <w:rPr>
          <w:szCs w:val="20"/>
          <w:lang w:val="pt-BR"/>
        </w:rPr>
        <w:t xml:space="preserve"> </w:t>
      </w:r>
      <w:r w:rsidR="0060726B" w:rsidRPr="00470C7C">
        <w:rPr>
          <w:szCs w:val="20"/>
          <w:lang w:val="pt-BR"/>
        </w:rPr>
        <w:t>92</w:t>
      </w:r>
      <w:r w:rsidR="00D92C1E" w:rsidRPr="00470C7C">
        <w:rPr>
          <w:rFonts w:cs="Helvetica"/>
          <w:szCs w:val="20"/>
          <w:lang w:val="pt-BR"/>
        </w:rPr>
        <w:t>. Carlos Alberto Albino da Conceição;</w:t>
      </w:r>
      <w:r w:rsidR="00D92C1E" w:rsidRPr="00470C7C">
        <w:rPr>
          <w:szCs w:val="20"/>
          <w:lang w:val="pt-BR"/>
        </w:rPr>
        <w:t xml:space="preserve"> </w:t>
      </w:r>
      <w:r w:rsidR="0060726B" w:rsidRPr="00470C7C">
        <w:rPr>
          <w:szCs w:val="20"/>
          <w:lang w:val="pt-BR"/>
        </w:rPr>
        <w:t>93</w:t>
      </w:r>
      <w:r w:rsidR="00D92C1E" w:rsidRPr="00470C7C">
        <w:rPr>
          <w:rFonts w:cs="Helvetica"/>
          <w:szCs w:val="20"/>
          <w:lang w:val="pt-BR"/>
        </w:rPr>
        <w:t>. Cassimiro Neto Souza Maia;</w:t>
      </w:r>
      <w:r w:rsidR="00D92C1E" w:rsidRPr="00470C7C">
        <w:rPr>
          <w:szCs w:val="20"/>
          <w:lang w:val="pt-BR"/>
        </w:rPr>
        <w:t xml:space="preserve"> </w:t>
      </w:r>
      <w:r w:rsidR="00D92C1E" w:rsidRPr="00470C7C">
        <w:rPr>
          <w:rFonts w:cs="Helvetica"/>
          <w:szCs w:val="20"/>
          <w:lang w:val="pt-BR"/>
        </w:rPr>
        <w:t>9</w:t>
      </w:r>
      <w:r w:rsidR="0060726B" w:rsidRPr="00470C7C">
        <w:rPr>
          <w:rFonts w:cs="Helvetica"/>
          <w:szCs w:val="20"/>
          <w:lang w:val="pt-BR"/>
        </w:rPr>
        <w:t>4</w:t>
      </w:r>
      <w:r w:rsidR="00D92C1E" w:rsidRPr="00470C7C">
        <w:rPr>
          <w:rFonts w:cs="Helvetica"/>
          <w:szCs w:val="20"/>
          <w:lang w:val="pt-BR"/>
        </w:rPr>
        <w:t xml:space="preserve">. </w:t>
      </w:r>
      <w:proofErr w:type="spellStart"/>
      <w:r w:rsidR="00D92C1E" w:rsidRPr="00470C7C">
        <w:rPr>
          <w:rFonts w:cs="Helvetica"/>
          <w:szCs w:val="20"/>
          <w:lang w:val="pt-BR"/>
        </w:rPr>
        <w:t>Dijalma</w:t>
      </w:r>
      <w:proofErr w:type="spellEnd"/>
      <w:r w:rsidR="00D92C1E" w:rsidRPr="00470C7C">
        <w:rPr>
          <w:rFonts w:cs="Helvetica"/>
          <w:szCs w:val="20"/>
          <w:lang w:val="pt-BR"/>
        </w:rPr>
        <w:t xml:space="preserve"> Santos Batista;</w:t>
      </w:r>
      <w:r w:rsidR="00D92C1E" w:rsidRPr="00470C7C">
        <w:rPr>
          <w:szCs w:val="20"/>
          <w:lang w:val="pt-BR"/>
        </w:rPr>
        <w:t xml:space="preserve"> </w:t>
      </w:r>
      <w:r w:rsidR="0060726B" w:rsidRPr="00470C7C">
        <w:rPr>
          <w:szCs w:val="20"/>
          <w:lang w:val="pt-BR"/>
        </w:rPr>
        <w:t>95</w:t>
      </w:r>
      <w:r w:rsidR="00D92C1E" w:rsidRPr="00470C7C">
        <w:rPr>
          <w:rFonts w:cs="Helvetica"/>
          <w:szCs w:val="20"/>
          <w:lang w:val="pt-BR"/>
        </w:rPr>
        <w:t xml:space="preserve">. </w:t>
      </w:r>
      <w:proofErr w:type="spellStart"/>
      <w:r w:rsidR="00D92C1E" w:rsidRPr="00470C7C">
        <w:rPr>
          <w:rFonts w:cs="Helvetica"/>
          <w:szCs w:val="20"/>
          <w:lang w:val="pt-BR"/>
        </w:rPr>
        <w:t>Edi</w:t>
      </w:r>
      <w:proofErr w:type="spellEnd"/>
      <w:r w:rsidR="00D92C1E" w:rsidRPr="00470C7C">
        <w:rPr>
          <w:rFonts w:cs="Helvetica"/>
          <w:szCs w:val="20"/>
          <w:lang w:val="pt-BR"/>
        </w:rPr>
        <w:t xml:space="preserve"> Souza de Silva;</w:t>
      </w:r>
      <w:r w:rsidR="00D92C1E" w:rsidRPr="00470C7C">
        <w:rPr>
          <w:szCs w:val="20"/>
          <w:lang w:val="pt-BR"/>
        </w:rPr>
        <w:t xml:space="preserve"> </w:t>
      </w:r>
      <w:r w:rsidR="0060726B" w:rsidRPr="00470C7C">
        <w:rPr>
          <w:szCs w:val="20"/>
          <w:lang w:val="pt-BR"/>
        </w:rPr>
        <w:t>96</w:t>
      </w:r>
      <w:r w:rsidR="00D92C1E" w:rsidRPr="00470C7C">
        <w:rPr>
          <w:rFonts w:cs="Helvetica"/>
          <w:szCs w:val="20"/>
          <w:lang w:val="pt-BR"/>
        </w:rPr>
        <w:t>. Edmilson Fernandes dos Santos;</w:t>
      </w:r>
      <w:r w:rsidR="00D92C1E" w:rsidRPr="00470C7C">
        <w:rPr>
          <w:szCs w:val="20"/>
          <w:lang w:val="pt-BR"/>
        </w:rPr>
        <w:t xml:space="preserve"> </w:t>
      </w:r>
      <w:r w:rsidR="0060726B" w:rsidRPr="00470C7C">
        <w:rPr>
          <w:szCs w:val="20"/>
          <w:lang w:val="pt-BR"/>
        </w:rPr>
        <w:t>97</w:t>
      </w:r>
      <w:r w:rsidR="00D92C1E" w:rsidRPr="00470C7C">
        <w:rPr>
          <w:rFonts w:cs="Helvetica"/>
          <w:szCs w:val="20"/>
          <w:lang w:val="pt-BR"/>
        </w:rPr>
        <w:t xml:space="preserve">. Edson </w:t>
      </w:r>
      <w:proofErr w:type="spellStart"/>
      <w:r w:rsidR="00D92C1E" w:rsidRPr="00470C7C">
        <w:rPr>
          <w:rFonts w:cs="Helvetica"/>
          <w:szCs w:val="20"/>
          <w:lang w:val="pt-BR"/>
        </w:rPr>
        <w:t>Pocidônio</w:t>
      </w:r>
      <w:proofErr w:type="spellEnd"/>
      <w:r w:rsidR="00D92C1E" w:rsidRPr="00470C7C">
        <w:rPr>
          <w:rFonts w:cs="Helvetica"/>
          <w:szCs w:val="20"/>
          <w:lang w:val="pt-BR"/>
        </w:rPr>
        <w:t xml:space="preserve"> da Silva;</w:t>
      </w:r>
      <w:r w:rsidR="00D92C1E" w:rsidRPr="00470C7C">
        <w:rPr>
          <w:szCs w:val="20"/>
          <w:lang w:val="pt-BR"/>
        </w:rPr>
        <w:t xml:space="preserve"> </w:t>
      </w:r>
      <w:r w:rsidR="0060726B" w:rsidRPr="00470C7C">
        <w:rPr>
          <w:szCs w:val="20"/>
          <w:lang w:val="pt-BR"/>
        </w:rPr>
        <w:t>98</w:t>
      </w:r>
      <w:r w:rsidR="00D92C1E" w:rsidRPr="00470C7C">
        <w:rPr>
          <w:rFonts w:cs="Helvetica"/>
          <w:szCs w:val="20"/>
          <w:lang w:val="pt-BR"/>
        </w:rPr>
        <w:t xml:space="preserve">. Irineu </w:t>
      </w:r>
      <w:r w:rsidR="00B73594" w:rsidRPr="00470C7C">
        <w:rPr>
          <w:rFonts w:cs="Helvetica"/>
          <w:szCs w:val="20"/>
          <w:lang w:val="pt-BR"/>
        </w:rPr>
        <w:t xml:space="preserve">Inácio </w:t>
      </w:r>
      <w:r w:rsidR="00D92C1E" w:rsidRPr="00470C7C">
        <w:rPr>
          <w:rFonts w:cs="Helvetica"/>
          <w:szCs w:val="20"/>
          <w:lang w:val="pt-BR"/>
        </w:rPr>
        <w:t>da Silva;</w:t>
      </w:r>
      <w:r w:rsidR="00D92C1E" w:rsidRPr="00470C7C">
        <w:rPr>
          <w:szCs w:val="20"/>
          <w:lang w:val="pt-BR"/>
        </w:rPr>
        <w:t xml:space="preserve"> </w:t>
      </w:r>
      <w:r w:rsidR="0060726B" w:rsidRPr="00470C7C">
        <w:rPr>
          <w:szCs w:val="20"/>
          <w:lang w:val="pt-BR"/>
        </w:rPr>
        <w:t>99</w:t>
      </w:r>
      <w:r w:rsidR="00D92C1E" w:rsidRPr="00470C7C">
        <w:rPr>
          <w:rFonts w:cs="Helvetica"/>
          <w:szCs w:val="20"/>
          <w:lang w:val="pt-BR"/>
        </w:rPr>
        <w:t>. Geraldo Hilário de Almeida;</w:t>
      </w:r>
      <w:r w:rsidR="00D92C1E" w:rsidRPr="00470C7C">
        <w:rPr>
          <w:szCs w:val="20"/>
          <w:lang w:val="pt-BR"/>
        </w:rPr>
        <w:t xml:space="preserve"> </w:t>
      </w:r>
      <w:r w:rsidR="0060726B" w:rsidRPr="00470C7C">
        <w:rPr>
          <w:szCs w:val="20"/>
          <w:lang w:val="pt-BR"/>
        </w:rPr>
        <w:t>100</w:t>
      </w:r>
      <w:r w:rsidR="00D92C1E" w:rsidRPr="00470C7C">
        <w:rPr>
          <w:rFonts w:cs="Helvetica"/>
          <w:szCs w:val="20"/>
          <w:lang w:val="pt-BR"/>
        </w:rPr>
        <w:t xml:space="preserve">. João de Deus dos Reis </w:t>
      </w:r>
      <w:proofErr w:type="spellStart"/>
      <w:r w:rsidR="00D92C1E" w:rsidRPr="00470C7C">
        <w:rPr>
          <w:rFonts w:cs="Helvetica"/>
          <w:szCs w:val="20"/>
          <w:lang w:val="pt-BR"/>
        </w:rPr>
        <w:t>Salvino</w:t>
      </w:r>
      <w:proofErr w:type="spellEnd"/>
      <w:r w:rsidR="00D92C1E" w:rsidRPr="00470C7C">
        <w:rPr>
          <w:rFonts w:cs="Helvetica"/>
          <w:szCs w:val="20"/>
          <w:lang w:val="pt-BR"/>
        </w:rPr>
        <w:t>;</w:t>
      </w:r>
      <w:r w:rsidR="00D92C1E" w:rsidRPr="00470C7C">
        <w:rPr>
          <w:szCs w:val="20"/>
          <w:lang w:val="pt-BR"/>
        </w:rPr>
        <w:t xml:space="preserve"> </w:t>
      </w:r>
      <w:r w:rsidR="00D92C1E" w:rsidRPr="00470C7C">
        <w:rPr>
          <w:rFonts w:cs="Helvetica"/>
          <w:szCs w:val="20"/>
          <w:lang w:val="pt-BR"/>
        </w:rPr>
        <w:t>1</w:t>
      </w:r>
      <w:r w:rsidR="0060726B" w:rsidRPr="00470C7C">
        <w:rPr>
          <w:rFonts w:cs="Helvetica"/>
          <w:szCs w:val="20"/>
          <w:lang w:val="pt-BR"/>
        </w:rPr>
        <w:t>01</w:t>
      </w:r>
      <w:r w:rsidR="00D92C1E" w:rsidRPr="00470C7C">
        <w:rPr>
          <w:rFonts w:cs="Helvetica"/>
          <w:szCs w:val="20"/>
          <w:lang w:val="pt-BR"/>
        </w:rPr>
        <w:t>. João Germano da Silva;</w:t>
      </w:r>
      <w:r w:rsidR="00D92C1E" w:rsidRPr="00470C7C">
        <w:rPr>
          <w:szCs w:val="20"/>
          <w:lang w:val="pt-BR"/>
        </w:rPr>
        <w:t xml:space="preserve"> </w:t>
      </w:r>
      <w:r w:rsidR="00D92C1E" w:rsidRPr="00470C7C">
        <w:rPr>
          <w:rFonts w:cs="Helvetica"/>
          <w:szCs w:val="20"/>
          <w:lang w:val="pt-BR"/>
        </w:rPr>
        <w:t>1</w:t>
      </w:r>
      <w:r w:rsidR="0060726B" w:rsidRPr="00470C7C">
        <w:rPr>
          <w:rFonts w:cs="Helvetica"/>
          <w:szCs w:val="20"/>
          <w:lang w:val="pt-BR"/>
        </w:rPr>
        <w:t>02</w:t>
      </w:r>
      <w:r w:rsidR="00D92C1E" w:rsidRPr="00470C7C">
        <w:rPr>
          <w:rFonts w:cs="Helvetica"/>
          <w:szCs w:val="20"/>
          <w:lang w:val="pt-BR"/>
        </w:rPr>
        <w:t>. João Pereira Marinho; 1</w:t>
      </w:r>
      <w:r w:rsidR="0060726B" w:rsidRPr="00470C7C">
        <w:rPr>
          <w:rFonts w:cs="Helvetica"/>
          <w:szCs w:val="20"/>
          <w:lang w:val="pt-BR"/>
        </w:rPr>
        <w:t>03</w:t>
      </w:r>
      <w:r w:rsidR="00D92C1E" w:rsidRPr="00470C7C">
        <w:rPr>
          <w:rFonts w:cs="Helvetica"/>
          <w:szCs w:val="20"/>
          <w:lang w:val="pt-BR"/>
        </w:rPr>
        <w:t>. Joaquim Francisco Xavier; 1</w:t>
      </w:r>
      <w:r w:rsidR="0060726B" w:rsidRPr="00470C7C">
        <w:rPr>
          <w:rFonts w:cs="Helvetica"/>
          <w:szCs w:val="20"/>
          <w:lang w:val="pt-BR"/>
        </w:rPr>
        <w:t>04</w:t>
      </w:r>
      <w:r w:rsidR="00D92C1E" w:rsidRPr="00470C7C">
        <w:rPr>
          <w:rFonts w:cs="Helvetica"/>
          <w:szCs w:val="20"/>
          <w:lang w:val="pt-BR"/>
        </w:rPr>
        <w:t xml:space="preserve">. José Astrogildo Damascena; </w:t>
      </w:r>
      <w:r w:rsidR="0060726B" w:rsidRPr="00470C7C">
        <w:rPr>
          <w:rFonts w:cs="Helvetica"/>
          <w:szCs w:val="20"/>
          <w:lang w:val="pt-BR"/>
        </w:rPr>
        <w:t>105</w:t>
      </w:r>
      <w:r w:rsidR="00D92C1E" w:rsidRPr="00470C7C">
        <w:rPr>
          <w:rFonts w:cs="Helvetica"/>
          <w:szCs w:val="20"/>
          <w:lang w:val="pt-BR"/>
        </w:rPr>
        <w:t xml:space="preserve">. José Carlos Alves dos Santos; </w:t>
      </w:r>
      <w:r w:rsidR="0060726B" w:rsidRPr="00470C7C">
        <w:rPr>
          <w:rFonts w:cs="Helvetica"/>
          <w:szCs w:val="20"/>
          <w:lang w:val="pt-BR"/>
        </w:rPr>
        <w:t>106</w:t>
      </w:r>
      <w:r w:rsidR="00D92C1E" w:rsidRPr="00470C7C">
        <w:rPr>
          <w:rFonts w:cs="Times New Roman"/>
          <w:szCs w:val="20"/>
          <w:lang w:val="pt-BR"/>
        </w:rPr>
        <w:t xml:space="preserve">. José Fernando da Silva Filho; </w:t>
      </w:r>
      <w:r w:rsidR="0060726B" w:rsidRPr="00470C7C">
        <w:rPr>
          <w:rFonts w:cs="Times New Roman"/>
          <w:szCs w:val="20"/>
          <w:lang w:val="pt-BR"/>
        </w:rPr>
        <w:t>107</w:t>
      </w:r>
      <w:r w:rsidR="00D92C1E" w:rsidRPr="00470C7C">
        <w:rPr>
          <w:rFonts w:cs="Helvetica"/>
          <w:szCs w:val="20"/>
          <w:lang w:val="pt-BR"/>
        </w:rPr>
        <w:t xml:space="preserve">. José Francisco de Lima; </w:t>
      </w:r>
      <w:r w:rsidR="0060726B" w:rsidRPr="00470C7C">
        <w:rPr>
          <w:rFonts w:cs="Helvetica"/>
          <w:szCs w:val="20"/>
          <w:lang w:val="pt-BR"/>
        </w:rPr>
        <w:t>108</w:t>
      </w:r>
      <w:r w:rsidR="00D92C1E" w:rsidRPr="00470C7C">
        <w:rPr>
          <w:rFonts w:cs="Helvetica"/>
          <w:szCs w:val="20"/>
          <w:lang w:val="pt-BR"/>
        </w:rPr>
        <w:t xml:space="preserve">. José Pereira da Silva; </w:t>
      </w:r>
      <w:r w:rsidR="0060726B" w:rsidRPr="00470C7C">
        <w:rPr>
          <w:rFonts w:cs="Helvetica"/>
          <w:szCs w:val="20"/>
          <w:lang w:val="pt-BR"/>
        </w:rPr>
        <w:t>109</w:t>
      </w:r>
      <w:r w:rsidR="00D92C1E" w:rsidRPr="00470C7C">
        <w:rPr>
          <w:rFonts w:cs="Helvetica"/>
          <w:szCs w:val="20"/>
          <w:lang w:val="pt-BR"/>
        </w:rPr>
        <w:t xml:space="preserve">. José Pereira Marinho; </w:t>
      </w:r>
      <w:r w:rsidR="0060726B" w:rsidRPr="00470C7C">
        <w:rPr>
          <w:rFonts w:cs="Helvetica"/>
          <w:szCs w:val="20"/>
          <w:lang w:val="pt-BR"/>
        </w:rPr>
        <w:t>110</w:t>
      </w:r>
      <w:r w:rsidR="00D92C1E" w:rsidRPr="00470C7C">
        <w:rPr>
          <w:rFonts w:cs="Helvetica"/>
          <w:szCs w:val="20"/>
          <w:lang w:val="pt-BR"/>
        </w:rPr>
        <w:t xml:space="preserve">. José Raimundo dos Santos; </w:t>
      </w:r>
      <w:r w:rsidR="0060726B" w:rsidRPr="00470C7C">
        <w:rPr>
          <w:rFonts w:cs="Helvetica"/>
          <w:szCs w:val="20"/>
          <w:lang w:val="pt-BR"/>
        </w:rPr>
        <w:t>111</w:t>
      </w:r>
      <w:r w:rsidR="00D92C1E" w:rsidRPr="00470C7C">
        <w:rPr>
          <w:rFonts w:cs="Helvetica"/>
          <w:szCs w:val="20"/>
          <w:lang w:val="pt-BR"/>
        </w:rPr>
        <w:t xml:space="preserve">. José Vital Nascimento; </w:t>
      </w:r>
      <w:r w:rsidR="0060726B" w:rsidRPr="00470C7C">
        <w:rPr>
          <w:rFonts w:cs="Helvetica"/>
          <w:szCs w:val="20"/>
          <w:lang w:val="pt-BR"/>
        </w:rPr>
        <w:t>112</w:t>
      </w:r>
      <w:r w:rsidR="00D92C1E" w:rsidRPr="00470C7C">
        <w:rPr>
          <w:rFonts w:cs="Helvetica"/>
          <w:szCs w:val="20"/>
          <w:lang w:val="pt-BR"/>
        </w:rPr>
        <w:t xml:space="preserve">. Luiz Leal dos Santos; </w:t>
      </w:r>
      <w:r w:rsidR="0060726B" w:rsidRPr="00470C7C">
        <w:rPr>
          <w:rFonts w:cs="Helvetica"/>
          <w:szCs w:val="20"/>
          <w:lang w:val="pt-BR"/>
        </w:rPr>
        <w:t>113</w:t>
      </w:r>
      <w:r w:rsidR="00D92C1E" w:rsidRPr="00470C7C">
        <w:rPr>
          <w:rFonts w:cs="Helvetica"/>
          <w:szCs w:val="20"/>
          <w:lang w:val="pt-BR"/>
        </w:rPr>
        <w:t xml:space="preserve">. Manoel Alves de Oliveira; </w:t>
      </w:r>
      <w:r w:rsidR="0060726B" w:rsidRPr="00470C7C">
        <w:rPr>
          <w:rFonts w:cs="Helvetica"/>
          <w:szCs w:val="20"/>
          <w:lang w:val="pt-BR"/>
        </w:rPr>
        <w:t>114</w:t>
      </w:r>
      <w:r w:rsidR="00D92C1E" w:rsidRPr="00470C7C">
        <w:rPr>
          <w:rFonts w:cs="Helvetica"/>
          <w:szCs w:val="20"/>
          <w:lang w:val="pt-BR"/>
        </w:rPr>
        <w:t xml:space="preserve">. Manoel Fernandes dos Santos; </w:t>
      </w:r>
      <w:r w:rsidR="0060726B" w:rsidRPr="00470C7C">
        <w:rPr>
          <w:rFonts w:cs="Helvetica"/>
          <w:szCs w:val="20"/>
          <w:lang w:val="pt-BR"/>
        </w:rPr>
        <w:t>115</w:t>
      </w:r>
      <w:r w:rsidR="00D92C1E" w:rsidRPr="00470C7C">
        <w:rPr>
          <w:rFonts w:cs="Helvetica"/>
          <w:szCs w:val="20"/>
          <w:lang w:val="pt-BR"/>
        </w:rPr>
        <w:t xml:space="preserve">. </w:t>
      </w:r>
      <w:proofErr w:type="spellStart"/>
      <w:r w:rsidR="00D92C1E" w:rsidRPr="00470C7C">
        <w:rPr>
          <w:rFonts w:cs="Helvetica"/>
          <w:szCs w:val="20"/>
          <w:lang w:val="pt-BR"/>
        </w:rPr>
        <w:t>Marcionilo</w:t>
      </w:r>
      <w:proofErr w:type="spellEnd"/>
      <w:r w:rsidR="00D92C1E" w:rsidRPr="00470C7C">
        <w:rPr>
          <w:rFonts w:cs="Helvetica"/>
          <w:szCs w:val="20"/>
          <w:lang w:val="pt-BR"/>
        </w:rPr>
        <w:t xml:space="preserve"> Pinto de Morais; </w:t>
      </w:r>
      <w:r w:rsidR="0060726B" w:rsidRPr="00470C7C">
        <w:rPr>
          <w:rFonts w:cs="Helvetica"/>
          <w:szCs w:val="20"/>
          <w:lang w:val="pt-BR"/>
        </w:rPr>
        <w:t>116</w:t>
      </w:r>
      <w:r w:rsidR="00D92C1E" w:rsidRPr="00470C7C">
        <w:rPr>
          <w:rFonts w:cs="Helvetica"/>
          <w:szCs w:val="20"/>
          <w:lang w:val="pt-BR"/>
        </w:rPr>
        <w:t xml:space="preserve">. Pedro Pereira de Andrade; </w:t>
      </w:r>
      <w:r w:rsidR="0060726B" w:rsidRPr="00470C7C">
        <w:rPr>
          <w:rFonts w:cs="Helvetica"/>
          <w:szCs w:val="20"/>
          <w:lang w:val="pt-BR"/>
        </w:rPr>
        <w:t>117</w:t>
      </w:r>
      <w:r w:rsidR="00D92C1E" w:rsidRPr="00470C7C">
        <w:rPr>
          <w:rFonts w:cs="Helvetica"/>
          <w:szCs w:val="20"/>
          <w:lang w:val="pt-BR"/>
        </w:rPr>
        <w:t xml:space="preserve">. Raimundo Costa Neves; </w:t>
      </w:r>
      <w:r w:rsidR="0060726B" w:rsidRPr="00470C7C">
        <w:rPr>
          <w:rFonts w:cs="Helvetica"/>
          <w:szCs w:val="20"/>
          <w:lang w:val="pt-BR"/>
        </w:rPr>
        <w:t>118</w:t>
      </w:r>
      <w:r w:rsidR="00D92C1E" w:rsidRPr="00470C7C">
        <w:rPr>
          <w:rFonts w:cs="Helvetica"/>
          <w:szCs w:val="20"/>
          <w:lang w:val="pt-BR"/>
        </w:rPr>
        <w:t xml:space="preserve">. Raimundo Nonato Amaro Ferreira; </w:t>
      </w:r>
      <w:r w:rsidR="0060726B" w:rsidRPr="00470C7C">
        <w:rPr>
          <w:rFonts w:cs="Helvetica"/>
          <w:szCs w:val="20"/>
          <w:lang w:val="pt-BR"/>
        </w:rPr>
        <w:t>119</w:t>
      </w:r>
      <w:r w:rsidR="00D92C1E" w:rsidRPr="00470C7C">
        <w:rPr>
          <w:rFonts w:cs="Helvetica"/>
          <w:szCs w:val="20"/>
          <w:lang w:val="pt-BR"/>
        </w:rPr>
        <w:t xml:space="preserve">. Raimundo Gonçalves Lima; </w:t>
      </w:r>
      <w:r w:rsidR="0060726B" w:rsidRPr="00470C7C">
        <w:rPr>
          <w:rFonts w:cs="Helvetica"/>
          <w:szCs w:val="20"/>
          <w:lang w:val="pt-BR"/>
        </w:rPr>
        <w:t>120</w:t>
      </w:r>
      <w:r w:rsidR="00D92C1E" w:rsidRPr="00470C7C">
        <w:rPr>
          <w:rFonts w:cs="Helvetica"/>
          <w:szCs w:val="20"/>
          <w:lang w:val="pt-BR"/>
        </w:rPr>
        <w:t xml:space="preserve">. Raimundo Nonato da Silva; </w:t>
      </w:r>
      <w:r w:rsidR="0060726B" w:rsidRPr="00470C7C">
        <w:rPr>
          <w:rFonts w:cs="Helvetica"/>
          <w:szCs w:val="20"/>
          <w:lang w:val="pt-BR"/>
        </w:rPr>
        <w:t>121</w:t>
      </w:r>
      <w:r w:rsidR="00D92C1E" w:rsidRPr="00470C7C">
        <w:rPr>
          <w:rFonts w:cs="Helvetica"/>
          <w:szCs w:val="20"/>
          <w:lang w:val="pt-BR"/>
        </w:rPr>
        <w:t xml:space="preserve">. Roberto Aires; </w:t>
      </w:r>
      <w:r w:rsidR="0060726B" w:rsidRPr="00470C7C">
        <w:rPr>
          <w:rFonts w:cs="Helvetica"/>
          <w:szCs w:val="20"/>
          <w:lang w:val="pt-BR"/>
        </w:rPr>
        <w:t>122</w:t>
      </w:r>
      <w:r w:rsidR="00D92C1E" w:rsidRPr="00470C7C">
        <w:rPr>
          <w:rFonts w:cs="Helvetica"/>
          <w:szCs w:val="20"/>
          <w:lang w:val="pt-BR"/>
        </w:rPr>
        <w:t xml:space="preserve">. Ronaldo Alves Ribeiro; </w:t>
      </w:r>
      <w:r w:rsidR="0060726B" w:rsidRPr="00470C7C">
        <w:rPr>
          <w:rFonts w:cs="Helvetica"/>
          <w:szCs w:val="20"/>
          <w:lang w:val="pt-BR"/>
        </w:rPr>
        <w:t>123</w:t>
      </w:r>
      <w:r w:rsidR="00D92C1E" w:rsidRPr="00470C7C">
        <w:rPr>
          <w:rFonts w:cs="Helvetica"/>
          <w:szCs w:val="20"/>
          <w:lang w:val="pt-BR"/>
        </w:rPr>
        <w:t xml:space="preserve">. Sebastião Carro Pereira dos Santos; </w:t>
      </w:r>
      <w:r w:rsidR="0060726B" w:rsidRPr="00470C7C">
        <w:rPr>
          <w:rFonts w:cs="Helvetica"/>
          <w:szCs w:val="20"/>
          <w:lang w:val="pt-BR"/>
        </w:rPr>
        <w:t>124</w:t>
      </w:r>
      <w:r w:rsidR="00D92C1E" w:rsidRPr="00470C7C">
        <w:rPr>
          <w:rFonts w:cs="Helvetica"/>
          <w:szCs w:val="20"/>
          <w:lang w:val="pt-BR"/>
        </w:rPr>
        <w:t xml:space="preserve">. Sebastião Rodrigues da Silva; </w:t>
      </w:r>
      <w:r w:rsidR="0060726B" w:rsidRPr="00470C7C">
        <w:rPr>
          <w:rFonts w:cs="Helvetica"/>
          <w:szCs w:val="20"/>
          <w:lang w:val="pt-BR"/>
        </w:rPr>
        <w:t>125</w:t>
      </w:r>
      <w:r w:rsidR="00D92C1E" w:rsidRPr="00470C7C">
        <w:rPr>
          <w:rFonts w:cs="Helvetica"/>
          <w:szCs w:val="20"/>
          <w:lang w:val="pt-BR"/>
        </w:rPr>
        <w:t xml:space="preserve">. </w:t>
      </w:r>
      <w:proofErr w:type="spellStart"/>
      <w:r w:rsidR="00D92C1E" w:rsidRPr="00470C7C">
        <w:rPr>
          <w:rFonts w:cs="Helvetica"/>
          <w:szCs w:val="20"/>
          <w:lang w:val="pt-BR"/>
        </w:rPr>
        <w:t>Sinoca</w:t>
      </w:r>
      <w:proofErr w:type="spellEnd"/>
      <w:r w:rsidR="00D92C1E" w:rsidRPr="00470C7C">
        <w:rPr>
          <w:rFonts w:cs="Helvetica"/>
          <w:szCs w:val="20"/>
          <w:lang w:val="pt-BR"/>
        </w:rPr>
        <w:t xml:space="preserve"> da Silva; </w:t>
      </w:r>
      <w:r w:rsidR="0060726B" w:rsidRPr="00470C7C">
        <w:rPr>
          <w:rFonts w:cs="Helvetica"/>
          <w:szCs w:val="20"/>
          <w:lang w:val="pt-BR"/>
        </w:rPr>
        <w:t>126</w:t>
      </w:r>
      <w:r w:rsidR="00D92C1E" w:rsidRPr="00470C7C">
        <w:rPr>
          <w:rFonts w:cs="Helvetica"/>
          <w:szCs w:val="20"/>
          <w:lang w:val="pt-BR"/>
        </w:rPr>
        <w:t xml:space="preserve">. </w:t>
      </w:r>
      <w:r w:rsidR="00D92C1E" w:rsidRPr="00470C7C">
        <w:rPr>
          <w:rFonts w:cs="Helvetica"/>
          <w:szCs w:val="20"/>
          <w:lang w:val="es-ES"/>
        </w:rPr>
        <w:t xml:space="preserve">Valdemar de Souza; </w:t>
      </w:r>
      <w:r w:rsidR="0060726B" w:rsidRPr="00470C7C">
        <w:rPr>
          <w:rFonts w:cs="Helvetica"/>
          <w:szCs w:val="20"/>
          <w:lang w:val="es-ES"/>
        </w:rPr>
        <w:t>127</w:t>
      </w:r>
      <w:r w:rsidR="00D92C1E" w:rsidRPr="00470C7C">
        <w:rPr>
          <w:rFonts w:cs="Helvetica"/>
          <w:szCs w:val="20"/>
          <w:lang w:val="es-ES"/>
        </w:rPr>
        <w:t xml:space="preserve">. </w:t>
      </w:r>
      <w:proofErr w:type="spellStart"/>
      <w:r w:rsidR="00D92C1E" w:rsidRPr="00470C7C">
        <w:rPr>
          <w:rFonts w:cs="Helvetica"/>
          <w:szCs w:val="20"/>
          <w:lang w:val="es-ES"/>
        </w:rPr>
        <w:t>Valdinar</w:t>
      </w:r>
      <w:proofErr w:type="spellEnd"/>
      <w:r w:rsidR="00D92C1E" w:rsidRPr="00470C7C">
        <w:rPr>
          <w:rFonts w:cs="Helvetica"/>
          <w:szCs w:val="20"/>
          <w:lang w:val="es-ES"/>
        </w:rPr>
        <w:t xml:space="preserve"> Veloso Silva, y </w:t>
      </w:r>
      <w:r w:rsidR="0060726B" w:rsidRPr="00470C7C">
        <w:rPr>
          <w:rFonts w:cs="Helvetica"/>
          <w:szCs w:val="20"/>
          <w:lang w:val="es-ES"/>
        </w:rPr>
        <w:t>128</w:t>
      </w:r>
      <w:r w:rsidR="00D92C1E" w:rsidRPr="00470C7C">
        <w:rPr>
          <w:rFonts w:cs="Helvetica"/>
          <w:szCs w:val="20"/>
          <w:lang w:val="es-ES"/>
        </w:rPr>
        <w:t xml:space="preserve">. </w:t>
      </w:r>
      <w:proofErr w:type="spellStart"/>
      <w:r w:rsidR="00D92C1E" w:rsidRPr="00470C7C">
        <w:rPr>
          <w:rFonts w:cs="Helvetica"/>
          <w:szCs w:val="20"/>
          <w:lang w:val="es-ES"/>
        </w:rPr>
        <w:t>Zeno</w:t>
      </w:r>
      <w:proofErr w:type="spellEnd"/>
      <w:r w:rsidR="00D92C1E" w:rsidRPr="00470C7C">
        <w:rPr>
          <w:rFonts w:cs="Helvetica"/>
          <w:szCs w:val="20"/>
          <w:lang w:val="es-ES"/>
        </w:rPr>
        <w:t xml:space="preserve"> Gomes </w:t>
      </w:r>
      <w:proofErr w:type="spellStart"/>
      <w:r w:rsidR="00D92C1E" w:rsidRPr="00470C7C">
        <w:rPr>
          <w:rFonts w:cs="Helvetica"/>
          <w:szCs w:val="20"/>
          <w:lang w:val="es-ES"/>
        </w:rPr>
        <w:t>Feitosa</w:t>
      </w:r>
      <w:proofErr w:type="spellEnd"/>
      <w:r w:rsidRPr="00470C7C">
        <w:rPr>
          <w:rFonts w:cs="Arial"/>
          <w:iCs/>
          <w:szCs w:val="20"/>
        </w:rPr>
        <w:t xml:space="preserve">, quienes en su carácter de víctimas de las violaciones declaradas en el capítulo </w:t>
      </w:r>
      <w:r w:rsidR="00D92C1E" w:rsidRPr="00470C7C">
        <w:rPr>
          <w:rFonts w:cs="Arial"/>
          <w:iCs/>
          <w:szCs w:val="20"/>
        </w:rPr>
        <w:t>VIII</w:t>
      </w:r>
      <w:r w:rsidRPr="00470C7C">
        <w:rPr>
          <w:rFonts w:cs="Arial"/>
          <w:iCs/>
          <w:szCs w:val="20"/>
        </w:rPr>
        <w:t xml:space="preserve"> de esta sentencia </w:t>
      </w:r>
      <w:r w:rsidRPr="00470C7C">
        <w:rPr>
          <w:rFonts w:cs="Arial"/>
          <w:iCs/>
          <w:szCs w:val="20"/>
          <w:lang w:val="es-ES_tradnl"/>
        </w:rPr>
        <w:t xml:space="preserve">serán consideradas beneficiarias de las reparaciones que la Corte </w:t>
      </w:r>
      <w:r w:rsidRPr="00470C7C">
        <w:rPr>
          <w:rFonts w:cs="Arial"/>
          <w:iCs/>
          <w:szCs w:val="20"/>
        </w:rPr>
        <w:t>ordene a continuación.</w:t>
      </w:r>
    </w:p>
    <w:p w14:paraId="30CDBD52" w14:textId="77777777" w:rsidR="004B0842" w:rsidRPr="00470C7C" w:rsidRDefault="004B0842" w:rsidP="004B0842">
      <w:pPr>
        <w:pStyle w:val="Prrafodelista"/>
        <w:autoSpaceDE w:val="0"/>
        <w:autoSpaceDN w:val="0"/>
        <w:adjustRightInd w:val="0"/>
        <w:rPr>
          <w:rFonts w:cs="Arial"/>
          <w:iCs/>
          <w:szCs w:val="20"/>
          <w:lang w:val="es-ES_tradnl"/>
        </w:rPr>
      </w:pPr>
    </w:p>
    <w:p w14:paraId="5FE4C80E" w14:textId="77777777" w:rsidR="004B0842" w:rsidRPr="00470C7C" w:rsidRDefault="004B0842" w:rsidP="008B0BCC">
      <w:pPr>
        <w:pStyle w:val="Ttulo2"/>
        <w:numPr>
          <w:ilvl w:val="0"/>
          <w:numId w:val="21"/>
        </w:numPr>
      </w:pPr>
      <w:bookmarkStart w:id="402" w:name="_Toc464813986"/>
      <w:r w:rsidRPr="00470C7C">
        <w:t>Medidas de Investigación</w:t>
      </w:r>
      <w:bookmarkEnd w:id="402"/>
    </w:p>
    <w:p w14:paraId="66DBB60C" w14:textId="77777777" w:rsidR="004B0842" w:rsidRPr="00470C7C" w:rsidRDefault="004B0842" w:rsidP="004B0842">
      <w:pPr>
        <w:pStyle w:val="Prrafodelista"/>
        <w:autoSpaceDE w:val="0"/>
        <w:autoSpaceDN w:val="0"/>
        <w:adjustRightInd w:val="0"/>
        <w:rPr>
          <w:rFonts w:cs="Arial"/>
          <w:iCs/>
          <w:szCs w:val="20"/>
          <w:lang w:val="es-ES_tradnl"/>
        </w:rPr>
      </w:pPr>
    </w:p>
    <w:p w14:paraId="15E3D8F5"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w:t>
      </w:r>
      <w:r w:rsidRPr="00470C7C">
        <w:rPr>
          <w:rFonts w:cs="Arial"/>
          <w:b/>
          <w:i/>
          <w:iCs/>
          <w:szCs w:val="20"/>
          <w:lang w:val="es-ES_tradnl"/>
        </w:rPr>
        <w:t>Comisión</w:t>
      </w:r>
      <w:r w:rsidRPr="00470C7C">
        <w:rPr>
          <w:rFonts w:cs="Arial"/>
          <w:iCs/>
          <w:szCs w:val="20"/>
          <w:lang w:val="es-ES_tradnl"/>
        </w:rPr>
        <w:t xml:space="preserve"> solicitó que se </w:t>
      </w:r>
      <w:r w:rsidRPr="00470C7C">
        <w:rPr>
          <w:rFonts w:cs="Arial"/>
          <w:iCs/>
          <w:szCs w:val="20"/>
          <w:lang w:val="es-ES"/>
        </w:rPr>
        <w:t>lleve a cabo una investigación de los hechos relacionados con las violaciones de derechos humanos relativas al trabajo esclavo y que se conduzcan las investigaciones de manera imparcial, efectiva y dentro de un plazo razonable</w:t>
      </w:r>
      <w:r w:rsidR="00DD038D" w:rsidRPr="00470C7C">
        <w:rPr>
          <w:rFonts w:cs="Arial"/>
          <w:iCs/>
          <w:szCs w:val="20"/>
          <w:lang w:val="es-ES"/>
        </w:rPr>
        <w:t>,</w:t>
      </w:r>
      <w:r w:rsidRPr="00470C7C">
        <w:rPr>
          <w:rFonts w:cs="Arial"/>
          <w:iCs/>
          <w:szCs w:val="20"/>
          <w:lang w:val="es-ES"/>
        </w:rPr>
        <w:t xml:space="preserve"> con el objeto de esclarecer los hechos en forma completa, identificar a los responsables e imponer las sanciones que correspondan.</w:t>
      </w:r>
      <w:r w:rsidRPr="00470C7C">
        <w:rPr>
          <w:rFonts w:cs="Arial"/>
          <w:iCs/>
          <w:szCs w:val="20"/>
          <w:lang w:val="es-ES_tradnl"/>
        </w:rPr>
        <w:t xml:space="preserve"> </w:t>
      </w:r>
    </w:p>
    <w:p w14:paraId="6106E660" w14:textId="77777777" w:rsidR="004B0842" w:rsidRPr="00470C7C" w:rsidRDefault="004B0842" w:rsidP="004B0842">
      <w:pPr>
        <w:pStyle w:val="Prrafodelista"/>
        <w:autoSpaceDE w:val="0"/>
        <w:autoSpaceDN w:val="0"/>
        <w:adjustRightInd w:val="0"/>
        <w:ind w:left="0"/>
        <w:rPr>
          <w:rFonts w:cs="Arial"/>
          <w:iCs/>
          <w:szCs w:val="20"/>
          <w:lang w:val="es-ES_tradnl"/>
        </w:rPr>
      </w:pPr>
    </w:p>
    <w:p w14:paraId="60C0D3A1"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Adicionalmente, la Comisión requirió que se disponga de</w:t>
      </w:r>
      <w:r w:rsidRPr="00470C7C">
        <w:rPr>
          <w:rFonts w:cs="Arial"/>
          <w:iCs/>
          <w:szCs w:val="20"/>
          <w:lang w:val="es-ES"/>
        </w:rPr>
        <w:t xml:space="preserve"> las medidas administrativas, disciplinarias y penales correspondientes</w:t>
      </w:r>
      <w:r w:rsidR="00DD038D" w:rsidRPr="00470C7C">
        <w:rPr>
          <w:rFonts w:cs="Arial"/>
          <w:iCs/>
          <w:szCs w:val="20"/>
          <w:lang w:val="es-ES"/>
        </w:rPr>
        <w:t>,</w:t>
      </w:r>
      <w:r w:rsidRPr="00470C7C">
        <w:rPr>
          <w:rFonts w:cs="Arial"/>
          <w:iCs/>
          <w:szCs w:val="20"/>
          <w:lang w:val="es-ES"/>
        </w:rPr>
        <w:t xml:space="preserve"> frente a las acciones u omisiones de los funcionarios estatales que contribuyeron a la denegación de justicia e impunidad en la que se encuentran los hechos del caso. Solicitó que se ponga especial énfasis en las siguientes circunstancias: i) que se abrieron procesos administrativos y no penales para la investigación de desapariciones; </w:t>
      </w:r>
      <w:proofErr w:type="spellStart"/>
      <w:r w:rsidRPr="00470C7C">
        <w:rPr>
          <w:rFonts w:cs="Arial"/>
          <w:iCs/>
          <w:szCs w:val="20"/>
          <w:lang w:val="es-ES"/>
        </w:rPr>
        <w:t>ii</w:t>
      </w:r>
      <w:proofErr w:type="spellEnd"/>
      <w:r w:rsidRPr="00470C7C">
        <w:rPr>
          <w:rFonts w:cs="Arial"/>
          <w:iCs/>
          <w:szCs w:val="20"/>
          <w:lang w:val="es-ES"/>
        </w:rPr>
        <w:t>) que se abrieron procedimientos administrativos y laborales para la investigación de trabajo esclavo</w:t>
      </w:r>
      <w:r w:rsidR="00DD038D" w:rsidRPr="00470C7C">
        <w:rPr>
          <w:rFonts w:cs="Arial"/>
          <w:iCs/>
          <w:szCs w:val="20"/>
          <w:lang w:val="es-ES"/>
        </w:rPr>
        <w:t>,</w:t>
      </w:r>
      <w:r w:rsidRPr="00470C7C">
        <w:rPr>
          <w:rFonts w:cs="Arial"/>
          <w:iCs/>
          <w:szCs w:val="20"/>
          <w:lang w:val="es-ES"/>
        </w:rPr>
        <w:t xml:space="preserve"> y </w:t>
      </w:r>
      <w:proofErr w:type="spellStart"/>
      <w:r w:rsidRPr="00470C7C">
        <w:rPr>
          <w:rFonts w:cs="Arial"/>
          <w:iCs/>
          <w:szCs w:val="20"/>
          <w:lang w:val="es-ES"/>
        </w:rPr>
        <w:t>iii</w:t>
      </w:r>
      <w:proofErr w:type="spellEnd"/>
      <w:r w:rsidRPr="00470C7C">
        <w:rPr>
          <w:rFonts w:cs="Arial"/>
          <w:iCs/>
          <w:szCs w:val="20"/>
          <w:lang w:val="es-ES"/>
        </w:rPr>
        <w:t>) que la única investigación penal abierta en relación con dicho delito prescribió.</w:t>
      </w:r>
    </w:p>
    <w:p w14:paraId="6083B0C3" w14:textId="77777777" w:rsidR="004B0842" w:rsidRPr="00470C7C" w:rsidRDefault="004B0842" w:rsidP="004B0842">
      <w:pPr>
        <w:pStyle w:val="Prrafodelista"/>
        <w:autoSpaceDE w:val="0"/>
        <w:autoSpaceDN w:val="0"/>
        <w:adjustRightInd w:val="0"/>
        <w:ind w:left="0"/>
        <w:rPr>
          <w:rFonts w:cs="Arial"/>
          <w:iCs/>
          <w:szCs w:val="20"/>
          <w:lang w:val="es-ES_tradnl"/>
        </w:rPr>
      </w:pPr>
    </w:p>
    <w:p w14:paraId="37210A8C"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solicitaron que el Estado investigue los hechos por medio de instituciones imparciales, independientes y competentes dentro de un plazo razonable. Alegaron que el Estado está obligado a remover todos los obstáculos que impidan la investigación de los hechos y el juzgamiento y eventual condena de los responsables de las graves violaciones de derechos humanos en este caso.</w:t>
      </w:r>
    </w:p>
    <w:p w14:paraId="099E714F" w14:textId="77777777" w:rsidR="004B0842" w:rsidRPr="00470C7C" w:rsidRDefault="004B0842" w:rsidP="004B0842">
      <w:pPr>
        <w:pStyle w:val="Prrafodelista"/>
        <w:autoSpaceDE w:val="0"/>
        <w:autoSpaceDN w:val="0"/>
        <w:adjustRightInd w:val="0"/>
        <w:ind w:left="0"/>
        <w:rPr>
          <w:rFonts w:cs="Arial"/>
          <w:iCs/>
          <w:szCs w:val="20"/>
          <w:lang w:val="es-ES_tradnl"/>
        </w:rPr>
      </w:pPr>
    </w:p>
    <w:p w14:paraId="1E6D8C03"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no se pronunció sobre este punto.</w:t>
      </w:r>
    </w:p>
    <w:p w14:paraId="6BA11E49" w14:textId="77777777" w:rsidR="004B0842" w:rsidRPr="00470C7C" w:rsidRDefault="004B0842" w:rsidP="004B0842">
      <w:pPr>
        <w:pStyle w:val="Prrafodelista"/>
        <w:autoSpaceDE w:val="0"/>
        <w:autoSpaceDN w:val="0"/>
        <w:adjustRightInd w:val="0"/>
        <w:ind w:left="0"/>
        <w:rPr>
          <w:rFonts w:cs="Arial"/>
          <w:iCs/>
          <w:szCs w:val="20"/>
          <w:lang w:val="es-ES_tradnl"/>
        </w:rPr>
      </w:pPr>
    </w:p>
    <w:p w14:paraId="1F13D680"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La Corte recuerda que en el capítulo </w:t>
      </w:r>
      <w:r w:rsidR="00DD038D" w:rsidRPr="00470C7C">
        <w:rPr>
          <w:rFonts w:cs="Arial"/>
          <w:iCs/>
          <w:szCs w:val="20"/>
          <w:lang w:val="es-CL"/>
        </w:rPr>
        <w:t>VII-1</w:t>
      </w:r>
      <w:r w:rsidRPr="00470C7C">
        <w:rPr>
          <w:rFonts w:cs="Arial"/>
          <w:iCs/>
          <w:szCs w:val="20"/>
          <w:lang w:val="es-CL"/>
        </w:rPr>
        <w:t xml:space="preserve"> declaró que las diversas investigaciones llevadas a cabo por el Estado relativas a los hechos del presente caso fueron inadecuadas y violaron l</w:t>
      </w:r>
      <w:r w:rsidRPr="00470C7C">
        <w:rPr>
          <w:rFonts w:cs="Arial"/>
          <w:iCs/>
          <w:szCs w:val="20"/>
          <w:lang w:val="es-ES_tradnl"/>
        </w:rPr>
        <w:t xml:space="preserve">os derechos a las garantías judiciales y a la protección judicial de las víctimas. </w:t>
      </w:r>
    </w:p>
    <w:p w14:paraId="5718A944" w14:textId="77777777" w:rsidR="004B0842" w:rsidRPr="00470C7C" w:rsidRDefault="004B0842" w:rsidP="004B0842">
      <w:pPr>
        <w:pStyle w:val="Prrafodelista"/>
        <w:autoSpaceDE w:val="0"/>
        <w:autoSpaceDN w:val="0"/>
        <w:adjustRightInd w:val="0"/>
        <w:ind w:left="0"/>
        <w:rPr>
          <w:rFonts w:cs="Arial"/>
          <w:iCs/>
          <w:szCs w:val="20"/>
          <w:lang w:val="es-ES_tradnl"/>
        </w:rPr>
      </w:pPr>
    </w:p>
    <w:p w14:paraId="68227B74"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En virtud de lo anterior, la Corte, al igual que en </w:t>
      </w:r>
      <w:r w:rsidR="0067391F" w:rsidRPr="00470C7C">
        <w:rPr>
          <w:rFonts w:cs="Arial"/>
          <w:iCs/>
          <w:szCs w:val="20"/>
          <w:lang w:val="es-ES_tradnl"/>
        </w:rPr>
        <w:t xml:space="preserve">otros </w:t>
      </w:r>
      <w:r w:rsidRPr="00470C7C">
        <w:rPr>
          <w:rFonts w:cs="Arial"/>
          <w:iCs/>
          <w:szCs w:val="20"/>
          <w:lang w:val="es-ES_tradnl"/>
        </w:rPr>
        <w:t xml:space="preserve">casos </w:t>
      </w:r>
      <w:r w:rsidR="0067391F" w:rsidRPr="00470C7C">
        <w:rPr>
          <w:rFonts w:cs="Arial"/>
          <w:iCs/>
          <w:szCs w:val="20"/>
          <w:lang w:val="es-ES_tradnl"/>
        </w:rPr>
        <w:t>ya analizados</w:t>
      </w:r>
      <w:r w:rsidRPr="00470C7C">
        <w:rPr>
          <w:rFonts w:cs="Arial"/>
          <w:iCs/>
          <w:szCs w:val="20"/>
          <w:vertAlign w:val="superscript"/>
          <w:lang w:val="es-ES_tradnl"/>
        </w:rPr>
        <w:footnoteReference w:id="525"/>
      </w:r>
      <w:r w:rsidRPr="00470C7C">
        <w:rPr>
          <w:rFonts w:cs="Arial"/>
          <w:iCs/>
          <w:szCs w:val="20"/>
          <w:lang w:val="es-ES_tradnl"/>
        </w:rPr>
        <w:t xml:space="preserve"> y en atención al carácter de </w:t>
      </w:r>
      <w:r w:rsidR="00DB654E" w:rsidRPr="00470C7C">
        <w:rPr>
          <w:rFonts w:cs="Arial"/>
          <w:iCs/>
          <w:szCs w:val="20"/>
          <w:lang w:val="es-ES_tradnl"/>
        </w:rPr>
        <w:t xml:space="preserve">delito de derecho internacional de la esclavitud </w:t>
      </w:r>
      <w:r w:rsidRPr="00470C7C">
        <w:rPr>
          <w:rFonts w:cs="Arial"/>
          <w:iCs/>
          <w:szCs w:val="20"/>
          <w:lang w:val="es-ES_tradnl"/>
        </w:rPr>
        <w:t xml:space="preserve">y la imprescriptibilidad del sometimiento de una persona a condición análoga a la esclavitud, dispone que el Estado debe reiniciar, con la debida diligencia, las investigaciones y/o procesos penales que correspondan por los hechos constatados en marzo de 2000 en el presente caso para, en un plazo razonable, identificar, procesar y, en su caso, sancionar a los responsables. </w:t>
      </w:r>
      <w:r w:rsidRPr="00470C7C">
        <w:rPr>
          <w:rFonts w:cs="Arial"/>
          <w:iCs/>
          <w:szCs w:val="20"/>
          <w:lang w:val="es-ES"/>
        </w:rPr>
        <w:t xml:space="preserve">En particular, el Estado deberá: a) asegurar el pleno acceso y capacidad de actuar de las víctimas y sus familiares en todas las etapas de estas investigaciones, de acuerdo con la ley interna y las normas de la Convención Americana; b) por tratarse </w:t>
      </w:r>
      <w:r w:rsidR="00DB654E" w:rsidRPr="00470C7C">
        <w:rPr>
          <w:rFonts w:cs="Arial"/>
          <w:iCs/>
          <w:szCs w:val="20"/>
          <w:lang w:val="es-ES"/>
        </w:rPr>
        <w:t xml:space="preserve">la esclavitud </w:t>
      </w:r>
      <w:r w:rsidRPr="00470C7C">
        <w:rPr>
          <w:rFonts w:cs="Arial"/>
          <w:iCs/>
          <w:szCs w:val="20"/>
          <w:lang w:val="es-ES"/>
        </w:rPr>
        <w:t>de un</w:t>
      </w:r>
      <w:r w:rsidR="00DB654E" w:rsidRPr="00470C7C">
        <w:rPr>
          <w:rFonts w:cs="Arial"/>
          <w:iCs/>
          <w:szCs w:val="20"/>
          <w:lang w:val="es-ES"/>
        </w:rPr>
        <w:t xml:space="preserve"> delito de derecho internacional </w:t>
      </w:r>
      <w:r w:rsidRPr="00470C7C">
        <w:rPr>
          <w:rFonts w:cs="Arial"/>
          <w:iCs/>
          <w:szCs w:val="20"/>
          <w:lang w:val="es-ES"/>
        </w:rPr>
        <w:t xml:space="preserve">y en consideración de las particularidades y el contexto en que ocurrieron los hechos, el Estado debe abstenerse de recurrir a figuras como la amnistía, así como </w:t>
      </w:r>
      <w:r w:rsidR="00506E25" w:rsidRPr="00470C7C">
        <w:rPr>
          <w:rFonts w:cs="Arial"/>
          <w:iCs/>
          <w:szCs w:val="20"/>
          <w:lang w:val="es-ES"/>
        </w:rPr>
        <w:t>cualquier obstáculo procesal</w:t>
      </w:r>
      <w:r w:rsidR="00506E25" w:rsidRPr="00470C7C">
        <w:rPr>
          <w:rFonts w:cs="Arial"/>
          <w:b/>
          <w:iCs/>
          <w:szCs w:val="20"/>
          <w:lang w:val="es-ES"/>
        </w:rPr>
        <w:t xml:space="preserve"> </w:t>
      </w:r>
      <w:r w:rsidRPr="00470C7C">
        <w:rPr>
          <w:rFonts w:cs="Arial"/>
          <w:iCs/>
          <w:szCs w:val="20"/>
          <w:lang w:val="es-ES"/>
        </w:rPr>
        <w:t>para excusarse de esta obligación; c) garantizar que las investigaciones y procesos por los hechos del presente caso se mantengan, en todo momento, bajo conocimiento de la jurisdicción federal, y d) divulgar públicamente los resultados de los procesos para que la sociedad brasileña conozca la determinación judicial de los hechos objeto del presente caso</w:t>
      </w:r>
      <w:r w:rsidRPr="00470C7C">
        <w:rPr>
          <w:rFonts w:cs="Arial"/>
          <w:iCs/>
          <w:szCs w:val="20"/>
          <w:vertAlign w:val="superscript"/>
          <w:lang w:val="es-ES"/>
        </w:rPr>
        <w:footnoteReference w:id="526"/>
      </w:r>
      <w:r w:rsidRPr="00470C7C">
        <w:rPr>
          <w:rFonts w:cs="Arial"/>
          <w:iCs/>
          <w:szCs w:val="20"/>
          <w:lang w:val="es-ES"/>
        </w:rPr>
        <w:t xml:space="preserve">. </w:t>
      </w:r>
      <w:r w:rsidR="00694537" w:rsidRPr="00470C7C">
        <w:rPr>
          <w:rFonts w:cs="Arial"/>
          <w:iCs/>
          <w:szCs w:val="20"/>
          <w:lang w:val="es-ES_tradnl"/>
        </w:rPr>
        <w:t xml:space="preserve">En especial, el Estado debe realizar una investigación y, en su caso, restablecer (o reconstruir) el proceso penal </w:t>
      </w:r>
      <w:r w:rsidR="00694537" w:rsidRPr="00470C7C">
        <w:rPr>
          <w:rFonts w:cs="Arial"/>
          <w:bCs/>
          <w:iCs/>
          <w:szCs w:val="20"/>
          <w:lang w:val="es-MX"/>
        </w:rPr>
        <w:t xml:space="preserve">2001.39.01.000270-0, iniciado en 2001, ante la 2ª Vara de Justicia Federal de </w:t>
      </w:r>
      <w:proofErr w:type="spellStart"/>
      <w:r w:rsidR="00694537" w:rsidRPr="00470C7C">
        <w:rPr>
          <w:rFonts w:cs="Arial"/>
          <w:bCs/>
          <w:iCs/>
          <w:szCs w:val="20"/>
          <w:lang w:val="es-MX"/>
        </w:rPr>
        <w:t>Marabá</w:t>
      </w:r>
      <w:proofErr w:type="spellEnd"/>
      <w:r w:rsidR="00694537" w:rsidRPr="00470C7C">
        <w:rPr>
          <w:rFonts w:cs="Arial"/>
          <w:bCs/>
          <w:iCs/>
          <w:szCs w:val="20"/>
          <w:lang w:val="es-MX"/>
        </w:rPr>
        <w:t>, Estado de Pará.</w:t>
      </w:r>
    </w:p>
    <w:p w14:paraId="0DE7049C" w14:textId="77777777" w:rsidR="004B0842" w:rsidRPr="00470C7C" w:rsidRDefault="004B0842" w:rsidP="004B0842">
      <w:pPr>
        <w:pStyle w:val="Prrafodelista"/>
        <w:autoSpaceDE w:val="0"/>
        <w:autoSpaceDN w:val="0"/>
        <w:adjustRightInd w:val="0"/>
        <w:ind w:left="0"/>
        <w:rPr>
          <w:rFonts w:cs="Arial"/>
          <w:iCs/>
          <w:szCs w:val="20"/>
          <w:lang w:val="es-ES_tradnl"/>
        </w:rPr>
      </w:pPr>
    </w:p>
    <w:p w14:paraId="72A884A0"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Además, como lo ha hecho en otras oportunidades</w:t>
      </w:r>
      <w:r w:rsidRPr="00470C7C">
        <w:rPr>
          <w:rFonts w:cs="Arial"/>
          <w:iCs/>
          <w:szCs w:val="20"/>
          <w:vertAlign w:val="superscript"/>
          <w:lang w:val="es-ES_tradnl"/>
        </w:rPr>
        <w:footnoteReference w:id="527"/>
      </w:r>
      <w:r w:rsidRPr="00470C7C">
        <w:rPr>
          <w:rFonts w:cs="Arial"/>
          <w:iCs/>
          <w:szCs w:val="20"/>
          <w:lang w:val="es-ES_tradnl"/>
        </w:rPr>
        <w:t>, la Corte dispone que, de acuerdo con la normativa disciplinaria pertinente, el Estado examine las eventuales irregularidades procesales e investigativas relacionadas con el presente caso y, en su caso, sancione la conducta de los servidores públicos correspondientes, sin que sea necesario que las víctimas del caso interpongan denuncias para tales efectos.</w:t>
      </w:r>
    </w:p>
    <w:p w14:paraId="45F4D18E" w14:textId="77777777" w:rsidR="004B0842" w:rsidRPr="00470C7C" w:rsidRDefault="004B0842" w:rsidP="004B0842">
      <w:pPr>
        <w:pStyle w:val="Prrafodelista"/>
        <w:autoSpaceDE w:val="0"/>
        <w:autoSpaceDN w:val="0"/>
        <w:adjustRightInd w:val="0"/>
        <w:rPr>
          <w:rFonts w:cs="Arial"/>
          <w:iCs/>
          <w:szCs w:val="20"/>
          <w:lang w:val="es-ES_tradnl"/>
        </w:rPr>
      </w:pPr>
    </w:p>
    <w:p w14:paraId="5C180FEC" w14:textId="77777777" w:rsidR="004B0842" w:rsidRPr="00470C7C" w:rsidRDefault="004B0842" w:rsidP="008B0BCC">
      <w:pPr>
        <w:pStyle w:val="Ttulo2"/>
        <w:numPr>
          <w:ilvl w:val="0"/>
          <w:numId w:val="21"/>
        </w:numPr>
      </w:pPr>
      <w:bookmarkStart w:id="403" w:name="_Toc464813987"/>
      <w:r w:rsidRPr="00470C7C">
        <w:t>Medidas de satisfacción y garantías de no repetición</w:t>
      </w:r>
      <w:bookmarkEnd w:id="403"/>
    </w:p>
    <w:p w14:paraId="2227BAAF" w14:textId="77777777" w:rsidR="004B0842" w:rsidRPr="00470C7C" w:rsidRDefault="004B0842" w:rsidP="004B0842">
      <w:pPr>
        <w:pStyle w:val="Prrafodelista"/>
        <w:autoSpaceDE w:val="0"/>
        <w:autoSpaceDN w:val="0"/>
        <w:adjustRightInd w:val="0"/>
        <w:rPr>
          <w:rFonts w:cs="Arial"/>
          <w:iCs/>
          <w:szCs w:val="20"/>
          <w:lang w:val="es-ES_tradnl"/>
        </w:rPr>
      </w:pPr>
    </w:p>
    <w:p w14:paraId="69319F44"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El Tribunal determinará medidas que buscan reparar el daño inmaterial y que no tienen naturaleza pecuniaria, así como medidas de alcance o repercusión pública</w:t>
      </w:r>
      <w:r w:rsidRPr="00470C7C">
        <w:rPr>
          <w:rFonts w:cs="Arial"/>
          <w:iCs/>
          <w:szCs w:val="20"/>
          <w:vertAlign w:val="superscript"/>
          <w:lang w:val="es-ES_tradnl"/>
        </w:rPr>
        <w:footnoteReference w:id="528"/>
      </w:r>
      <w:r w:rsidRPr="00470C7C">
        <w:rPr>
          <w:rFonts w:cs="Arial"/>
          <w:iCs/>
          <w:szCs w:val="20"/>
          <w:lang w:val="es-ES_tradnl"/>
        </w:rPr>
        <w:t xml:space="preserve">. La jurisprudencia internacional, y en particular de esta Corte, ha establecido reiteradamente que la sentencia constituye </w:t>
      </w:r>
      <w:r w:rsidRPr="00470C7C">
        <w:rPr>
          <w:rFonts w:cs="Arial"/>
          <w:i/>
          <w:iCs/>
          <w:szCs w:val="20"/>
          <w:lang w:val="es-ES_tradnl"/>
        </w:rPr>
        <w:t>per se</w:t>
      </w:r>
      <w:r w:rsidRPr="00470C7C">
        <w:rPr>
          <w:rFonts w:cs="Arial"/>
          <w:iCs/>
          <w:szCs w:val="20"/>
          <w:lang w:val="es-ES_tradnl"/>
        </w:rPr>
        <w:t xml:space="preserve"> una forma de reparación</w:t>
      </w:r>
      <w:r w:rsidRPr="00470C7C">
        <w:rPr>
          <w:rFonts w:cs="Arial"/>
          <w:iCs/>
          <w:szCs w:val="20"/>
          <w:vertAlign w:val="superscript"/>
          <w:lang w:val="es-ES_tradnl"/>
        </w:rPr>
        <w:footnoteReference w:id="529"/>
      </w:r>
      <w:r w:rsidRPr="00470C7C">
        <w:rPr>
          <w:rFonts w:cs="Arial"/>
          <w:iCs/>
          <w:szCs w:val="20"/>
          <w:lang w:val="es-ES_tradnl"/>
        </w:rPr>
        <w:t>.</w:t>
      </w:r>
    </w:p>
    <w:p w14:paraId="2FB7EFC9" w14:textId="77777777" w:rsidR="004B0842" w:rsidRPr="00470C7C" w:rsidRDefault="004B0842" w:rsidP="004B0842">
      <w:pPr>
        <w:pStyle w:val="Prrafodelista"/>
        <w:autoSpaceDE w:val="0"/>
        <w:autoSpaceDN w:val="0"/>
        <w:adjustRightInd w:val="0"/>
        <w:ind w:left="0"/>
        <w:rPr>
          <w:rFonts w:cs="Arial"/>
          <w:iCs/>
          <w:szCs w:val="20"/>
          <w:lang w:val="es-ES_tradnl"/>
        </w:rPr>
      </w:pPr>
    </w:p>
    <w:p w14:paraId="3E76C411" w14:textId="77777777" w:rsidR="004B0842" w:rsidRPr="00470C7C" w:rsidRDefault="004B0842" w:rsidP="00863BF9">
      <w:pPr>
        <w:pStyle w:val="Ttulo3"/>
      </w:pPr>
      <w:bookmarkStart w:id="404" w:name="_Toc460433063"/>
      <w:bookmarkStart w:id="405" w:name="_Toc460441994"/>
      <w:bookmarkStart w:id="406" w:name="_Toc462751136"/>
      <w:bookmarkStart w:id="407" w:name="_Toc464813988"/>
      <w:r w:rsidRPr="00470C7C">
        <w:t>C.1.    Medidas de satisfacción: Publicación de la sentencia</w:t>
      </w:r>
      <w:bookmarkEnd w:id="404"/>
      <w:bookmarkEnd w:id="405"/>
      <w:bookmarkEnd w:id="406"/>
      <w:bookmarkEnd w:id="407"/>
    </w:p>
    <w:p w14:paraId="6D4C960B" w14:textId="77777777" w:rsidR="004B0842" w:rsidRPr="00470C7C" w:rsidRDefault="004B0842" w:rsidP="004B0842">
      <w:pPr>
        <w:pStyle w:val="Prrafodelista"/>
        <w:autoSpaceDE w:val="0"/>
        <w:autoSpaceDN w:val="0"/>
        <w:adjustRightInd w:val="0"/>
        <w:rPr>
          <w:rFonts w:cs="Arial"/>
          <w:iCs/>
          <w:szCs w:val="20"/>
          <w:lang w:val="es-ES_tradnl"/>
        </w:rPr>
      </w:pPr>
    </w:p>
    <w:p w14:paraId="2E2503FB"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solicitaron que el Estado se encargue de la divulgación de las secciones de la sentencia que se refieren a los hechos probados, el análisis de las violaciones a la Convención Americana y la parte dispositiva. Para este efecto</w:t>
      </w:r>
      <w:r w:rsidR="00445C53" w:rsidRPr="00470C7C">
        <w:rPr>
          <w:rFonts w:cs="Arial"/>
          <w:iCs/>
          <w:szCs w:val="20"/>
          <w:lang w:val="es-CL"/>
        </w:rPr>
        <w:t>,</w:t>
      </w:r>
      <w:r w:rsidRPr="00470C7C">
        <w:rPr>
          <w:rFonts w:cs="Arial"/>
          <w:iCs/>
          <w:szCs w:val="20"/>
          <w:lang w:val="es-CL"/>
        </w:rPr>
        <w:t xml:space="preserve"> señalaron que estas publicaciones deben hacerse en diarios de circulación nacional</w:t>
      </w:r>
      <w:r w:rsidR="00445C53" w:rsidRPr="00470C7C">
        <w:rPr>
          <w:rFonts w:cs="Arial"/>
          <w:iCs/>
          <w:szCs w:val="20"/>
          <w:lang w:val="es-CL"/>
        </w:rPr>
        <w:t>,</w:t>
      </w:r>
      <w:r w:rsidRPr="00470C7C">
        <w:rPr>
          <w:rFonts w:cs="Arial"/>
          <w:iCs/>
          <w:szCs w:val="20"/>
          <w:lang w:val="es-CL"/>
        </w:rPr>
        <w:t xml:space="preserve"> así como en diarios regionales de Maranhão, Piauí, Mato Grosso y Tocantins, </w:t>
      </w:r>
      <w:r w:rsidR="00445C53" w:rsidRPr="00470C7C">
        <w:rPr>
          <w:rFonts w:cs="Arial"/>
          <w:iCs/>
          <w:szCs w:val="20"/>
          <w:lang w:val="es-CL"/>
        </w:rPr>
        <w:t>e</w:t>
      </w:r>
      <w:r w:rsidRPr="00470C7C">
        <w:rPr>
          <w:rFonts w:cs="Arial"/>
          <w:iCs/>
          <w:szCs w:val="20"/>
          <w:lang w:val="es-CL"/>
        </w:rPr>
        <w:t>stados más afectados por el trabajo esclavo.</w:t>
      </w:r>
    </w:p>
    <w:p w14:paraId="5D1681E2" w14:textId="77777777" w:rsidR="004B0842" w:rsidRPr="00470C7C" w:rsidRDefault="004B0842" w:rsidP="004B0842">
      <w:pPr>
        <w:pStyle w:val="Prrafodelista"/>
        <w:autoSpaceDE w:val="0"/>
        <w:autoSpaceDN w:val="0"/>
        <w:adjustRightInd w:val="0"/>
        <w:rPr>
          <w:rFonts w:cs="Arial"/>
          <w:iCs/>
          <w:szCs w:val="20"/>
          <w:lang w:val="es-ES_tradnl"/>
        </w:rPr>
      </w:pPr>
    </w:p>
    <w:p w14:paraId="4381A2CD"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no se pronunció sobre esta medida de reparación. </w:t>
      </w:r>
    </w:p>
    <w:p w14:paraId="5F4F7B4C" w14:textId="77777777" w:rsidR="007E763F" w:rsidRPr="00470C7C" w:rsidRDefault="007E763F" w:rsidP="004B0842">
      <w:pPr>
        <w:pStyle w:val="Prrafodelista"/>
        <w:autoSpaceDE w:val="0"/>
        <w:autoSpaceDN w:val="0"/>
        <w:adjustRightInd w:val="0"/>
        <w:ind w:left="0"/>
        <w:contextualSpacing w:val="0"/>
        <w:rPr>
          <w:rFonts w:cs="Arial"/>
          <w:iCs/>
          <w:szCs w:val="20"/>
          <w:lang w:val="es-ES"/>
        </w:rPr>
      </w:pPr>
    </w:p>
    <w:p w14:paraId="0739F0D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
        </w:rPr>
        <w:t>La Corte estima, como lo ha dispuesto en otros casos</w:t>
      </w:r>
      <w:r w:rsidRPr="00470C7C">
        <w:rPr>
          <w:rFonts w:cs="Arial"/>
          <w:iCs/>
          <w:szCs w:val="20"/>
          <w:vertAlign w:val="superscript"/>
          <w:lang w:val="es-ES"/>
        </w:rPr>
        <w:footnoteReference w:id="530"/>
      </w:r>
      <w:r w:rsidRPr="00470C7C">
        <w:rPr>
          <w:rFonts w:cs="Arial"/>
          <w:iCs/>
          <w:szCs w:val="20"/>
          <w:lang w:val="es-ES"/>
        </w:rPr>
        <w:t xml:space="preserve">, que el Estado debe publicar, en el plazo de seis meses, contado a partir de la notificación de la presente Sentencia: a) el resumen oficial de la presente Sentencia elaborado por la Corte, por una sola vez, en el Diario Oficial; b) el resumen oficial de la presente Sentencia elaborado por la Corte, por una sola vez, en un diario de amplia circulación nacional, y c) la presente Sentencia en su integridad, disponible por un período de un año, en un sitio </w:t>
      </w:r>
      <w:r w:rsidRPr="00470C7C">
        <w:rPr>
          <w:rFonts w:cs="Arial"/>
          <w:i/>
          <w:iCs/>
          <w:szCs w:val="20"/>
          <w:lang w:val="es-ES"/>
        </w:rPr>
        <w:t>web</w:t>
      </w:r>
      <w:r w:rsidRPr="00470C7C">
        <w:rPr>
          <w:rFonts w:cs="Arial"/>
          <w:iCs/>
          <w:szCs w:val="20"/>
          <w:lang w:val="es-ES"/>
        </w:rPr>
        <w:t xml:space="preserve"> oficial.</w:t>
      </w:r>
    </w:p>
    <w:p w14:paraId="54DA61D1" w14:textId="77777777" w:rsidR="007E763F" w:rsidRPr="00470C7C" w:rsidRDefault="007E763F" w:rsidP="004B0842">
      <w:pPr>
        <w:pStyle w:val="Prrafodelista"/>
        <w:autoSpaceDE w:val="0"/>
        <w:autoSpaceDN w:val="0"/>
        <w:adjustRightInd w:val="0"/>
        <w:ind w:left="0"/>
        <w:contextualSpacing w:val="0"/>
        <w:rPr>
          <w:rFonts w:cs="Arial"/>
          <w:iCs/>
          <w:szCs w:val="20"/>
          <w:lang w:val="es-ES"/>
        </w:rPr>
      </w:pPr>
    </w:p>
    <w:p w14:paraId="58E781B7" w14:textId="77777777" w:rsidR="004B0842" w:rsidRPr="00470C7C" w:rsidRDefault="004B0842" w:rsidP="00E35960">
      <w:pPr>
        <w:pStyle w:val="Prrafodelista"/>
        <w:numPr>
          <w:ilvl w:val="0"/>
          <w:numId w:val="1"/>
        </w:numPr>
        <w:autoSpaceDE w:val="0"/>
        <w:autoSpaceDN w:val="0"/>
        <w:adjustRightInd w:val="0"/>
        <w:rPr>
          <w:rFonts w:cs="Arial"/>
          <w:iCs/>
          <w:szCs w:val="20"/>
          <w:lang w:val="es-ES_tradnl"/>
        </w:rPr>
      </w:pPr>
      <w:r w:rsidRPr="00470C7C">
        <w:rPr>
          <w:rFonts w:cs="Arial"/>
          <w:iCs/>
          <w:szCs w:val="20"/>
          <w:lang w:val="es-ES"/>
        </w:rPr>
        <w:t xml:space="preserve">El Estado deberá informar de forma inmediata a esta Corte una vez que proceda a realizar cada una de las publicaciones dispuestas, independientemente del plazo de un año para presentar su primer informe dispuesto en el punto resolutivo </w:t>
      </w:r>
      <w:r w:rsidR="00C861A8" w:rsidRPr="00470C7C">
        <w:rPr>
          <w:rFonts w:cs="Arial"/>
          <w:iCs/>
          <w:szCs w:val="20"/>
          <w:lang w:val="es-ES"/>
        </w:rPr>
        <w:t xml:space="preserve">décimo </w:t>
      </w:r>
      <w:r w:rsidRPr="00470C7C">
        <w:rPr>
          <w:rFonts w:cs="Arial"/>
          <w:iCs/>
          <w:szCs w:val="20"/>
          <w:lang w:val="es-ES"/>
        </w:rPr>
        <w:t>de la Sentencia.</w:t>
      </w:r>
      <w:r w:rsidRPr="00470C7C">
        <w:rPr>
          <w:rFonts w:cs="Arial"/>
          <w:iCs/>
          <w:szCs w:val="20"/>
        </w:rPr>
        <w:t xml:space="preserve"> </w:t>
      </w:r>
    </w:p>
    <w:p w14:paraId="44682DCF" w14:textId="77777777" w:rsidR="004B0842" w:rsidRPr="00470C7C" w:rsidRDefault="004B0842" w:rsidP="004B0842">
      <w:pPr>
        <w:pStyle w:val="Prrafodelista"/>
        <w:autoSpaceDE w:val="0"/>
        <w:autoSpaceDN w:val="0"/>
        <w:adjustRightInd w:val="0"/>
        <w:ind w:left="0"/>
        <w:rPr>
          <w:rFonts w:cs="Arial"/>
          <w:i/>
          <w:iCs/>
          <w:szCs w:val="20"/>
          <w:lang w:val="es-CL"/>
        </w:rPr>
      </w:pPr>
    </w:p>
    <w:p w14:paraId="6BB2405A" w14:textId="77777777" w:rsidR="004B0842" w:rsidRPr="00470C7C" w:rsidRDefault="00E35960" w:rsidP="00863BF9">
      <w:pPr>
        <w:pStyle w:val="Ttulo3"/>
      </w:pPr>
      <w:bookmarkStart w:id="408" w:name="_Toc460433064"/>
      <w:bookmarkStart w:id="409" w:name="_Toc460441995"/>
      <w:bookmarkStart w:id="410" w:name="_Toc462751137"/>
      <w:bookmarkStart w:id="411" w:name="_Toc464813989"/>
      <w:r w:rsidRPr="00470C7C">
        <w:t>C.2</w:t>
      </w:r>
      <w:r w:rsidR="004B0842" w:rsidRPr="00470C7C">
        <w:t>.</w:t>
      </w:r>
      <w:r w:rsidR="004B0842" w:rsidRPr="00470C7C">
        <w:tab/>
        <w:t>Garantía de no repetición: imprescriptibilidad del delito de trabajo esclavo</w:t>
      </w:r>
      <w:bookmarkEnd w:id="408"/>
      <w:bookmarkEnd w:id="409"/>
      <w:bookmarkEnd w:id="410"/>
      <w:bookmarkEnd w:id="411"/>
    </w:p>
    <w:p w14:paraId="305BBAF3" w14:textId="77777777" w:rsidR="004B0842" w:rsidRPr="00470C7C" w:rsidRDefault="004B0842" w:rsidP="004B0842">
      <w:pPr>
        <w:pStyle w:val="Prrafodelista"/>
        <w:autoSpaceDE w:val="0"/>
        <w:autoSpaceDN w:val="0"/>
        <w:adjustRightInd w:val="0"/>
        <w:rPr>
          <w:rFonts w:cs="Arial"/>
          <w:iCs/>
          <w:szCs w:val="20"/>
          <w:lang w:val="es-ES_tradnl"/>
        </w:rPr>
      </w:pPr>
    </w:p>
    <w:p w14:paraId="4A1FD8AA"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señalaron que, atendido que se trata de graves violaciones a los derechos humanos, la prescripción del delito de trabajo esclavo es incompatible con la Convención Americana. En consecuencia, solicitaron que el Estado establezca la imprescriptibilidad de este delito y adicionalmente adopte todas las medidas necesarias para que la prescripción no sea un obstáculo para la investigación y eventual sanción de los responsables por los hechos de este caso.</w:t>
      </w:r>
    </w:p>
    <w:p w14:paraId="42C7CA2C" w14:textId="77777777" w:rsidR="004B0842" w:rsidRPr="00470C7C" w:rsidRDefault="004B0842" w:rsidP="004B0842">
      <w:pPr>
        <w:pStyle w:val="Prrafodelista"/>
        <w:autoSpaceDE w:val="0"/>
        <w:autoSpaceDN w:val="0"/>
        <w:adjustRightInd w:val="0"/>
        <w:rPr>
          <w:rFonts w:cs="Arial"/>
          <w:iCs/>
          <w:szCs w:val="20"/>
          <w:lang w:val="es-ES_tradnl"/>
        </w:rPr>
      </w:pPr>
    </w:p>
    <w:p w14:paraId="05A3E0B7"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consideró improcedente la solicitud de declarar la imprescriptibilidad del delito de trabajo esclavo por varias razones. En primer lugar</w:t>
      </w:r>
      <w:r w:rsidR="00ED1731" w:rsidRPr="00470C7C">
        <w:rPr>
          <w:rFonts w:cs="Arial"/>
          <w:iCs/>
          <w:szCs w:val="20"/>
          <w:lang w:val="es-CL"/>
        </w:rPr>
        <w:t>,</w:t>
      </w:r>
      <w:r w:rsidRPr="00470C7C">
        <w:rPr>
          <w:rFonts w:cs="Arial"/>
          <w:iCs/>
          <w:szCs w:val="20"/>
          <w:lang w:val="es-CL"/>
        </w:rPr>
        <w:t xml:space="preserve"> consideró que la imprescriptibilidad de los delitos de lesa humanidad se refiere únicamente al ejercicio de la jurisdicción penal internacional y no es una obligación de los Estados establecerla en el plano doméstico. En segundo lugar</w:t>
      </w:r>
      <w:r w:rsidR="00ED1731" w:rsidRPr="00470C7C">
        <w:rPr>
          <w:rFonts w:cs="Arial"/>
          <w:iCs/>
          <w:szCs w:val="20"/>
          <w:lang w:val="es-CL"/>
        </w:rPr>
        <w:t>,</w:t>
      </w:r>
      <w:r w:rsidRPr="00470C7C">
        <w:rPr>
          <w:rFonts w:cs="Arial"/>
          <w:iCs/>
          <w:szCs w:val="20"/>
          <w:lang w:val="es-CL"/>
        </w:rPr>
        <w:t xml:space="preserve"> alegó que en el caso concreto no es posible hablar de un delito contra la humanidad pues no se trata de “una ataque generalizado o sistemático en contra de la población civil”</w:t>
      </w:r>
      <w:r w:rsidR="00ED1731" w:rsidRPr="00470C7C">
        <w:rPr>
          <w:rFonts w:cs="Arial"/>
          <w:iCs/>
          <w:szCs w:val="20"/>
          <w:lang w:val="es-CL"/>
        </w:rPr>
        <w:t>,</w:t>
      </w:r>
      <w:r w:rsidRPr="00470C7C">
        <w:rPr>
          <w:rFonts w:cs="Arial"/>
          <w:iCs/>
          <w:szCs w:val="20"/>
          <w:lang w:val="es-CL"/>
        </w:rPr>
        <w:t xml:space="preserve"> ni tampoco se “trataba de una práctica aplicada o tolerada por el Estado Brasileño”. Finalmente, el Estado señaló que el artículo 149 del </w:t>
      </w:r>
      <w:r w:rsidR="00BE60E8" w:rsidRPr="00470C7C">
        <w:rPr>
          <w:rFonts w:cs="Arial"/>
          <w:iCs/>
          <w:szCs w:val="20"/>
          <w:lang w:val="es-CL"/>
        </w:rPr>
        <w:t>Código Penal brasileño</w:t>
      </w:r>
      <w:r w:rsidRPr="00470C7C">
        <w:rPr>
          <w:rFonts w:cs="Arial"/>
          <w:iCs/>
          <w:szCs w:val="20"/>
          <w:lang w:val="es-CL"/>
        </w:rPr>
        <w:t xml:space="preserve"> es particularmente amplio y tipifica una serie de conductas de distinta gravedad que no pueden calificarse todas como delitos contra la humanidad</w:t>
      </w:r>
      <w:r w:rsidR="00445C53" w:rsidRPr="00470C7C">
        <w:rPr>
          <w:rFonts w:cs="Arial"/>
          <w:iCs/>
          <w:szCs w:val="20"/>
          <w:lang w:val="es-CL"/>
        </w:rPr>
        <w:t>.</w:t>
      </w:r>
      <w:r w:rsidRPr="00470C7C">
        <w:rPr>
          <w:rFonts w:cs="Arial"/>
          <w:iCs/>
          <w:szCs w:val="20"/>
          <w:lang w:val="es-CL"/>
        </w:rPr>
        <w:t xml:space="preserve"> </w:t>
      </w:r>
    </w:p>
    <w:p w14:paraId="7AF08114" w14:textId="77777777" w:rsidR="004B0842" w:rsidRPr="00470C7C" w:rsidRDefault="004B0842" w:rsidP="004B0842">
      <w:pPr>
        <w:pStyle w:val="Prrafodelista"/>
        <w:autoSpaceDE w:val="0"/>
        <w:autoSpaceDN w:val="0"/>
        <w:adjustRightInd w:val="0"/>
        <w:rPr>
          <w:rFonts w:cs="Arial"/>
          <w:iCs/>
          <w:szCs w:val="20"/>
          <w:lang w:val="es-ES_tradnl"/>
        </w:rPr>
      </w:pPr>
    </w:p>
    <w:p w14:paraId="7794C9BC"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En cuanto a la imprescriptibilidad del</w:t>
      </w:r>
      <w:r w:rsidR="004713F4" w:rsidRPr="00470C7C">
        <w:rPr>
          <w:rFonts w:cs="Arial"/>
          <w:iCs/>
          <w:szCs w:val="20"/>
          <w:lang w:val="es-CL"/>
        </w:rPr>
        <w:t xml:space="preserve"> delito de esclavitud</w:t>
      </w:r>
      <w:r w:rsidRPr="00470C7C">
        <w:rPr>
          <w:rFonts w:cs="Arial"/>
          <w:iCs/>
          <w:szCs w:val="20"/>
          <w:lang w:val="es-CL"/>
        </w:rPr>
        <w:t xml:space="preserve">, la Corte concluyó en el capítulo </w:t>
      </w:r>
      <w:r w:rsidR="00445C53" w:rsidRPr="00470C7C">
        <w:rPr>
          <w:rFonts w:cs="Arial"/>
          <w:iCs/>
          <w:szCs w:val="20"/>
          <w:lang w:val="es-CL"/>
        </w:rPr>
        <w:t xml:space="preserve">VIII-1 </w:t>
      </w:r>
      <w:r w:rsidRPr="00470C7C">
        <w:rPr>
          <w:rFonts w:cs="Arial"/>
          <w:iCs/>
          <w:szCs w:val="20"/>
          <w:lang w:val="es-CL"/>
        </w:rPr>
        <w:t>que la aplicación de la figura de la prescripción en el presente caso representó una violación al artículo 2 de la Convención Americana, en tanto fue un elemento decisivo para mantener la impunidad por los hechos constatados en 1997. Asimismo, la Corte ha constatado el carácter imprescriptible del delito de esclavitud y de sus formas análogas en el derecho internacional, como consecuencia de</w:t>
      </w:r>
      <w:r w:rsidR="004713F4" w:rsidRPr="00470C7C">
        <w:rPr>
          <w:rFonts w:cs="Arial"/>
          <w:iCs/>
          <w:szCs w:val="20"/>
          <w:lang w:val="es-CL"/>
        </w:rPr>
        <w:t xml:space="preserve"> su carácter de delitos de derecho internacional, cuya prohibición alcanzó el estatus de </w:t>
      </w:r>
      <w:proofErr w:type="spellStart"/>
      <w:r w:rsidRPr="00470C7C">
        <w:rPr>
          <w:rFonts w:cs="Arial"/>
          <w:i/>
          <w:iCs/>
          <w:szCs w:val="20"/>
          <w:lang w:val="es-CL"/>
        </w:rPr>
        <w:t>jus</w:t>
      </w:r>
      <w:proofErr w:type="spellEnd"/>
      <w:r w:rsidRPr="00470C7C">
        <w:rPr>
          <w:rFonts w:cs="Arial"/>
          <w:i/>
          <w:iCs/>
          <w:szCs w:val="20"/>
          <w:lang w:val="es-CL"/>
        </w:rPr>
        <w:t xml:space="preserve"> cogens </w:t>
      </w:r>
      <w:r w:rsidR="004713F4" w:rsidRPr="00470C7C">
        <w:rPr>
          <w:rFonts w:cs="Arial"/>
          <w:iCs/>
          <w:szCs w:val="20"/>
          <w:lang w:val="es-CL"/>
        </w:rPr>
        <w:t xml:space="preserve"> (</w:t>
      </w:r>
      <w:r w:rsidR="004713F4" w:rsidRPr="00470C7C">
        <w:rPr>
          <w:rFonts w:cs="Arial"/>
          <w:i/>
          <w:iCs/>
          <w:szCs w:val="20"/>
          <w:lang w:val="es-CL"/>
        </w:rPr>
        <w:t xml:space="preserve">supra </w:t>
      </w:r>
      <w:r w:rsidR="004713F4" w:rsidRPr="00470C7C">
        <w:rPr>
          <w:rFonts w:cs="Arial"/>
          <w:iCs/>
          <w:szCs w:val="20"/>
          <w:lang w:val="es-CL"/>
        </w:rPr>
        <w:t xml:space="preserve">párr. </w:t>
      </w:r>
      <w:r w:rsidR="00D4212F" w:rsidRPr="00470C7C">
        <w:rPr>
          <w:rFonts w:cs="Arial"/>
          <w:iCs/>
          <w:szCs w:val="20"/>
          <w:lang w:val="es-CL"/>
        </w:rPr>
        <w:t>249).</w:t>
      </w:r>
      <w:r w:rsidRPr="00470C7C">
        <w:rPr>
          <w:rFonts w:cs="Arial"/>
          <w:iCs/>
          <w:szCs w:val="20"/>
          <w:lang w:val="es-CL"/>
        </w:rPr>
        <w:t xml:space="preserve"> Además, la Corte recuerda que, de acuerdo con su jurisprudencia constante</w:t>
      </w:r>
      <w:r w:rsidRPr="00470C7C">
        <w:rPr>
          <w:rFonts w:cs="Arial"/>
          <w:iCs/>
          <w:szCs w:val="20"/>
          <w:vertAlign w:val="superscript"/>
          <w:lang w:val="es-CL"/>
        </w:rPr>
        <w:footnoteReference w:id="531"/>
      </w:r>
      <w:r w:rsidRPr="00470C7C">
        <w:rPr>
          <w:rFonts w:cs="Arial"/>
          <w:iCs/>
          <w:szCs w:val="20"/>
          <w:lang w:val="es-CL"/>
        </w:rPr>
        <w:t xml:space="preserve">, los delitos que impliquen graves violaciones de derechos humanos no pueden ser objeto de prescripción. En consecuencia, Brasil no puede aplicar la prescripción a este caso y otros similares. </w:t>
      </w:r>
    </w:p>
    <w:p w14:paraId="220C19AD" w14:textId="77777777" w:rsidR="004B0842" w:rsidRPr="00470C7C" w:rsidRDefault="004B0842" w:rsidP="004B0842">
      <w:pPr>
        <w:pStyle w:val="Prrafodelista"/>
        <w:autoSpaceDE w:val="0"/>
        <w:autoSpaceDN w:val="0"/>
        <w:adjustRightInd w:val="0"/>
        <w:rPr>
          <w:rFonts w:cs="Arial"/>
          <w:iCs/>
          <w:szCs w:val="20"/>
          <w:lang w:val="es-ES_tradnl"/>
        </w:rPr>
      </w:pPr>
    </w:p>
    <w:p w14:paraId="4541B65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La Corte considera que la alegada amplitud del tipo penal previsto en el artículo 149 del </w:t>
      </w:r>
      <w:r w:rsidR="00BE60E8" w:rsidRPr="00470C7C">
        <w:rPr>
          <w:rFonts w:cs="Arial"/>
          <w:iCs/>
          <w:szCs w:val="20"/>
          <w:lang w:val="es-CL"/>
        </w:rPr>
        <w:t>Código Penal brasileño</w:t>
      </w:r>
      <w:r w:rsidRPr="00470C7C">
        <w:rPr>
          <w:rFonts w:cs="Arial"/>
          <w:iCs/>
          <w:szCs w:val="20"/>
          <w:lang w:val="es-CL"/>
        </w:rPr>
        <w:t xml:space="preserve"> no modifica la conclusión anterior como pretende el Estado (</w:t>
      </w:r>
      <w:r w:rsidRPr="00470C7C">
        <w:rPr>
          <w:rFonts w:cs="Arial"/>
          <w:i/>
          <w:iCs/>
          <w:szCs w:val="20"/>
          <w:lang w:val="es-CL"/>
        </w:rPr>
        <w:t xml:space="preserve">supra </w:t>
      </w:r>
      <w:proofErr w:type="spellStart"/>
      <w:r w:rsidRPr="00470C7C">
        <w:rPr>
          <w:rFonts w:cs="Arial"/>
          <w:iCs/>
          <w:szCs w:val="20"/>
          <w:lang w:val="es-CL"/>
        </w:rPr>
        <w:t>párrs</w:t>
      </w:r>
      <w:proofErr w:type="spellEnd"/>
      <w:r w:rsidRPr="00470C7C">
        <w:rPr>
          <w:rFonts w:cs="Arial"/>
          <w:iCs/>
          <w:szCs w:val="20"/>
          <w:lang w:val="es-CL"/>
        </w:rPr>
        <w:t xml:space="preserve">. </w:t>
      </w:r>
      <w:r w:rsidR="00627AAF" w:rsidRPr="00470C7C">
        <w:rPr>
          <w:rFonts w:cs="Arial"/>
          <w:iCs/>
          <w:szCs w:val="20"/>
          <w:lang w:val="es-CL"/>
        </w:rPr>
        <w:t>307</w:t>
      </w:r>
      <w:r w:rsidRPr="00470C7C">
        <w:rPr>
          <w:rFonts w:cs="Arial"/>
          <w:iCs/>
          <w:szCs w:val="20"/>
          <w:lang w:val="es-CL"/>
        </w:rPr>
        <w:t xml:space="preserve"> a </w:t>
      </w:r>
      <w:r w:rsidR="00627AAF" w:rsidRPr="00470C7C">
        <w:rPr>
          <w:rFonts w:cs="Arial"/>
          <w:iCs/>
          <w:szCs w:val="20"/>
          <w:lang w:val="es-CL"/>
        </w:rPr>
        <w:t>314</w:t>
      </w:r>
      <w:r w:rsidRPr="00470C7C">
        <w:rPr>
          <w:rFonts w:cs="Arial"/>
          <w:iCs/>
          <w:szCs w:val="20"/>
          <w:lang w:val="es-CL"/>
        </w:rPr>
        <w:t>). En este caso</w:t>
      </w:r>
      <w:r w:rsidR="00ED1731" w:rsidRPr="00470C7C">
        <w:rPr>
          <w:rFonts w:cs="Arial"/>
          <w:iCs/>
          <w:szCs w:val="20"/>
          <w:lang w:val="es-CL"/>
        </w:rPr>
        <w:t>,</w:t>
      </w:r>
      <w:r w:rsidRPr="00470C7C">
        <w:rPr>
          <w:rFonts w:cs="Arial"/>
          <w:iCs/>
          <w:szCs w:val="20"/>
          <w:lang w:val="es-CL"/>
        </w:rPr>
        <w:t xml:space="preserve"> la Corte no declara imprescriptible</w:t>
      </w:r>
      <w:r w:rsidR="00ED1731" w:rsidRPr="00470C7C">
        <w:rPr>
          <w:rFonts w:cs="Arial"/>
          <w:iCs/>
          <w:szCs w:val="20"/>
          <w:lang w:val="es-CL"/>
        </w:rPr>
        <w:t>,</w:t>
      </w:r>
      <w:r w:rsidRPr="00470C7C">
        <w:rPr>
          <w:rFonts w:cs="Arial"/>
          <w:iCs/>
          <w:szCs w:val="20"/>
          <w:lang w:val="es-CL"/>
        </w:rPr>
        <w:t xml:space="preserve"> de manera general</w:t>
      </w:r>
      <w:r w:rsidR="00ED1731" w:rsidRPr="00470C7C">
        <w:rPr>
          <w:rFonts w:cs="Arial"/>
          <w:iCs/>
          <w:szCs w:val="20"/>
          <w:lang w:val="es-CL"/>
        </w:rPr>
        <w:t>,</w:t>
      </w:r>
      <w:r w:rsidRPr="00470C7C">
        <w:rPr>
          <w:rFonts w:cs="Arial"/>
          <w:iCs/>
          <w:szCs w:val="20"/>
          <w:lang w:val="es-CL"/>
        </w:rPr>
        <w:t xml:space="preserve"> un delito previsto en el ordenamiento jurídico brasileño (el citado artículo 149)</w:t>
      </w:r>
      <w:r w:rsidR="00694537" w:rsidRPr="00470C7C">
        <w:rPr>
          <w:rStyle w:val="Refdenotaalpie"/>
          <w:iCs/>
          <w:lang w:val="es-CL"/>
        </w:rPr>
        <w:footnoteReference w:id="532"/>
      </w:r>
      <w:r w:rsidR="00126C03" w:rsidRPr="00470C7C">
        <w:rPr>
          <w:rFonts w:cs="Arial"/>
          <w:iCs/>
          <w:szCs w:val="20"/>
          <w:lang w:val="es-CL"/>
        </w:rPr>
        <w:t>, sino únicamente las conductas que constituyan esclavitud o una de sus formas análogas, conforme a lo dispuesto en esta Sentencia</w:t>
      </w:r>
      <w:r w:rsidRPr="00470C7C">
        <w:rPr>
          <w:rFonts w:cs="Arial"/>
          <w:iCs/>
          <w:szCs w:val="20"/>
          <w:lang w:val="es-CL"/>
        </w:rPr>
        <w:t>. La decisión de la Corte tiene</w:t>
      </w:r>
      <w:r w:rsidR="00126C03" w:rsidRPr="00470C7C">
        <w:rPr>
          <w:rFonts w:cs="Arial"/>
          <w:iCs/>
          <w:szCs w:val="20"/>
          <w:lang w:val="es-CL"/>
        </w:rPr>
        <w:t>,</w:t>
      </w:r>
      <w:r w:rsidRPr="00470C7C">
        <w:rPr>
          <w:rFonts w:cs="Arial"/>
          <w:iCs/>
          <w:szCs w:val="20"/>
          <w:lang w:val="es-CL"/>
        </w:rPr>
        <w:t xml:space="preserve"> obviamente</w:t>
      </w:r>
      <w:r w:rsidR="00126C03" w:rsidRPr="00470C7C">
        <w:rPr>
          <w:rFonts w:cs="Arial"/>
          <w:iCs/>
          <w:szCs w:val="20"/>
          <w:lang w:val="es-CL"/>
        </w:rPr>
        <w:t>,</w:t>
      </w:r>
      <w:r w:rsidRPr="00470C7C">
        <w:rPr>
          <w:rFonts w:cs="Arial"/>
          <w:iCs/>
          <w:szCs w:val="20"/>
          <w:lang w:val="es-CL"/>
        </w:rPr>
        <w:t xml:space="preserve"> el efecto de declarar que la</w:t>
      </w:r>
      <w:r w:rsidR="0067391F" w:rsidRPr="00470C7C">
        <w:rPr>
          <w:rFonts w:cs="Arial"/>
          <w:iCs/>
          <w:szCs w:val="20"/>
          <w:lang w:val="es-CL"/>
        </w:rPr>
        <w:t xml:space="preserve"> esclavitud y sus formas análogas </w:t>
      </w:r>
      <w:r w:rsidRPr="00470C7C">
        <w:rPr>
          <w:rFonts w:cs="Arial"/>
          <w:iCs/>
          <w:szCs w:val="20"/>
          <w:lang w:val="es-CL"/>
        </w:rPr>
        <w:t xml:space="preserve">son imprescriptibles, con independencia de si éstas corresponden a uno o más tipos penales bajo el ordenamiento interno brasileño. </w:t>
      </w:r>
      <w:r w:rsidRPr="00470C7C">
        <w:rPr>
          <w:rFonts w:cs="Arial"/>
          <w:iCs/>
          <w:szCs w:val="20"/>
          <w:lang w:val="es-ES_tradnl"/>
        </w:rPr>
        <w:t xml:space="preserve">En consecuencia, corresponde a este Tribunal ordenar al Estado que dentro de un plazo razonable a partir de la notificación de la presente Sentencia adopte las medidas legislativas necesarias para garantizar que la prescripción no sea aplicada a la reducción de personas a la esclavitud y a sus formas análogas, en el sentido dispuesto en los párrafos </w:t>
      </w:r>
      <w:r w:rsidR="008036A6" w:rsidRPr="00470C7C">
        <w:rPr>
          <w:rFonts w:cs="Arial"/>
          <w:iCs/>
          <w:szCs w:val="20"/>
          <w:lang w:val="es-ES_tradnl"/>
        </w:rPr>
        <w:t>269</w:t>
      </w:r>
      <w:r w:rsidRPr="00470C7C">
        <w:rPr>
          <w:rFonts w:cs="Arial"/>
          <w:iCs/>
          <w:szCs w:val="20"/>
          <w:lang w:val="es-ES_tradnl"/>
        </w:rPr>
        <w:t xml:space="preserve"> a </w:t>
      </w:r>
      <w:r w:rsidR="00627AAF" w:rsidRPr="00470C7C">
        <w:rPr>
          <w:rFonts w:cs="Arial"/>
          <w:iCs/>
          <w:szCs w:val="20"/>
          <w:lang w:val="es-ES_tradnl"/>
        </w:rPr>
        <w:t>314</w:t>
      </w:r>
      <w:r w:rsidRPr="00470C7C">
        <w:rPr>
          <w:rFonts w:cs="Arial"/>
          <w:iCs/>
          <w:szCs w:val="20"/>
          <w:lang w:val="es-ES_tradnl"/>
        </w:rPr>
        <w:t xml:space="preserve"> de la presente Sentencia.</w:t>
      </w:r>
    </w:p>
    <w:p w14:paraId="04FE4104" w14:textId="77777777" w:rsidR="004B0842" w:rsidRPr="00470C7C" w:rsidRDefault="004B0842" w:rsidP="004B0842">
      <w:pPr>
        <w:pStyle w:val="Prrafodelista"/>
        <w:autoSpaceDE w:val="0"/>
        <w:autoSpaceDN w:val="0"/>
        <w:adjustRightInd w:val="0"/>
        <w:ind w:left="0"/>
        <w:rPr>
          <w:rFonts w:cs="Arial"/>
          <w:i/>
          <w:iCs/>
          <w:szCs w:val="20"/>
          <w:lang w:val="es-ES_tradnl"/>
        </w:rPr>
      </w:pPr>
    </w:p>
    <w:p w14:paraId="2910FC83" w14:textId="77777777" w:rsidR="004B0842" w:rsidRPr="00470C7C" w:rsidRDefault="00E35960" w:rsidP="00863BF9">
      <w:pPr>
        <w:pStyle w:val="Ttulo3"/>
      </w:pPr>
      <w:bookmarkStart w:id="412" w:name="_Toc460433065"/>
      <w:bookmarkStart w:id="413" w:name="_Toc460441996"/>
      <w:bookmarkStart w:id="414" w:name="_Toc462751138"/>
      <w:bookmarkStart w:id="415" w:name="_Toc464813990"/>
      <w:r w:rsidRPr="00470C7C">
        <w:t>C.3</w:t>
      </w:r>
      <w:r w:rsidR="004B0842" w:rsidRPr="00470C7C">
        <w:t>.</w:t>
      </w:r>
      <w:r w:rsidR="004B0842" w:rsidRPr="00470C7C">
        <w:tab/>
        <w:t>Garantía de no repetición: definición de trata de personas</w:t>
      </w:r>
      <w:bookmarkEnd w:id="412"/>
      <w:bookmarkEnd w:id="413"/>
      <w:bookmarkEnd w:id="414"/>
      <w:bookmarkEnd w:id="415"/>
    </w:p>
    <w:p w14:paraId="0BB40110" w14:textId="77777777" w:rsidR="004B0842" w:rsidRPr="00470C7C" w:rsidRDefault="004B0842" w:rsidP="004B0842">
      <w:pPr>
        <w:pStyle w:val="Prrafodelista"/>
        <w:autoSpaceDE w:val="0"/>
        <w:autoSpaceDN w:val="0"/>
        <w:adjustRightInd w:val="0"/>
        <w:rPr>
          <w:rFonts w:cs="Arial"/>
          <w:iCs/>
          <w:szCs w:val="20"/>
          <w:lang w:val="es-ES_tradnl"/>
        </w:rPr>
      </w:pPr>
    </w:p>
    <w:p w14:paraId="139983A1"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señalaron que en Brasil se encuentra tipificada la trata de personas solamente para fines de explotación sexual. De acuerdo con lo establecido en el Protocolo de Palermo, el Estado debe tipificar el delito de trata de personas siguiendo estándares internacionales para incluir cualquier tipo de trata con fines de explotación económica.</w:t>
      </w:r>
    </w:p>
    <w:p w14:paraId="035B6F8A" w14:textId="77777777" w:rsidR="004B0842" w:rsidRPr="00470C7C" w:rsidRDefault="004B0842" w:rsidP="004B0842">
      <w:pPr>
        <w:pStyle w:val="Prrafodelista"/>
        <w:autoSpaceDE w:val="0"/>
        <w:autoSpaceDN w:val="0"/>
        <w:adjustRightInd w:val="0"/>
        <w:rPr>
          <w:rFonts w:cs="Arial"/>
          <w:iCs/>
          <w:szCs w:val="20"/>
          <w:lang w:val="es-ES_tradnl"/>
        </w:rPr>
      </w:pPr>
    </w:p>
    <w:p w14:paraId="65D2AF83"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alegó que esta petición se encuentra fuera de la jurisdicción de la Corte </w:t>
      </w:r>
      <w:proofErr w:type="spellStart"/>
      <w:r w:rsidRPr="00470C7C">
        <w:rPr>
          <w:rFonts w:cs="Arial"/>
          <w:i/>
          <w:iCs/>
          <w:szCs w:val="20"/>
          <w:lang w:val="es-CL"/>
        </w:rPr>
        <w:t>ratione</w:t>
      </w:r>
      <w:proofErr w:type="spellEnd"/>
      <w:r w:rsidRPr="00470C7C">
        <w:rPr>
          <w:rFonts w:cs="Arial"/>
          <w:i/>
          <w:iCs/>
          <w:szCs w:val="20"/>
          <w:lang w:val="es-CL"/>
        </w:rPr>
        <w:t xml:space="preserve"> </w:t>
      </w:r>
      <w:proofErr w:type="spellStart"/>
      <w:r w:rsidRPr="00470C7C">
        <w:rPr>
          <w:rFonts w:cs="Arial"/>
          <w:i/>
          <w:iCs/>
          <w:szCs w:val="20"/>
          <w:lang w:val="es-CL"/>
        </w:rPr>
        <w:t>materiae</w:t>
      </w:r>
      <w:proofErr w:type="spellEnd"/>
      <w:r w:rsidRPr="00470C7C">
        <w:rPr>
          <w:rFonts w:cs="Arial"/>
          <w:iCs/>
          <w:szCs w:val="20"/>
          <w:lang w:val="es-CL"/>
        </w:rPr>
        <w:t>. Señaló que los representantes no pueden solicitar a la Corte que declare eventuales incumplimientos de Brasil respecto a su obligación de criminalizar la trata de personas. Además, afirmó que el trabajo esclavo y la trata de personas son conceptos distintos y el presente caso se trata únicamente del primero</w:t>
      </w:r>
      <w:r w:rsidR="00126C03" w:rsidRPr="00470C7C">
        <w:rPr>
          <w:rFonts w:cs="Arial"/>
          <w:iCs/>
          <w:szCs w:val="20"/>
          <w:lang w:val="es-CL"/>
        </w:rPr>
        <w:t>.</w:t>
      </w:r>
      <w:r w:rsidRPr="00470C7C">
        <w:rPr>
          <w:rFonts w:cs="Arial"/>
          <w:iCs/>
          <w:szCs w:val="20"/>
          <w:lang w:val="es-CL"/>
        </w:rPr>
        <w:t xml:space="preserve"> </w:t>
      </w:r>
    </w:p>
    <w:p w14:paraId="5EA41F23" w14:textId="77777777" w:rsidR="004B0842" w:rsidRPr="00470C7C" w:rsidRDefault="004B0842" w:rsidP="004B0842">
      <w:pPr>
        <w:pStyle w:val="Prrafodelista"/>
        <w:autoSpaceDE w:val="0"/>
        <w:autoSpaceDN w:val="0"/>
        <w:adjustRightInd w:val="0"/>
        <w:rPr>
          <w:rFonts w:cs="Arial"/>
          <w:iCs/>
          <w:szCs w:val="20"/>
          <w:lang w:val="es-ES_tradnl"/>
        </w:rPr>
      </w:pPr>
    </w:p>
    <w:p w14:paraId="594B66CB"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La Corte considera que el hecho </w:t>
      </w:r>
      <w:r w:rsidR="00126C03" w:rsidRPr="00470C7C">
        <w:rPr>
          <w:rFonts w:cs="Arial"/>
          <w:iCs/>
          <w:szCs w:val="20"/>
          <w:lang w:val="es-CL"/>
        </w:rPr>
        <w:t xml:space="preserve">de </w:t>
      </w:r>
      <w:r w:rsidRPr="00470C7C">
        <w:rPr>
          <w:rFonts w:cs="Arial"/>
          <w:iCs/>
          <w:szCs w:val="20"/>
          <w:lang w:val="es-CL"/>
        </w:rPr>
        <w:t xml:space="preserve">que la trata esté tipificada únicamente para fines de explotación sexual no tuvo mayor </w:t>
      </w:r>
      <w:r w:rsidR="00D46004" w:rsidRPr="00470C7C">
        <w:rPr>
          <w:rFonts w:cs="Arial"/>
          <w:iCs/>
          <w:szCs w:val="20"/>
          <w:lang w:val="es-CL"/>
        </w:rPr>
        <w:t xml:space="preserve">incidencia </w:t>
      </w:r>
      <w:r w:rsidRPr="00470C7C">
        <w:rPr>
          <w:rFonts w:cs="Arial"/>
          <w:iCs/>
          <w:szCs w:val="20"/>
          <w:lang w:val="es-CL"/>
        </w:rPr>
        <w:t>en el presente caso.  A juicio de la Corte los supuestos de la trata de personas ocurrida en el presente caso se encuentran cubiertos por el artículo 207 del Código Penal que establece: “</w:t>
      </w:r>
      <w:r w:rsidRPr="00470C7C">
        <w:rPr>
          <w:rFonts w:cs="Arial"/>
          <w:iCs/>
          <w:szCs w:val="20"/>
        </w:rPr>
        <w:t>Reclutar mediante engaños trabajadores, con la finalidad de llevarlos de una localidad a otra del territorio nacional: Pena - detención de un a tres años, y multa</w:t>
      </w:r>
      <w:r w:rsidRPr="00470C7C">
        <w:rPr>
          <w:rFonts w:cs="Arial"/>
          <w:i/>
          <w:iCs/>
          <w:szCs w:val="20"/>
        </w:rPr>
        <w:t>”</w:t>
      </w:r>
      <w:r w:rsidRPr="00470C7C">
        <w:rPr>
          <w:rFonts w:cs="Arial"/>
          <w:iCs/>
          <w:szCs w:val="20"/>
        </w:rPr>
        <w:t>.</w:t>
      </w:r>
      <w:r w:rsidRPr="00470C7C">
        <w:rPr>
          <w:rFonts w:cs="Arial"/>
          <w:iCs/>
          <w:szCs w:val="20"/>
          <w:lang w:val="es-CL"/>
        </w:rPr>
        <w:t xml:space="preserve"> Este artículo fue efectivamente aplicado en la investigación iniciada luego de la fiscalización del año 1997 y fue objeto del proceso penal iniciado en esa oportunidad. Así, las eventuales deficiencias de la tipificación de la trata de personas no tuvieron consecuencias para la impunidad de las violaciones de derechos humanos identificadas en el capítulo </w:t>
      </w:r>
      <w:r w:rsidR="00126C03" w:rsidRPr="00470C7C">
        <w:rPr>
          <w:rFonts w:cs="Arial"/>
          <w:iCs/>
          <w:szCs w:val="20"/>
          <w:lang w:val="es-CL"/>
        </w:rPr>
        <w:t>VIII</w:t>
      </w:r>
      <w:r w:rsidRPr="00470C7C">
        <w:rPr>
          <w:rFonts w:cs="Arial"/>
          <w:iCs/>
          <w:szCs w:val="20"/>
          <w:lang w:val="es-CL"/>
        </w:rPr>
        <w:t xml:space="preserve">. Por lo anterior, la Corte estima que no puede acceder a la solicitud de los representantes </w:t>
      </w:r>
      <w:r w:rsidR="00126C03" w:rsidRPr="00470C7C">
        <w:rPr>
          <w:rFonts w:cs="Arial"/>
          <w:iCs/>
          <w:szCs w:val="20"/>
          <w:lang w:val="es-CL"/>
        </w:rPr>
        <w:t xml:space="preserve">relativa </w:t>
      </w:r>
      <w:r w:rsidRPr="00470C7C">
        <w:rPr>
          <w:rFonts w:cs="Arial"/>
          <w:iCs/>
          <w:szCs w:val="20"/>
          <w:lang w:val="es-CL"/>
        </w:rPr>
        <w:t>a que Brasil modifique la definición del delito de trata de personas en su derecho interno.</w:t>
      </w:r>
    </w:p>
    <w:p w14:paraId="3CB354DC" w14:textId="77777777" w:rsidR="004B0842" w:rsidRPr="00470C7C" w:rsidRDefault="004B0842" w:rsidP="004B0842">
      <w:pPr>
        <w:pStyle w:val="Prrafodelista"/>
        <w:autoSpaceDE w:val="0"/>
        <w:autoSpaceDN w:val="0"/>
        <w:adjustRightInd w:val="0"/>
        <w:ind w:left="0"/>
        <w:rPr>
          <w:rFonts w:cs="Arial"/>
          <w:i/>
          <w:iCs/>
          <w:szCs w:val="20"/>
          <w:lang w:val="es-ES_tradnl"/>
        </w:rPr>
      </w:pPr>
    </w:p>
    <w:p w14:paraId="46CB50F7" w14:textId="77777777" w:rsidR="004B0842" w:rsidRPr="00470C7C" w:rsidRDefault="00E35960" w:rsidP="00863BF9">
      <w:pPr>
        <w:pStyle w:val="Ttulo3"/>
        <w:rPr>
          <w:lang w:val="es-ES_tradnl"/>
        </w:rPr>
      </w:pPr>
      <w:bookmarkStart w:id="416" w:name="_Toc460433066"/>
      <w:bookmarkStart w:id="417" w:name="_Toc460441997"/>
      <w:bookmarkStart w:id="418" w:name="_Toc462751139"/>
      <w:bookmarkStart w:id="419" w:name="_Toc464813991"/>
      <w:r w:rsidRPr="00470C7C">
        <w:t>C.4</w:t>
      </w:r>
      <w:r w:rsidR="004B0842" w:rsidRPr="00470C7C">
        <w:t>.</w:t>
      </w:r>
      <w:r w:rsidR="004B0842" w:rsidRPr="00470C7C">
        <w:tab/>
        <w:t>Garantía de no repetición: proyectos de ley pendientes y proporcionalidad de la pena</w:t>
      </w:r>
      <w:bookmarkEnd w:id="416"/>
      <w:bookmarkEnd w:id="417"/>
      <w:bookmarkEnd w:id="418"/>
      <w:bookmarkEnd w:id="419"/>
    </w:p>
    <w:p w14:paraId="00EDF3CB" w14:textId="77777777" w:rsidR="004B0842" w:rsidRPr="00470C7C" w:rsidRDefault="004B0842" w:rsidP="004B0842">
      <w:pPr>
        <w:pStyle w:val="Prrafodelista"/>
        <w:autoSpaceDE w:val="0"/>
        <w:autoSpaceDN w:val="0"/>
        <w:adjustRightInd w:val="0"/>
        <w:rPr>
          <w:rFonts w:cs="Arial"/>
          <w:iCs/>
          <w:szCs w:val="20"/>
          <w:lang w:val="es-ES_tradnl"/>
        </w:rPr>
      </w:pPr>
    </w:p>
    <w:p w14:paraId="43AE60FA"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señalaron que actualmente se encuentra en tramitación un proyecto de ley que intenta reducir el alcance del delito de trabajo esclavo al eliminar las menciones a “jornada exhaustiva” y a “condiciones denigrantes de trabajo”. En consideración al principio de irreversibilidad de los derechos fundamentales, los representantes solicitaron que Brasil se abstenga de adoptar medidas legislativas que signifiquen un retroceso en el combate al trabajo esclavo. Adicionalmente, señalaron que las penas establecidas para el delito de trabajo esclavo, dos a ocho años de cárcel, son demasiado bajas y solicitaron que el Estado establezca nuevas penas más efectivas y proporcionales a la gravedad de los hechos.</w:t>
      </w:r>
    </w:p>
    <w:p w14:paraId="13CB3370" w14:textId="77777777" w:rsidR="004B0842" w:rsidRPr="00470C7C" w:rsidRDefault="004B0842" w:rsidP="004B0842">
      <w:pPr>
        <w:pStyle w:val="Prrafodelista"/>
        <w:autoSpaceDE w:val="0"/>
        <w:autoSpaceDN w:val="0"/>
        <w:adjustRightInd w:val="0"/>
        <w:rPr>
          <w:rFonts w:cs="Arial"/>
          <w:iCs/>
          <w:szCs w:val="20"/>
          <w:lang w:val="es-ES_tradnl"/>
        </w:rPr>
      </w:pPr>
    </w:p>
    <w:p w14:paraId="7580FBBE"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alegó que la Corte no puede pronunciarse sobre la proporcionalidad en abstracto de la pena asignada al delito de trabajo esclavo y que los representantes no indicaron parámetros interamericanos violados por Brasil. Señaló también que la proporcionalidad de la pena solo puede ser considerada respecto a un caso concreto y que el rango de dos a ocho años establecido en la legislación brasileña permite enfrentar diferenciadamente los distintos niveles de gravedad de las conductas típicas recogidas en el delito de trabajo esclavo.    </w:t>
      </w:r>
    </w:p>
    <w:p w14:paraId="7046A0BB" w14:textId="77777777" w:rsidR="004B0842" w:rsidRPr="00470C7C" w:rsidRDefault="004B0842" w:rsidP="004B0842">
      <w:pPr>
        <w:pStyle w:val="Prrafodelista"/>
        <w:autoSpaceDE w:val="0"/>
        <w:autoSpaceDN w:val="0"/>
        <w:adjustRightInd w:val="0"/>
        <w:rPr>
          <w:rFonts w:cs="Arial"/>
          <w:iCs/>
          <w:szCs w:val="20"/>
          <w:lang w:val="es-ES_tradnl"/>
        </w:rPr>
      </w:pPr>
    </w:p>
    <w:p w14:paraId="609117BF" w14:textId="77777777" w:rsidR="008E5198" w:rsidRPr="00470C7C" w:rsidRDefault="00126C03" w:rsidP="00C30FB8">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Corte nota que, </w:t>
      </w:r>
      <w:r w:rsidRPr="00470C7C">
        <w:rPr>
          <w:rFonts w:cs="Arial"/>
          <w:iCs/>
          <w:szCs w:val="20"/>
          <w:lang w:val="es-CL"/>
        </w:rPr>
        <w:t>e</w:t>
      </w:r>
      <w:r w:rsidR="004B0842" w:rsidRPr="00470C7C">
        <w:rPr>
          <w:rFonts w:cs="Arial"/>
          <w:iCs/>
          <w:szCs w:val="20"/>
          <w:lang w:val="es-CL"/>
        </w:rPr>
        <w:t>n términos generales</w:t>
      </w:r>
      <w:r w:rsidRPr="00470C7C">
        <w:rPr>
          <w:rFonts w:cs="Arial"/>
          <w:iCs/>
          <w:szCs w:val="20"/>
          <w:lang w:val="es-CL"/>
        </w:rPr>
        <w:t>,</w:t>
      </w:r>
      <w:r w:rsidR="004B0842" w:rsidRPr="00470C7C">
        <w:rPr>
          <w:rFonts w:cs="Arial"/>
          <w:iCs/>
          <w:szCs w:val="20"/>
          <w:lang w:val="es-CL"/>
        </w:rPr>
        <w:t xml:space="preserve"> no tiene facultades para intervenir en el debate legislativo interno de los Estados. Además, pronunciarse sobre un proyecto de ley, cualquiera sea su contenido, representa una actuación abstracta que no tiene relación con la afectación concreta de los derechos garantizados por la Convención Americana. En ese sentido, la Corte considera que no puede aceptar la solicitud de los representantes relativa a los </w:t>
      </w:r>
      <w:r w:rsidRPr="00470C7C">
        <w:rPr>
          <w:rFonts w:cs="Arial"/>
          <w:iCs/>
          <w:szCs w:val="20"/>
          <w:lang w:val="es-CL"/>
        </w:rPr>
        <w:t xml:space="preserve">referidos </w:t>
      </w:r>
      <w:r w:rsidR="004B0842" w:rsidRPr="00470C7C">
        <w:rPr>
          <w:rFonts w:cs="Arial"/>
          <w:iCs/>
          <w:szCs w:val="20"/>
          <w:lang w:val="es-CL"/>
        </w:rPr>
        <w:t xml:space="preserve">proyectos de ley.   </w:t>
      </w:r>
    </w:p>
    <w:p w14:paraId="3948F74B" w14:textId="77777777" w:rsidR="0012698E" w:rsidRPr="00470C7C" w:rsidRDefault="0012698E" w:rsidP="00ED3AD0">
      <w:pPr>
        <w:pStyle w:val="Prrafodelista"/>
        <w:autoSpaceDE w:val="0"/>
        <w:autoSpaceDN w:val="0"/>
        <w:adjustRightInd w:val="0"/>
        <w:ind w:left="0"/>
        <w:rPr>
          <w:rFonts w:cs="Arial"/>
          <w:i/>
          <w:iCs/>
          <w:szCs w:val="20"/>
          <w:lang w:val="es-ES_tradnl"/>
        </w:rPr>
      </w:pPr>
    </w:p>
    <w:p w14:paraId="3F43CA38" w14:textId="77777777" w:rsidR="0012698E" w:rsidRPr="00470C7C" w:rsidRDefault="0012698E" w:rsidP="004B0842">
      <w:pPr>
        <w:pStyle w:val="Prrafodelista"/>
        <w:numPr>
          <w:ilvl w:val="0"/>
          <w:numId w:val="1"/>
        </w:numPr>
        <w:autoSpaceDE w:val="0"/>
        <w:autoSpaceDN w:val="0"/>
        <w:adjustRightInd w:val="0"/>
        <w:rPr>
          <w:rFonts w:cs="Arial"/>
          <w:i/>
          <w:iCs/>
          <w:szCs w:val="20"/>
          <w:lang w:val="es-ES_tradnl"/>
        </w:rPr>
      </w:pPr>
      <w:r w:rsidRPr="00470C7C">
        <w:rPr>
          <w:rFonts w:cs="Arial"/>
          <w:iCs/>
          <w:szCs w:val="20"/>
          <w:lang w:val="es-ES_tradnl"/>
        </w:rPr>
        <w:t>En relación con la proporcionalidad de la pena del delito de reducción de alguien a situación análoga a la de esclavo, la Corte considera que las penas de un delito como ese debe</w:t>
      </w:r>
      <w:r w:rsidR="00126C03" w:rsidRPr="00470C7C">
        <w:rPr>
          <w:rFonts w:cs="Arial"/>
          <w:iCs/>
          <w:szCs w:val="20"/>
          <w:lang w:val="es-ES_tradnl"/>
        </w:rPr>
        <w:t>n</w:t>
      </w:r>
      <w:r w:rsidRPr="00470C7C">
        <w:rPr>
          <w:rFonts w:cs="Arial"/>
          <w:iCs/>
          <w:szCs w:val="20"/>
          <w:lang w:val="es-ES_tradnl"/>
        </w:rPr>
        <w:t xml:space="preserve"> ser proporcional</w:t>
      </w:r>
      <w:r w:rsidR="00126C03" w:rsidRPr="00470C7C">
        <w:rPr>
          <w:rFonts w:cs="Arial"/>
          <w:iCs/>
          <w:szCs w:val="20"/>
          <w:lang w:val="es-ES_tradnl"/>
        </w:rPr>
        <w:t>es</w:t>
      </w:r>
      <w:r w:rsidRPr="00470C7C">
        <w:rPr>
          <w:rFonts w:cs="Arial"/>
          <w:iCs/>
          <w:szCs w:val="20"/>
          <w:lang w:val="es-ES_tradnl"/>
        </w:rPr>
        <w:t xml:space="preserve"> a la gravedad de la</w:t>
      </w:r>
      <w:r w:rsidR="00033BDD" w:rsidRPr="00470C7C">
        <w:rPr>
          <w:rFonts w:cs="Arial"/>
          <w:iCs/>
          <w:szCs w:val="20"/>
          <w:lang w:val="es-ES_tradnl"/>
        </w:rPr>
        <w:t>s</w:t>
      </w:r>
      <w:r w:rsidRPr="00470C7C">
        <w:rPr>
          <w:rFonts w:cs="Arial"/>
          <w:iCs/>
          <w:szCs w:val="20"/>
          <w:lang w:val="es-ES_tradnl"/>
        </w:rPr>
        <w:t xml:space="preserve"> violaciones de derechos humanos involucradas. Sin embargo, determinar </w:t>
      </w:r>
      <w:r w:rsidR="002C2EA9" w:rsidRPr="00470C7C">
        <w:rPr>
          <w:rFonts w:cs="Arial"/>
          <w:iCs/>
          <w:szCs w:val="20"/>
          <w:lang w:val="es-ES_tradnl"/>
        </w:rPr>
        <w:t>cuál</w:t>
      </w:r>
      <w:r w:rsidRPr="00470C7C">
        <w:rPr>
          <w:rFonts w:cs="Arial"/>
          <w:iCs/>
          <w:szCs w:val="20"/>
          <w:lang w:val="es-ES_tradnl"/>
        </w:rPr>
        <w:t xml:space="preserve"> es la pena adecuada para este delito no es una tarea </w:t>
      </w:r>
      <w:r w:rsidR="002C2EA9" w:rsidRPr="00470C7C">
        <w:rPr>
          <w:rFonts w:cs="Arial"/>
          <w:iCs/>
          <w:szCs w:val="20"/>
          <w:lang w:val="es-ES_tradnl"/>
        </w:rPr>
        <w:t xml:space="preserve">propia de </w:t>
      </w:r>
      <w:r w:rsidR="002156E6" w:rsidRPr="00470C7C">
        <w:rPr>
          <w:rFonts w:cs="Arial"/>
          <w:iCs/>
          <w:szCs w:val="20"/>
          <w:lang w:val="es-ES_tradnl"/>
        </w:rPr>
        <w:t xml:space="preserve">un Tribunal </w:t>
      </w:r>
      <w:r w:rsidR="00A3477B" w:rsidRPr="00470C7C">
        <w:rPr>
          <w:rFonts w:cs="Arial"/>
          <w:iCs/>
          <w:szCs w:val="20"/>
          <w:lang w:val="es-ES_tradnl"/>
        </w:rPr>
        <w:t>internacional</w:t>
      </w:r>
      <w:r w:rsidRPr="00470C7C">
        <w:rPr>
          <w:rFonts w:cs="Arial"/>
          <w:iCs/>
          <w:szCs w:val="20"/>
          <w:lang w:val="es-ES_tradnl"/>
        </w:rPr>
        <w:t xml:space="preserve">. En este </w:t>
      </w:r>
      <w:r w:rsidR="00703F32" w:rsidRPr="00470C7C">
        <w:rPr>
          <w:rFonts w:cs="Arial"/>
          <w:iCs/>
          <w:szCs w:val="20"/>
          <w:lang w:val="es-ES_tradnl"/>
        </w:rPr>
        <w:t>sentido</w:t>
      </w:r>
      <w:r w:rsidRPr="00470C7C">
        <w:rPr>
          <w:rFonts w:cs="Arial"/>
          <w:iCs/>
          <w:szCs w:val="20"/>
          <w:lang w:val="es-ES_tradnl"/>
        </w:rPr>
        <w:t>, la</w:t>
      </w:r>
      <w:r w:rsidR="00033BDD" w:rsidRPr="00470C7C">
        <w:rPr>
          <w:rFonts w:cs="Arial"/>
          <w:iCs/>
          <w:szCs w:val="20"/>
          <w:lang w:val="es-ES_tradnl"/>
        </w:rPr>
        <w:t xml:space="preserve"> Corte nota que la</w:t>
      </w:r>
      <w:r w:rsidRPr="00470C7C">
        <w:rPr>
          <w:rFonts w:cs="Arial"/>
          <w:iCs/>
          <w:szCs w:val="20"/>
          <w:lang w:val="es-ES_tradnl"/>
        </w:rPr>
        <w:t xml:space="preserve"> legislación comparada de los Estados de la región no ofrece una referencia </w:t>
      </w:r>
      <w:r w:rsidR="003E7CCD" w:rsidRPr="00470C7C">
        <w:rPr>
          <w:rFonts w:cs="Arial"/>
          <w:iCs/>
          <w:szCs w:val="20"/>
          <w:lang w:val="es-ES_tradnl"/>
        </w:rPr>
        <w:t>clara</w:t>
      </w:r>
      <w:r w:rsidRPr="00470C7C">
        <w:rPr>
          <w:rFonts w:cs="Arial"/>
          <w:iCs/>
          <w:szCs w:val="20"/>
          <w:lang w:val="es-ES_tradnl"/>
        </w:rPr>
        <w:t xml:space="preserve"> </w:t>
      </w:r>
      <w:r w:rsidR="003E7CCD" w:rsidRPr="00470C7C">
        <w:rPr>
          <w:rFonts w:cs="Arial"/>
          <w:iCs/>
          <w:szCs w:val="20"/>
          <w:lang w:val="es-ES_tradnl"/>
        </w:rPr>
        <w:t>respecto a la pena que debe establecerse en estos casos</w:t>
      </w:r>
      <w:r w:rsidRPr="00470C7C">
        <w:rPr>
          <w:rFonts w:cs="Arial"/>
          <w:iCs/>
          <w:szCs w:val="20"/>
          <w:lang w:val="es-ES_tradnl"/>
        </w:rPr>
        <w:t>. Los Estados que sí tienen un delito específico de trabajo esclavo no son sustancialmente coincidentes en cuanto a la duración mínima y máxima de las penas. De esta manera, la Corte estima que</w:t>
      </w:r>
      <w:r w:rsidR="009D4E5C" w:rsidRPr="00470C7C">
        <w:rPr>
          <w:rFonts w:cs="Arial"/>
          <w:iCs/>
          <w:szCs w:val="20"/>
          <w:lang w:val="es-ES_tradnl"/>
        </w:rPr>
        <w:t xml:space="preserve"> es facultad del Estado determinar</w:t>
      </w:r>
      <w:r w:rsidRPr="00470C7C">
        <w:rPr>
          <w:rFonts w:cs="Arial"/>
          <w:iCs/>
          <w:szCs w:val="20"/>
          <w:lang w:val="es-ES_tradnl"/>
        </w:rPr>
        <w:t xml:space="preserve"> la pena mínima para esa cond</w:t>
      </w:r>
      <w:r w:rsidR="009D4E5C" w:rsidRPr="00470C7C">
        <w:rPr>
          <w:rFonts w:cs="Arial"/>
          <w:iCs/>
          <w:szCs w:val="20"/>
          <w:lang w:val="es-ES_tradnl"/>
        </w:rPr>
        <w:t xml:space="preserve">ucta en su legislación penal; y que corresponde a la esfera de competencia </w:t>
      </w:r>
      <w:r w:rsidRPr="00470C7C">
        <w:rPr>
          <w:rFonts w:cs="Arial"/>
          <w:iCs/>
          <w:szCs w:val="20"/>
          <w:lang w:val="es-ES_tradnl"/>
        </w:rPr>
        <w:t>del Estado</w:t>
      </w:r>
      <w:r w:rsidR="007641E1" w:rsidRPr="00470C7C">
        <w:rPr>
          <w:rFonts w:cs="Arial"/>
          <w:iCs/>
          <w:szCs w:val="20"/>
          <w:lang w:val="es-ES_tradnl"/>
        </w:rPr>
        <w:t xml:space="preserve"> la definición del </w:t>
      </w:r>
      <w:r w:rsidR="00A3477B" w:rsidRPr="00470C7C">
        <w:rPr>
          <w:rFonts w:cs="Arial"/>
          <w:iCs/>
          <w:szCs w:val="20"/>
          <w:lang w:val="es-ES_tradnl"/>
        </w:rPr>
        <w:t>quantum</w:t>
      </w:r>
      <w:r w:rsidR="007641E1" w:rsidRPr="00470C7C">
        <w:rPr>
          <w:rFonts w:cs="Arial"/>
          <w:iCs/>
          <w:szCs w:val="20"/>
          <w:lang w:val="es-ES_tradnl"/>
        </w:rPr>
        <w:t xml:space="preserve"> de las penas</w:t>
      </w:r>
      <w:r w:rsidRPr="00470C7C">
        <w:rPr>
          <w:rFonts w:cs="Arial"/>
          <w:iCs/>
          <w:szCs w:val="20"/>
          <w:lang w:val="es-ES_tradnl"/>
        </w:rPr>
        <w:t>, por estar</w:t>
      </w:r>
      <w:r w:rsidR="00B54FB3" w:rsidRPr="00470C7C">
        <w:rPr>
          <w:rFonts w:cs="Arial"/>
          <w:iCs/>
          <w:szCs w:val="20"/>
          <w:lang w:val="es-ES_tradnl"/>
        </w:rPr>
        <w:t xml:space="preserve"> este </w:t>
      </w:r>
      <w:r w:rsidRPr="00470C7C">
        <w:rPr>
          <w:rFonts w:cs="Arial"/>
          <w:iCs/>
          <w:szCs w:val="20"/>
          <w:lang w:val="es-ES_tradnl"/>
        </w:rPr>
        <w:t>mejor situado para definirlo.</w:t>
      </w:r>
    </w:p>
    <w:p w14:paraId="26B1953F" w14:textId="77777777" w:rsidR="004B0842" w:rsidRPr="00470C7C" w:rsidRDefault="004B0842" w:rsidP="004B0842">
      <w:pPr>
        <w:pStyle w:val="Prrafodelista"/>
        <w:autoSpaceDE w:val="0"/>
        <w:autoSpaceDN w:val="0"/>
        <w:adjustRightInd w:val="0"/>
        <w:rPr>
          <w:rFonts w:cs="Arial"/>
          <w:i/>
          <w:iCs/>
          <w:szCs w:val="20"/>
          <w:lang w:val="es-ES_tradnl"/>
        </w:rPr>
      </w:pPr>
      <w:r w:rsidRPr="00470C7C">
        <w:rPr>
          <w:rFonts w:cs="Arial"/>
          <w:i/>
          <w:iCs/>
          <w:szCs w:val="20"/>
          <w:lang w:val="es-ES_tradnl"/>
        </w:rPr>
        <w:t xml:space="preserve"> </w:t>
      </w:r>
    </w:p>
    <w:p w14:paraId="05B74FA2" w14:textId="77777777" w:rsidR="004B0842" w:rsidRPr="00470C7C" w:rsidRDefault="00E35960" w:rsidP="00863BF9">
      <w:pPr>
        <w:pStyle w:val="Ttulo3"/>
      </w:pPr>
      <w:bookmarkStart w:id="420" w:name="_Toc460433067"/>
      <w:bookmarkStart w:id="421" w:name="_Toc460441998"/>
      <w:bookmarkStart w:id="422" w:name="_Toc462751140"/>
      <w:bookmarkStart w:id="423" w:name="_Toc464813992"/>
      <w:r w:rsidRPr="00470C7C">
        <w:t>C.5</w:t>
      </w:r>
      <w:r w:rsidR="004B0842" w:rsidRPr="00470C7C">
        <w:t>.</w:t>
      </w:r>
      <w:r w:rsidR="004B0842" w:rsidRPr="00470C7C">
        <w:tab/>
        <w:t>Garantía de no repetición: Políticas públicas</w:t>
      </w:r>
      <w:bookmarkEnd w:id="420"/>
      <w:bookmarkEnd w:id="421"/>
      <w:bookmarkEnd w:id="422"/>
      <w:bookmarkEnd w:id="423"/>
      <w:r w:rsidR="004B0842" w:rsidRPr="00470C7C">
        <w:t xml:space="preserve">   </w:t>
      </w:r>
    </w:p>
    <w:p w14:paraId="6476A0BD" w14:textId="77777777" w:rsidR="004B0842" w:rsidRPr="00470C7C" w:rsidRDefault="004B0842" w:rsidP="004B0842">
      <w:pPr>
        <w:pStyle w:val="Prrafodelista"/>
        <w:autoSpaceDE w:val="0"/>
        <w:autoSpaceDN w:val="0"/>
        <w:adjustRightInd w:val="0"/>
        <w:rPr>
          <w:rFonts w:cs="Arial"/>
          <w:iCs/>
          <w:szCs w:val="20"/>
          <w:lang w:val="es-ES_tradnl"/>
        </w:rPr>
      </w:pPr>
    </w:p>
    <w:p w14:paraId="360156EA"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w:t>
      </w:r>
      <w:r w:rsidRPr="00470C7C">
        <w:rPr>
          <w:rFonts w:cs="Arial"/>
          <w:b/>
          <w:i/>
          <w:iCs/>
          <w:szCs w:val="20"/>
          <w:lang w:val="es-ES_tradnl"/>
        </w:rPr>
        <w:t>Comisión</w:t>
      </w:r>
      <w:r w:rsidRPr="00470C7C">
        <w:rPr>
          <w:rFonts w:cs="Arial"/>
          <w:iCs/>
          <w:szCs w:val="20"/>
          <w:lang w:val="es-ES_tradnl"/>
        </w:rPr>
        <w:t xml:space="preserve"> solicitó que el Estado adoptara una serie de políticas públicas para prevenir y castigar el trabajo esclavo. Entre éstas destacan: i) </w:t>
      </w:r>
      <w:r w:rsidR="00126C03" w:rsidRPr="00470C7C">
        <w:rPr>
          <w:rFonts w:cs="Arial"/>
          <w:iCs/>
          <w:szCs w:val="20"/>
          <w:lang w:val="es-ES_tradnl"/>
        </w:rPr>
        <w:t xml:space="preserve">la </w:t>
      </w:r>
      <w:r w:rsidRPr="00470C7C">
        <w:rPr>
          <w:rFonts w:cs="Arial"/>
          <w:iCs/>
          <w:szCs w:val="20"/>
          <w:lang w:val="es-ES"/>
        </w:rPr>
        <w:t>implementación continúa de las políticas públicas así como medidas legislativas y de otra índole para la erradicación del trabajo esclavo</w:t>
      </w:r>
      <w:r w:rsidR="00126C03" w:rsidRPr="00470C7C">
        <w:rPr>
          <w:rFonts w:cs="Arial"/>
          <w:iCs/>
          <w:szCs w:val="20"/>
          <w:lang w:val="es-ES"/>
        </w:rPr>
        <w:t>; e</w:t>
      </w:r>
      <w:r w:rsidRPr="00470C7C">
        <w:rPr>
          <w:rFonts w:cs="Arial"/>
          <w:iCs/>
          <w:szCs w:val="20"/>
          <w:lang w:val="es-ES"/>
        </w:rPr>
        <w:t xml:space="preserve">n especial, el Estado debe monitorear la aplicación y sanción de personas responsables de trabajo esclavo, en todos los niveles; </w:t>
      </w:r>
      <w:proofErr w:type="spellStart"/>
      <w:r w:rsidRPr="00470C7C">
        <w:rPr>
          <w:rFonts w:cs="Arial"/>
          <w:iCs/>
          <w:szCs w:val="20"/>
          <w:lang w:val="es-ES"/>
        </w:rPr>
        <w:t>ii</w:t>
      </w:r>
      <w:proofErr w:type="spellEnd"/>
      <w:r w:rsidRPr="00470C7C">
        <w:rPr>
          <w:rFonts w:cs="Arial"/>
          <w:iCs/>
          <w:szCs w:val="20"/>
          <w:lang w:val="es-ES"/>
        </w:rPr>
        <w:t xml:space="preserve">) </w:t>
      </w:r>
      <w:r w:rsidR="00126C03" w:rsidRPr="00470C7C">
        <w:rPr>
          <w:rFonts w:cs="Arial"/>
          <w:iCs/>
          <w:szCs w:val="20"/>
          <w:lang w:val="es-ES"/>
        </w:rPr>
        <w:t>el f</w:t>
      </w:r>
      <w:r w:rsidRPr="00470C7C">
        <w:rPr>
          <w:rFonts w:cs="Arial"/>
          <w:iCs/>
          <w:szCs w:val="20"/>
          <w:lang w:val="es-ES"/>
        </w:rPr>
        <w:t xml:space="preserve">ortalecimiento del sistema legal y </w:t>
      </w:r>
      <w:r w:rsidR="00126C03" w:rsidRPr="00470C7C">
        <w:rPr>
          <w:rFonts w:cs="Arial"/>
          <w:iCs/>
          <w:szCs w:val="20"/>
          <w:lang w:val="es-ES"/>
        </w:rPr>
        <w:t xml:space="preserve">la </w:t>
      </w:r>
      <w:r w:rsidRPr="00470C7C">
        <w:rPr>
          <w:rFonts w:cs="Arial"/>
          <w:iCs/>
          <w:szCs w:val="20"/>
          <w:lang w:val="es-ES"/>
        </w:rPr>
        <w:t xml:space="preserve">creación </w:t>
      </w:r>
      <w:r w:rsidR="00126C03" w:rsidRPr="00470C7C">
        <w:rPr>
          <w:rFonts w:cs="Arial"/>
          <w:iCs/>
          <w:szCs w:val="20"/>
          <w:lang w:val="es-ES"/>
        </w:rPr>
        <w:t xml:space="preserve">de </w:t>
      </w:r>
      <w:r w:rsidRPr="00470C7C">
        <w:rPr>
          <w:rFonts w:cs="Arial"/>
          <w:iCs/>
          <w:szCs w:val="20"/>
          <w:lang w:val="es-ES"/>
        </w:rPr>
        <w:t xml:space="preserve">mecanismos de coordinación entre la jurisdicción penal y la jurisdicción laboral para superar los vacíos que se generan en la investigación, procesamiento y sanción de las personas responsables de los delitos de servidumbre y trabajo forzoso; </w:t>
      </w:r>
      <w:proofErr w:type="spellStart"/>
      <w:r w:rsidRPr="00470C7C">
        <w:rPr>
          <w:rFonts w:cs="Arial"/>
          <w:iCs/>
          <w:szCs w:val="20"/>
          <w:lang w:val="es-ES"/>
        </w:rPr>
        <w:t>iii</w:t>
      </w:r>
      <w:proofErr w:type="spellEnd"/>
      <w:r w:rsidRPr="00470C7C">
        <w:rPr>
          <w:rFonts w:cs="Arial"/>
          <w:iCs/>
          <w:szCs w:val="20"/>
          <w:lang w:val="es-ES"/>
        </w:rPr>
        <w:t xml:space="preserve">) </w:t>
      </w:r>
      <w:r w:rsidR="00126C03" w:rsidRPr="00470C7C">
        <w:rPr>
          <w:rFonts w:cs="Arial"/>
          <w:iCs/>
          <w:szCs w:val="20"/>
          <w:lang w:val="es-ES"/>
        </w:rPr>
        <w:t>el a</w:t>
      </w:r>
      <w:r w:rsidRPr="00470C7C">
        <w:rPr>
          <w:rFonts w:cs="Arial"/>
          <w:iCs/>
          <w:szCs w:val="20"/>
          <w:lang w:val="es-ES"/>
        </w:rPr>
        <w:t>seguramiento del estricto cumplimiento de las leyes laborales relativas a las jornadas laborales y el pago en igualdad con los demás trabajadores asalariados</w:t>
      </w:r>
      <w:r w:rsidR="00126C03" w:rsidRPr="00470C7C">
        <w:rPr>
          <w:rFonts w:cs="Arial"/>
          <w:iCs/>
          <w:szCs w:val="20"/>
          <w:lang w:val="es-ES"/>
        </w:rPr>
        <w:t>,</w:t>
      </w:r>
      <w:r w:rsidRPr="00470C7C">
        <w:rPr>
          <w:rFonts w:cs="Arial"/>
          <w:iCs/>
          <w:szCs w:val="20"/>
          <w:lang w:val="es-ES"/>
        </w:rPr>
        <w:t xml:space="preserve"> y </w:t>
      </w:r>
      <w:proofErr w:type="spellStart"/>
      <w:r w:rsidRPr="00470C7C">
        <w:rPr>
          <w:rFonts w:cs="Arial"/>
          <w:iCs/>
          <w:szCs w:val="20"/>
          <w:lang w:val="es-ES"/>
        </w:rPr>
        <w:t>iv</w:t>
      </w:r>
      <w:proofErr w:type="spellEnd"/>
      <w:r w:rsidRPr="00470C7C">
        <w:rPr>
          <w:rFonts w:cs="Arial"/>
          <w:iCs/>
          <w:szCs w:val="20"/>
          <w:lang w:val="es-ES"/>
        </w:rPr>
        <w:t xml:space="preserve">) </w:t>
      </w:r>
      <w:r w:rsidR="00126C03" w:rsidRPr="00470C7C">
        <w:rPr>
          <w:rFonts w:cs="Arial"/>
          <w:iCs/>
          <w:szCs w:val="20"/>
          <w:lang w:val="es-ES"/>
        </w:rPr>
        <w:t>la a</w:t>
      </w:r>
      <w:r w:rsidRPr="00470C7C">
        <w:rPr>
          <w:rFonts w:cs="Arial"/>
          <w:iCs/>
          <w:szCs w:val="20"/>
          <w:lang w:val="es-ES"/>
        </w:rPr>
        <w:t>dopción de las medidas necesarias para erradicar todo tipo de discriminación racial, particularmente llevar a cabo campañas de promoción para concientizar a la población nacional y funcionarios del Estado, incluidos los operadores de justicia, sobre la discriminación y el sometimiento a servidumbre y trabajo forzoso</w:t>
      </w:r>
      <w:r w:rsidRPr="00470C7C">
        <w:rPr>
          <w:rFonts w:cs="Arial"/>
          <w:iCs/>
          <w:szCs w:val="20"/>
          <w:lang w:val="es-ES_tradnl"/>
        </w:rPr>
        <w:t>.</w:t>
      </w:r>
    </w:p>
    <w:p w14:paraId="6C702A31" w14:textId="77777777" w:rsidR="004B0842" w:rsidRPr="00470C7C" w:rsidRDefault="004B0842" w:rsidP="004B0842">
      <w:pPr>
        <w:pStyle w:val="Prrafodelista"/>
        <w:autoSpaceDE w:val="0"/>
        <w:autoSpaceDN w:val="0"/>
        <w:adjustRightInd w:val="0"/>
        <w:rPr>
          <w:rFonts w:cs="Arial"/>
          <w:iCs/>
          <w:szCs w:val="20"/>
          <w:lang w:val="es-ES_tradnl"/>
        </w:rPr>
      </w:pPr>
    </w:p>
    <w:p w14:paraId="260F9C2E"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solicitaron a la Corte que ordene al Estado establecer políticas de coordinación entre las autoridades públicas que permitan la actuación conjunta del Ministerio Público, la Policía Federal, el Ministerio del Trabajo y los demás órganos competentes. Señalaron que el Estado debe garantizar la recuperación y readaptación de las personas sometidas a trabajo esclavo, informándoles prontamente de sus derechos y de los programas sociales que pueden beneficiarlos. En particular</w:t>
      </w:r>
      <w:r w:rsidR="00DB5A03" w:rsidRPr="00470C7C">
        <w:rPr>
          <w:rFonts w:cs="Arial"/>
          <w:iCs/>
          <w:szCs w:val="20"/>
          <w:lang w:val="es-CL"/>
        </w:rPr>
        <w:t>,</w:t>
      </w:r>
      <w:r w:rsidRPr="00470C7C">
        <w:rPr>
          <w:rFonts w:cs="Arial"/>
          <w:iCs/>
          <w:szCs w:val="20"/>
          <w:lang w:val="es-CL"/>
        </w:rPr>
        <w:t xml:space="preserve"> el Estado debe establecer una política pública con participación de CONATRAE para intermedia</w:t>
      </w:r>
      <w:r w:rsidR="00DB5A03" w:rsidRPr="00470C7C">
        <w:rPr>
          <w:rFonts w:cs="Arial"/>
          <w:iCs/>
          <w:szCs w:val="20"/>
          <w:lang w:val="es-CL"/>
        </w:rPr>
        <w:t xml:space="preserve">r la contratación </w:t>
      </w:r>
      <w:r w:rsidRPr="00470C7C">
        <w:rPr>
          <w:rFonts w:cs="Arial"/>
          <w:iCs/>
          <w:szCs w:val="20"/>
          <w:lang w:val="es-CL"/>
        </w:rPr>
        <w:t>de mano de obra rural a fin de evitar que los trabajadores rescatados sean nuevamente objeto de trabajo esclavo. Solicitaron además la construcción de un Centro de Atención a Trabajadores en el municipio de  Barras, Estado de Piauí, lugar de origen de la mayoría de las víctimas de este caso.</w:t>
      </w:r>
    </w:p>
    <w:p w14:paraId="3FE74649" w14:textId="77777777" w:rsidR="004B0842" w:rsidRPr="00470C7C" w:rsidRDefault="004B0842" w:rsidP="004B0842">
      <w:pPr>
        <w:pStyle w:val="Prrafodelista"/>
        <w:autoSpaceDE w:val="0"/>
        <w:autoSpaceDN w:val="0"/>
        <w:adjustRightInd w:val="0"/>
        <w:rPr>
          <w:rFonts w:cs="Arial"/>
          <w:iCs/>
          <w:szCs w:val="20"/>
          <w:lang w:val="es-ES_tradnl"/>
        </w:rPr>
      </w:pPr>
    </w:p>
    <w:p w14:paraId="2680337D"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Adicionalmente</w:t>
      </w:r>
      <w:r w:rsidR="00DB5A03" w:rsidRPr="00470C7C">
        <w:rPr>
          <w:rFonts w:cs="Arial"/>
          <w:iCs/>
          <w:szCs w:val="20"/>
          <w:lang w:val="es-CL"/>
        </w:rPr>
        <w:t>,</w:t>
      </w:r>
      <w:r w:rsidRPr="00470C7C">
        <w:rPr>
          <w:rFonts w:cs="Arial"/>
          <w:iCs/>
          <w:szCs w:val="20"/>
          <w:lang w:val="es-CL"/>
        </w:rPr>
        <w:t xml:space="preserve"> los representantes solicitaron que se mantengan ciertas políticas públicas que han sido exitosas en el combate contra el trabajo esclavo. En particular requirieron a la Corte que declare que la “Lista Suja” y la </w:t>
      </w:r>
      <w:proofErr w:type="spellStart"/>
      <w:r w:rsidRPr="00470C7C">
        <w:rPr>
          <w:rFonts w:cs="Arial"/>
          <w:iCs/>
          <w:szCs w:val="20"/>
          <w:lang w:val="es-CL"/>
        </w:rPr>
        <w:t>Portaria</w:t>
      </w:r>
      <w:proofErr w:type="spellEnd"/>
      <w:r w:rsidRPr="00470C7C">
        <w:rPr>
          <w:rFonts w:cs="Arial"/>
          <w:iCs/>
          <w:szCs w:val="20"/>
          <w:lang w:val="es-CL"/>
        </w:rPr>
        <w:t xml:space="preserve"> Interministerial 2/2015 son compatibles con la Convención Americana.</w:t>
      </w:r>
    </w:p>
    <w:p w14:paraId="1F441B81" w14:textId="77777777" w:rsidR="004B0842" w:rsidRPr="00470C7C" w:rsidRDefault="004B0842" w:rsidP="004B0842">
      <w:pPr>
        <w:pStyle w:val="Prrafodelista"/>
        <w:autoSpaceDE w:val="0"/>
        <w:autoSpaceDN w:val="0"/>
        <w:adjustRightInd w:val="0"/>
        <w:rPr>
          <w:rFonts w:cs="Arial"/>
          <w:iCs/>
          <w:szCs w:val="20"/>
          <w:lang w:val="es-ES_tradnl"/>
        </w:rPr>
      </w:pPr>
    </w:p>
    <w:p w14:paraId="12DFD638"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señaló que de conformidad con la Convención Americana ya tiene la obligación de promover investigaciones penales adecuadas y efectivas. Alegó que el cumplimiento de esta obligación se encuentra dentro del margen de apreciación del Estado. Así, compete a las autoridades domésticas, y no a la Corte, determinar la forma de cumplimiento de esta obligación. Asimismo, alegó que solo compete al Estado elaborar políticas públicas relativas al rescate y rehabilitación de trabajadores. El Estado destacó que ya existe un plan piloto de intermediación estatal de trabajadores rurales. Por último alegó que el Centro de Atención a Trabajadores en Barras solicitado por los representantes no tiene relación alguna con los hechos del caso.</w:t>
      </w:r>
    </w:p>
    <w:p w14:paraId="3029D838" w14:textId="77777777" w:rsidR="004B0842" w:rsidRPr="00470C7C" w:rsidRDefault="004B0842" w:rsidP="004B0842">
      <w:pPr>
        <w:pStyle w:val="Prrafodelista"/>
        <w:autoSpaceDE w:val="0"/>
        <w:autoSpaceDN w:val="0"/>
        <w:adjustRightInd w:val="0"/>
        <w:rPr>
          <w:rFonts w:cs="Arial"/>
          <w:iCs/>
          <w:szCs w:val="20"/>
          <w:lang w:val="es-ES_tradnl"/>
        </w:rPr>
      </w:pPr>
    </w:p>
    <w:p w14:paraId="5058A6D2"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El Estado señaló que la “Lista Suja” se encuentra actualmente suspendida pues está pendiente una decisión del Supremo Tribunal Federal respecto a su constitucionalidad. Agregó que</w:t>
      </w:r>
      <w:r w:rsidR="00DB5A03" w:rsidRPr="00470C7C">
        <w:rPr>
          <w:rFonts w:cs="Arial"/>
          <w:iCs/>
          <w:szCs w:val="20"/>
          <w:lang w:val="es-CL"/>
        </w:rPr>
        <w:t>,</w:t>
      </w:r>
      <w:r w:rsidRPr="00470C7C">
        <w:rPr>
          <w:rFonts w:cs="Arial"/>
          <w:iCs/>
          <w:szCs w:val="20"/>
          <w:lang w:val="es-CL"/>
        </w:rPr>
        <w:t xml:space="preserve"> en su opinión</w:t>
      </w:r>
      <w:r w:rsidR="00DB5A03" w:rsidRPr="00470C7C">
        <w:rPr>
          <w:rFonts w:cs="Arial"/>
          <w:iCs/>
          <w:szCs w:val="20"/>
          <w:lang w:val="es-CL"/>
        </w:rPr>
        <w:t>,</w:t>
      </w:r>
      <w:r w:rsidRPr="00470C7C">
        <w:rPr>
          <w:rFonts w:cs="Arial"/>
          <w:iCs/>
          <w:szCs w:val="20"/>
          <w:lang w:val="es-CL"/>
        </w:rPr>
        <w:t xml:space="preserve"> la “Lista Suja” es compatible con la convención Americana, sin embargo solicitó a la Corte no imponer al Poder Judicial brasileño ninguna decisión en el proceso de constitucionalidad pendiente.</w:t>
      </w:r>
    </w:p>
    <w:p w14:paraId="7404B541" w14:textId="77777777" w:rsidR="00795D2F" w:rsidRPr="00470C7C" w:rsidRDefault="00795D2F" w:rsidP="00ED3AD0">
      <w:pPr>
        <w:pStyle w:val="Prrafodelista"/>
        <w:rPr>
          <w:rFonts w:cs="Arial"/>
          <w:iCs/>
          <w:szCs w:val="20"/>
          <w:lang w:val="es-ES_tradnl"/>
        </w:rPr>
      </w:pPr>
    </w:p>
    <w:p w14:paraId="73AA7F30" w14:textId="77777777" w:rsidR="00795D2F" w:rsidRPr="00470C7C" w:rsidRDefault="00795D2F" w:rsidP="00795D2F">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Corte </w:t>
      </w:r>
      <w:r w:rsidR="00A43986" w:rsidRPr="00470C7C">
        <w:rPr>
          <w:rFonts w:cs="Arial"/>
          <w:iCs/>
          <w:szCs w:val="20"/>
          <w:lang w:val="es-ES_tradnl"/>
        </w:rPr>
        <w:t>considera</w:t>
      </w:r>
      <w:r w:rsidRPr="00470C7C">
        <w:rPr>
          <w:rFonts w:cs="Arial"/>
          <w:iCs/>
          <w:szCs w:val="20"/>
          <w:lang w:val="es-ES_tradnl"/>
        </w:rPr>
        <w:t xml:space="preserve"> que todavía existen </w:t>
      </w:r>
      <w:r w:rsidR="008775BD" w:rsidRPr="00470C7C">
        <w:rPr>
          <w:rFonts w:cs="Arial"/>
          <w:iCs/>
          <w:szCs w:val="20"/>
          <w:lang w:val="es-ES_tradnl"/>
        </w:rPr>
        <w:t>algunos</w:t>
      </w:r>
      <w:r w:rsidR="008775BD" w:rsidRPr="00470C7C">
        <w:rPr>
          <w:rFonts w:cs="Arial"/>
          <w:b/>
          <w:iCs/>
          <w:szCs w:val="20"/>
          <w:lang w:val="es-ES_tradnl"/>
        </w:rPr>
        <w:t xml:space="preserve"> </w:t>
      </w:r>
      <w:r w:rsidRPr="00470C7C">
        <w:rPr>
          <w:rFonts w:cs="Arial"/>
          <w:iCs/>
          <w:szCs w:val="20"/>
          <w:lang w:val="es-ES_tradnl"/>
        </w:rPr>
        <w:t xml:space="preserve">obstáculos en el combate al </w:t>
      </w:r>
      <w:r w:rsidR="001B63D0" w:rsidRPr="00470C7C">
        <w:rPr>
          <w:rFonts w:cs="Arial"/>
          <w:iCs/>
          <w:szCs w:val="20"/>
          <w:lang w:val="es-ES_tradnl"/>
        </w:rPr>
        <w:t>trabajo forzoso</w:t>
      </w:r>
      <w:r w:rsidRPr="00470C7C">
        <w:rPr>
          <w:rFonts w:cs="Arial"/>
          <w:iCs/>
          <w:szCs w:val="20"/>
          <w:lang w:val="es-ES_tradnl"/>
        </w:rPr>
        <w:t xml:space="preserve"> en Brasil. Así, por ejemplo: </w:t>
      </w:r>
    </w:p>
    <w:p w14:paraId="6EDE48F3" w14:textId="77777777" w:rsidR="00795D2F" w:rsidRPr="00470C7C" w:rsidRDefault="00795D2F" w:rsidP="00795D2F">
      <w:pPr>
        <w:pStyle w:val="Prrafodelista"/>
        <w:autoSpaceDE w:val="0"/>
        <w:autoSpaceDN w:val="0"/>
        <w:adjustRightInd w:val="0"/>
        <w:rPr>
          <w:rFonts w:cs="Arial"/>
          <w:iCs/>
          <w:szCs w:val="20"/>
          <w:lang w:val="es-ES_tradnl"/>
        </w:rPr>
      </w:pPr>
    </w:p>
    <w:p w14:paraId="60A17D80" w14:textId="77777777" w:rsidR="00795D2F" w:rsidRPr="00470C7C" w:rsidRDefault="00795D2F" w:rsidP="008B0BCC">
      <w:pPr>
        <w:pStyle w:val="Prrafodelista"/>
        <w:numPr>
          <w:ilvl w:val="0"/>
          <w:numId w:val="13"/>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El Estado Brasileño ha enfrentado obstáculos al desarrollar políticas públicas de prevención</w:t>
      </w:r>
      <w:r w:rsidRPr="00470C7C">
        <w:rPr>
          <w:rFonts w:cs="Arial"/>
          <w:i/>
          <w:iCs/>
          <w:szCs w:val="20"/>
          <w:lang w:val="es-ES_tradnl"/>
        </w:rPr>
        <w:t xml:space="preserve">, </w:t>
      </w:r>
      <w:r w:rsidRPr="00470C7C">
        <w:rPr>
          <w:rFonts w:cs="Arial"/>
          <w:iCs/>
          <w:szCs w:val="20"/>
          <w:lang w:val="es-ES_tradnl"/>
        </w:rPr>
        <w:t xml:space="preserve">entre otros, por la propia extensión del territorio nacional, la falta de comunicaciones y la desigualdad social; la oposición de los sectores afectados por la política nacional de combate al trabajo esclavo, quienes diversifican sus acciones contrarias a dicha la política pública; </w:t>
      </w:r>
    </w:p>
    <w:p w14:paraId="2E586EA5" w14:textId="77777777" w:rsidR="00795D2F" w:rsidRPr="00470C7C" w:rsidRDefault="00795D2F" w:rsidP="008B0BCC">
      <w:pPr>
        <w:pStyle w:val="Prrafodelista"/>
        <w:numPr>
          <w:ilvl w:val="0"/>
          <w:numId w:val="13"/>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El 23 de diciembre de 2014 el Supremo Tribunal Federal suspendió la lista de empleadores de esclavo descubiertos</w:t>
      </w:r>
      <w:r w:rsidR="00DB5A03" w:rsidRPr="00470C7C">
        <w:rPr>
          <w:rFonts w:cs="Arial"/>
          <w:iCs/>
          <w:szCs w:val="20"/>
          <w:lang w:val="es-ES_tradnl"/>
        </w:rPr>
        <w:t xml:space="preserve"> (“lista suja”)</w:t>
      </w:r>
      <w:r w:rsidRPr="00470C7C">
        <w:rPr>
          <w:rFonts w:cs="Arial"/>
          <w:iCs/>
          <w:szCs w:val="20"/>
          <w:lang w:val="es-ES_tradnl"/>
        </w:rPr>
        <w:t>, con motivo de la acción directa de inconstitucionalidad No. 5.209</w:t>
      </w:r>
      <w:r w:rsidR="000D52CA" w:rsidRPr="00470C7C">
        <w:rPr>
          <w:rFonts w:cs="Arial"/>
          <w:iCs/>
          <w:szCs w:val="20"/>
          <w:lang w:val="es-ES_tradnl"/>
        </w:rPr>
        <w:t xml:space="preserve">, </w:t>
      </w:r>
      <w:r w:rsidR="00FA0F9F" w:rsidRPr="00470C7C">
        <w:rPr>
          <w:rFonts w:cs="Arial"/>
          <w:iCs/>
          <w:szCs w:val="20"/>
          <w:lang w:val="es-ES_tradnl"/>
        </w:rPr>
        <w:t>la cual no ha sido resuelta hasta la emisión de la presente Sentencia</w:t>
      </w:r>
      <w:r w:rsidR="00994D6A" w:rsidRPr="00470C7C">
        <w:rPr>
          <w:rFonts w:cs="Arial"/>
          <w:iCs/>
          <w:szCs w:val="20"/>
          <w:lang w:val="es-ES_tradnl"/>
        </w:rPr>
        <w:t>, y</w:t>
      </w:r>
      <w:r w:rsidRPr="00470C7C">
        <w:rPr>
          <w:rFonts w:cs="Arial"/>
          <w:iCs/>
          <w:szCs w:val="20"/>
          <w:lang w:val="es-ES_tradnl"/>
        </w:rPr>
        <w:t xml:space="preserve"> </w:t>
      </w:r>
    </w:p>
    <w:p w14:paraId="11996CF0" w14:textId="77777777" w:rsidR="00795D2F" w:rsidRPr="00470C7C" w:rsidRDefault="00DB5A03" w:rsidP="008B0BCC">
      <w:pPr>
        <w:pStyle w:val="Prrafodelista"/>
        <w:numPr>
          <w:ilvl w:val="0"/>
          <w:numId w:val="13"/>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S</w:t>
      </w:r>
      <w:r w:rsidR="00795D2F" w:rsidRPr="00470C7C">
        <w:rPr>
          <w:rFonts w:cs="Arial"/>
          <w:iCs/>
          <w:szCs w:val="20"/>
          <w:lang w:val="es-ES_tradnl"/>
        </w:rPr>
        <w:t>e ha señalado que el Poder Ejecutivo ha encontrado limitantes como la falta de personal capacitado, el déficit de auditores fiscalizadores de trabajo, la falta de equipamiento público y redes de actuación estatal para atender las demandas</w:t>
      </w:r>
      <w:r w:rsidRPr="00470C7C">
        <w:rPr>
          <w:rFonts w:cs="Arial"/>
          <w:iCs/>
          <w:szCs w:val="20"/>
          <w:lang w:val="es-ES_tradnl"/>
        </w:rPr>
        <w:t>;</w:t>
      </w:r>
      <w:r w:rsidR="00795D2F" w:rsidRPr="00470C7C">
        <w:rPr>
          <w:rFonts w:cs="Arial"/>
          <w:iCs/>
          <w:szCs w:val="20"/>
          <w:lang w:val="es-ES_tradnl"/>
        </w:rPr>
        <w:t xml:space="preserve"> la disminución de órganos que integran los Grupos Especiales de Fiscalización </w:t>
      </w:r>
      <w:proofErr w:type="gramStart"/>
      <w:r w:rsidR="00795D2F" w:rsidRPr="00470C7C">
        <w:rPr>
          <w:rFonts w:cs="Arial"/>
          <w:iCs/>
          <w:szCs w:val="20"/>
          <w:lang w:val="es-ES_tradnl"/>
        </w:rPr>
        <w:t>Móvil,  así</w:t>
      </w:r>
      <w:proofErr w:type="gramEnd"/>
      <w:r w:rsidR="00795D2F" w:rsidRPr="00470C7C">
        <w:rPr>
          <w:rFonts w:cs="Arial"/>
          <w:iCs/>
          <w:szCs w:val="20"/>
          <w:lang w:val="es-ES_tradnl"/>
        </w:rPr>
        <w:t xml:space="preserve"> como de miembros de la Policía Federal, para actuar como policía judicial y logística en el combate al trabajo esclavo</w:t>
      </w:r>
      <w:r w:rsidR="00FA0F9F" w:rsidRPr="00470C7C">
        <w:rPr>
          <w:rFonts w:cs="Arial"/>
          <w:iCs/>
          <w:szCs w:val="20"/>
          <w:lang w:val="es-ES_tradnl"/>
        </w:rPr>
        <w:t>.</w:t>
      </w:r>
      <w:r w:rsidR="00795D2F" w:rsidRPr="00470C7C">
        <w:rPr>
          <w:rFonts w:cs="Arial"/>
          <w:iCs/>
          <w:szCs w:val="20"/>
          <w:lang w:val="es-ES_tradnl"/>
        </w:rPr>
        <w:t xml:space="preserve"> </w:t>
      </w:r>
    </w:p>
    <w:p w14:paraId="45F4E11E" w14:textId="77777777" w:rsidR="004B0842" w:rsidRPr="00470C7C" w:rsidRDefault="004B0842" w:rsidP="004B0842">
      <w:pPr>
        <w:pStyle w:val="Prrafodelista"/>
        <w:autoSpaceDE w:val="0"/>
        <w:autoSpaceDN w:val="0"/>
        <w:adjustRightInd w:val="0"/>
        <w:rPr>
          <w:rFonts w:cs="Arial"/>
          <w:iCs/>
          <w:szCs w:val="20"/>
          <w:lang w:val="es-ES_tradnl"/>
        </w:rPr>
      </w:pPr>
    </w:p>
    <w:p w14:paraId="5E6D2300" w14:textId="77777777" w:rsidR="004B0842" w:rsidRPr="00470C7C" w:rsidRDefault="00795D2F"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Sin embargo, l</w:t>
      </w:r>
      <w:r w:rsidR="004B0842" w:rsidRPr="00470C7C">
        <w:rPr>
          <w:rFonts w:cs="Arial"/>
          <w:iCs/>
          <w:szCs w:val="20"/>
          <w:lang w:val="es-CL"/>
        </w:rPr>
        <w:t xml:space="preserve">a Corte </w:t>
      </w:r>
      <w:r w:rsidR="00FA0F9F" w:rsidRPr="00470C7C">
        <w:rPr>
          <w:rFonts w:cs="Arial"/>
          <w:iCs/>
          <w:szCs w:val="20"/>
          <w:lang w:val="es-CL"/>
        </w:rPr>
        <w:t>destaca</w:t>
      </w:r>
      <w:r w:rsidR="00FA0F9F" w:rsidRPr="00470C7C">
        <w:rPr>
          <w:rFonts w:cs="Arial"/>
          <w:b/>
          <w:iCs/>
          <w:szCs w:val="20"/>
          <w:lang w:val="es-CL"/>
        </w:rPr>
        <w:t xml:space="preserve"> </w:t>
      </w:r>
      <w:r w:rsidR="004B0842" w:rsidRPr="00470C7C">
        <w:rPr>
          <w:rFonts w:cs="Arial"/>
          <w:iCs/>
          <w:szCs w:val="20"/>
          <w:lang w:val="es-ES_tradnl"/>
        </w:rPr>
        <w:t xml:space="preserve">que el Estado Brasileño, desde el año 1995 asumió el compromiso de implementar diversas acciones con la finalidad de erradicar el </w:t>
      </w:r>
      <w:r w:rsidR="001B63D0" w:rsidRPr="00470C7C">
        <w:rPr>
          <w:rFonts w:cs="Arial"/>
          <w:iCs/>
          <w:szCs w:val="20"/>
          <w:lang w:val="es-ES_tradnl"/>
        </w:rPr>
        <w:t xml:space="preserve">trabajo </w:t>
      </w:r>
      <w:r w:rsidR="00DB5A03" w:rsidRPr="00470C7C">
        <w:rPr>
          <w:rFonts w:cs="Arial"/>
          <w:iCs/>
          <w:szCs w:val="20"/>
          <w:lang w:val="es-ES_tradnl"/>
        </w:rPr>
        <w:t>esclavo</w:t>
      </w:r>
      <w:r w:rsidR="004B0842" w:rsidRPr="00470C7C">
        <w:rPr>
          <w:rFonts w:cs="Arial"/>
          <w:iCs/>
          <w:szCs w:val="20"/>
          <w:lang w:val="es-ES_tradnl"/>
        </w:rPr>
        <w:t>.</w:t>
      </w:r>
      <w:r w:rsidR="004B0842" w:rsidRPr="00470C7C">
        <w:rPr>
          <w:rFonts w:cs="Arial"/>
          <w:iCs/>
          <w:szCs w:val="20"/>
          <w:lang w:val="es-CL"/>
        </w:rPr>
        <w:t xml:space="preserve"> Entre éstas se destacan algunas medidas importantes a continuación:</w:t>
      </w:r>
    </w:p>
    <w:p w14:paraId="1BE48E72" w14:textId="77777777" w:rsidR="004B0842" w:rsidRPr="00470C7C" w:rsidRDefault="004B0842" w:rsidP="004B0842">
      <w:pPr>
        <w:pStyle w:val="Prrafodelista"/>
        <w:autoSpaceDE w:val="0"/>
        <w:autoSpaceDN w:val="0"/>
        <w:adjustRightInd w:val="0"/>
        <w:rPr>
          <w:rFonts w:cs="Arial"/>
          <w:iCs/>
          <w:szCs w:val="20"/>
          <w:lang w:val="es-ES_tradnl"/>
        </w:rPr>
      </w:pPr>
    </w:p>
    <w:p w14:paraId="2A395DEB"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En 1995, emitió el Decreto No. 1.538, por el que creó el Grupo Interministerial para Erradicar el </w:t>
      </w:r>
      <w:r w:rsidR="001B63D0" w:rsidRPr="00470C7C">
        <w:rPr>
          <w:rFonts w:cs="Arial"/>
          <w:iCs/>
          <w:szCs w:val="20"/>
          <w:lang w:val="es-ES_tradnl"/>
        </w:rPr>
        <w:t>Trabajo forzoso</w:t>
      </w:r>
      <w:r w:rsidRPr="00470C7C">
        <w:rPr>
          <w:rFonts w:cs="Arial"/>
          <w:iCs/>
          <w:szCs w:val="20"/>
          <w:lang w:val="es-ES_tradnl"/>
        </w:rPr>
        <w:t xml:space="preserve"> (GERTRAF), integrado por diversos ministerios y coordinado por el Ministerio del Trabajo, con la participación de varias entidades, instituciones y la OIT.</w:t>
      </w:r>
      <w:r w:rsidRPr="00470C7C">
        <w:rPr>
          <w:rFonts w:cs="Arial"/>
          <w:b/>
          <w:iCs/>
          <w:szCs w:val="20"/>
          <w:lang w:val="es-ES_tradnl"/>
        </w:rPr>
        <w:t xml:space="preserve"> </w:t>
      </w:r>
      <w:r w:rsidRPr="00470C7C">
        <w:rPr>
          <w:rFonts w:cs="Arial"/>
          <w:iCs/>
          <w:szCs w:val="20"/>
          <w:lang w:val="es-ES_tradnl"/>
        </w:rPr>
        <w:t xml:space="preserve">También en ese año, el Estado creó el Grupo Especial de Fiscalización Móvil, dentro del ámbito de la Secretaría de Fiscalización del Trabajo del Ministerio del Trabajo, con atribuciones para actuar en el medio rural e investigar denuncias de trabajo esclavo, apoyando las operaciones del Grupo Interministerial para Erradicar el </w:t>
      </w:r>
      <w:r w:rsidR="001B63D0" w:rsidRPr="00470C7C">
        <w:rPr>
          <w:rFonts w:cs="Arial"/>
          <w:iCs/>
          <w:szCs w:val="20"/>
          <w:lang w:val="es-ES_tradnl"/>
        </w:rPr>
        <w:t>Trabajo forzoso</w:t>
      </w:r>
      <w:r w:rsidRPr="00470C7C">
        <w:rPr>
          <w:rFonts w:cs="Arial"/>
          <w:iCs/>
          <w:szCs w:val="20"/>
          <w:lang w:val="es-ES_tradnl"/>
        </w:rPr>
        <w:t xml:space="preserve">. El </w:t>
      </w:r>
      <w:r w:rsidR="00DB5A03" w:rsidRPr="00470C7C">
        <w:rPr>
          <w:rFonts w:cs="Arial"/>
          <w:iCs/>
          <w:szCs w:val="20"/>
          <w:lang w:val="es-ES_tradnl"/>
        </w:rPr>
        <w:t xml:space="preserve">Grupo Móvil </w:t>
      </w:r>
      <w:r w:rsidRPr="00470C7C">
        <w:rPr>
          <w:rFonts w:cs="Arial"/>
          <w:iCs/>
          <w:szCs w:val="20"/>
          <w:lang w:val="es-ES_tradnl"/>
        </w:rPr>
        <w:t xml:space="preserve">se ha considerado un instrumento eficiente para rescatar personas de su estado de </w:t>
      </w:r>
      <w:r w:rsidR="001B63D0" w:rsidRPr="00470C7C">
        <w:rPr>
          <w:rFonts w:cs="Arial"/>
          <w:iCs/>
          <w:szCs w:val="20"/>
          <w:lang w:val="es-ES_tradnl"/>
        </w:rPr>
        <w:t xml:space="preserve">trabajo </w:t>
      </w:r>
      <w:r w:rsidR="00DB5A03" w:rsidRPr="00470C7C">
        <w:rPr>
          <w:rFonts w:cs="Arial"/>
          <w:iCs/>
          <w:szCs w:val="20"/>
          <w:lang w:val="es-ES_tradnl"/>
        </w:rPr>
        <w:t>esclavo</w:t>
      </w:r>
      <w:r w:rsidRPr="00470C7C">
        <w:rPr>
          <w:rFonts w:cs="Arial"/>
          <w:iCs/>
          <w:szCs w:val="20"/>
          <w:lang w:val="es-ES_tradnl"/>
        </w:rPr>
        <w:t xml:space="preserve">, imponer las sanciones administrativas, el pago de indemnizaciones y la recopilación de pruebas por esos hechos, lo anterior, para posibilitar las condiciones de actuación del Ministerio Público Federal y del Poder Judicial; </w:t>
      </w:r>
    </w:p>
    <w:p w14:paraId="75D4C42E"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Por otra parte, al margen de la función de fiscalización, el Estado incrementó acciones de prevención y reinserción de trabajadores; </w:t>
      </w:r>
    </w:p>
    <w:p w14:paraId="7E77014F" w14:textId="77777777" w:rsidR="004B0842" w:rsidRPr="00470C7C" w:rsidRDefault="00DB5A03"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E</w:t>
      </w:r>
      <w:r w:rsidR="004B0842" w:rsidRPr="00470C7C">
        <w:rPr>
          <w:rFonts w:cs="Arial"/>
          <w:iCs/>
          <w:szCs w:val="20"/>
          <w:lang w:val="es-ES_tradnl"/>
        </w:rPr>
        <w:t>n 2002</w:t>
      </w:r>
      <w:r w:rsidRPr="00470C7C">
        <w:rPr>
          <w:rFonts w:cs="Arial"/>
          <w:iCs/>
          <w:szCs w:val="20"/>
          <w:lang w:val="es-ES_tradnl"/>
        </w:rPr>
        <w:t>,</w:t>
      </w:r>
      <w:r w:rsidR="004B0842" w:rsidRPr="00470C7C">
        <w:rPr>
          <w:rFonts w:cs="Arial"/>
          <w:iCs/>
          <w:szCs w:val="20"/>
          <w:lang w:val="es-ES_tradnl"/>
        </w:rPr>
        <w:t xml:space="preserve"> se integró el Ministerio Público del Trabajo con el objeto de combatir el trabajo esclavo y se constituyó la Coordinadora Nacional de Erradicación del Trabajo Esclavo. También en ese año, se presentó el Primer Plan Nacional de Erradicación del Trabajo Esclavo por la Comisión Especial del Consejo de Derechos de la Persona Humana, además, se emitió la Ley No. 10608/2002, relativo al seguro de desempleo de trabajadores rescatados bajo el régimen de </w:t>
      </w:r>
      <w:r w:rsidR="001B63D0" w:rsidRPr="00470C7C">
        <w:rPr>
          <w:rFonts w:cs="Arial"/>
          <w:iCs/>
          <w:szCs w:val="20"/>
          <w:lang w:val="es-ES_tradnl"/>
        </w:rPr>
        <w:t>trabajo forzoso</w:t>
      </w:r>
      <w:r w:rsidR="004B0842" w:rsidRPr="00470C7C">
        <w:rPr>
          <w:rFonts w:cs="Arial"/>
          <w:iCs/>
          <w:szCs w:val="20"/>
          <w:lang w:val="es-ES_tradnl"/>
        </w:rPr>
        <w:t xml:space="preserve"> o condición análoga de esclavo; </w:t>
      </w:r>
    </w:p>
    <w:p w14:paraId="367A236B"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El 11 de diciembre de 2003, se aprobó la Ley No. 10803/2003, que modificó la redacción del artículo 149 del </w:t>
      </w:r>
      <w:r w:rsidR="00BE60E8" w:rsidRPr="00470C7C">
        <w:rPr>
          <w:rFonts w:cs="Arial"/>
          <w:iCs/>
          <w:szCs w:val="20"/>
          <w:lang w:val="es-ES_tradnl"/>
        </w:rPr>
        <w:t>Código Penal brasileño</w:t>
      </w:r>
      <w:r w:rsidRPr="00470C7C">
        <w:rPr>
          <w:rFonts w:cs="Arial"/>
          <w:iCs/>
          <w:szCs w:val="20"/>
          <w:lang w:val="es-ES_tradnl"/>
        </w:rPr>
        <w:t xml:space="preserve">; </w:t>
      </w:r>
    </w:p>
    <w:p w14:paraId="06AD931F"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A través de las ordenanzas </w:t>
      </w:r>
      <w:r w:rsidR="00DB5A03" w:rsidRPr="00470C7C">
        <w:rPr>
          <w:rFonts w:cs="Arial"/>
          <w:iCs/>
          <w:szCs w:val="20"/>
          <w:lang w:val="es-ES_tradnl"/>
        </w:rPr>
        <w:t xml:space="preserve">No. </w:t>
      </w:r>
      <w:r w:rsidRPr="00470C7C">
        <w:rPr>
          <w:rFonts w:cs="Arial"/>
          <w:iCs/>
          <w:szCs w:val="20"/>
          <w:lang w:val="es-ES_tradnl"/>
        </w:rPr>
        <w:t>540</w:t>
      </w:r>
      <w:r w:rsidR="00DB5A03" w:rsidRPr="00470C7C">
        <w:rPr>
          <w:rFonts w:cs="Arial"/>
          <w:iCs/>
          <w:szCs w:val="20"/>
          <w:lang w:val="es-ES_tradnl"/>
        </w:rPr>
        <w:t>,</w:t>
      </w:r>
      <w:r w:rsidRPr="00470C7C">
        <w:rPr>
          <w:rFonts w:cs="Arial"/>
          <w:iCs/>
          <w:szCs w:val="20"/>
          <w:lang w:val="es-ES_tradnl"/>
        </w:rPr>
        <w:t xml:space="preserve"> de 15 de octubre de 2004, y </w:t>
      </w:r>
      <w:r w:rsidR="00DB5A03" w:rsidRPr="00470C7C">
        <w:rPr>
          <w:rFonts w:cs="Arial"/>
          <w:iCs/>
          <w:szCs w:val="20"/>
          <w:lang w:val="es-ES_tradnl"/>
        </w:rPr>
        <w:t xml:space="preserve">No. </w:t>
      </w:r>
      <w:r w:rsidRPr="00470C7C">
        <w:rPr>
          <w:rFonts w:cs="Arial"/>
          <w:iCs/>
          <w:szCs w:val="20"/>
          <w:lang w:val="es-ES_tradnl"/>
        </w:rPr>
        <w:t>2</w:t>
      </w:r>
      <w:r w:rsidR="00DB5A03" w:rsidRPr="00470C7C">
        <w:rPr>
          <w:rFonts w:cs="Arial"/>
          <w:iCs/>
          <w:szCs w:val="20"/>
          <w:lang w:val="es-ES_tradnl"/>
        </w:rPr>
        <w:t>,</w:t>
      </w:r>
      <w:r w:rsidRPr="00470C7C">
        <w:rPr>
          <w:rFonts w:cs="Arial"/>
          <w:iCs/>
          <w:szCs w:val="20"/>
          <w:lang w:val="es-ES_tradnl"/>
        </w:rPr>
        <w:t xml:space="preserve"> de 12 de mayo de 2011, se instituyó el Registro de Empleadores Infractores (Lista Suja) por el Ministerio del Trabajo y Empleo, con actualización semestral, que contiene los nombres de los infractores </w:t>
      </w:r>
      <w:r w:rsidR="00DB5A03" w:rsidRPr="00470C7C">
        <w:rPr>
          <w:rFonts w:cs="Arial"/>
          <w:iCs/>
          <w:szCs w:val="20"/>
          <w:lang w:val="es-ES_tradnl"/>
        </w:rPr>
        <w:t xml:space="preserve">que </w:t>
      </w:r>
      <w:r w:rsidRPr="00470C7C">
        <w:rPr>
          <w:rFonts w:cs="Arial"/>
          <w:iCs/>
          <w:szCs w:val="20"/>
          <w:lang w:val="es-ES_tradnl"/>
        </w:rPr>
        <w:t>emplea</w:t>
      </w:r>
      <w:r w:rsidR="00DB5A03" w:rsidRPr="00470C7C">
        <w:rPr>
          <w:rFonts w:cs="Arial"/>
          <w:iCs/>
          <w:szCs w:val="20"/>
          <w:lang w:val="es-ES_tradnl"/>
        </w:rPr>
        <w:t>n</w:t>
      </w:r>
      <w:r w:rsidRPr="00470C7C">
        <w:rPr>
          <w:rFonts w:cs="Arial"/>
          <w:iCs/>
          <w:szCs w:val="20"/>
          <w:lang w:val="es-ES_tradnl"/>
        </w:rPr>
        <w:t xml:space="preserve"> trabajadores en condiciones de esclavo para consulta de instituciones financieras en casos de solicitudes de créditos; </w:t>
      </w:r>
    </w:p>
    <w:p w14:paraId="4BF1B82B"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El 31 de julio de 2003, se integró la Comisión Nacional para la Erradicación del Trabajo Esclavo (CONATRAE), que sustituyó el Grupo Interministerial para Erradicar el </w:t>
      </w:r>
      <w:r w:rsidR="001B63D0" w:rsidRPr="00470C7C">
        <w:rPr>
          <w:rFonts w:cs="Arial"/>
          <w:iCs/>
          <w:szCs w:val="20"/>
          <w:lang w:val="es-ES_tradnl"/>
        </w:rPr>
        <w:t>Trabajo forzoso</w:t>
      </w:r>
      <w:r w:rsidRPr="00470C7C">
        <w:rPr>
          <w:rFonts w:cs="Arial"/>
          <w:iCs/>
          <w:szCs w:val="20"/>
          <w:lang w:val="es-ES_tradnl"/>
        </w:rPr>
        <w:t xml:space="preserve"> (GERTRAF), impulsado en 1995. Esta Comisión incorporó la participación de un mayor número de instituciones del Estado Brasileño y miembros de la sociedad civil, con la finalidad de articular políticas públicas para combatir el trabajo esclavo. La Corte no pierde de vista que esta institución ha sido calificada por la OIT como modelo que podría servir de ejemplo para otros países con problemas similares; </w:t>
      </w:r>
    </w:p>
    <w:p w14:paraId="13333466"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En diciembre de 2007, el Supremo Tribunal Federal de Brasil fijó criterio definitivo en el recurso extraordinario RE No. 398041, en el sentido de que la justicia federal es la instancia competente del Poder Judicial para juzgar los delitos relativos a condiciones análogas</w:t>
      </w:r>
      <w:r w:rsidR="00260035" w:rsidRPr="00470C7C">
        <w:rPr>
          <w:rFonts w:cs="Arial"/>
          <w:iCs/>
          <w:szCs w:val="20"/>
          <w:lang w:val="es-ES_tradnl"/>
        </w:rPr>
        <w:t xml:space="preserve"> a la</w:t>
      </w:r>
      <w:r w:rsidRPr="00470C7C">
        <w:rPr>
          <w:rFonts w:cs="Arial"/>
          <w:iCs/>
          <w:szCs w:val="20"/>
          <w:lang w:val="es-ES_tradnl"/>
        </w:rPr>
        <w:t xml:space="preserve"> de esclavo previsto en el artículo 149 del </w:t>
      </w:r>
      <w:r w:rsidR="00BE60E8" w:rsidRPr="00470C7C">
        <w:rPr>
          <w:rFonts w:cs="Arial"/>
          <w:iCs/>
          <w:szCs w:val="20"/>
          <w:lang w:val="es-ES_tradnl"/>
        </w:rPr>
        <w:t>Código Penal brasileño</w:t>
      </w:r>
      <w:r w:rsidRPr="00470C7C">
        <w:rPr>
          <w:rFonts w:cs="Arial"/>
          <w:iCs/>
          <w:szCs w:val="20"/>
          <w:lang w:val="es-ES_tradnl"/>
        </w:rPr>
        <w:t>;</w:t>
      </w:r>
    </w:p>
    <w:p w14:paraId="2E6DDA50"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En 2008, se implementó el Segundo Plan Nacional para la Erradicación del Trabajo Esclavo</w:t>
      </w:r>
      <w:r w:rsidR="00DB5A03" w:rsidRPr="00470C7C">
        <w:rPr>
          <w:rFonts w:cs="Arial"/>
          <w:iCs/>
          <w:szCs w:val="20"/>
          <w:lang w:val="es-ES_tradnl"/>
        </w:rPr>
        <w:t>.</w:t>
      </w:r>
      <w:r w:rsidRPr="00470C7C">
        <w:rPr>
          <w:rFonts w:cs="Arial"/>
          <w:iCs/>
          <w:szCs w:val="20"/>
          <w:lang w:val="es-ES_tradnl"/>
        </w:rPr>
        <w:t xml:space="preserve"> </w:t>
      </w:r>
      <w:r w:rsidRPr="00470C7C">
        <w:rPr>
          <w:rFonts w:cs="Arial"/>
          <w:b/>
          <w:iCs/>
          <w:szCs w:val="20"/>
          <w:lang w:val="es-ES_tradnl"/>
        </w:rPr>
        <w:t xml:space="preserve"> </w:t>
      </w:r>
      <w:r w:rsidRPr="00470C7C">
        <w:rPr>
          <w:rFonts w:cs="Arial"/>
          <w:iCs/>
          <w:szCs w:val="20"/>
          <w:lang w:val="es-ES_tradnl"/>
        </w:rPr>
        <w:t>Además, con la finalidad de divulgar políticas públicas y sensibilizar a la sociedad en ese tema, a través de la Ley 12064/2009, se creó el Día Nacional de Combate al Trabajo Esclavo;</w:t>
      </w:r>
    </w:p>
    <w:p w14:paraId="475CFDD0"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El 22 de junio de 2010, el Banco Central de Brasil, emitió la Resolución No. 3876, por la que vedó la concesión de crédito rural para personas físicas y jurídicas inscritas en el Registro de Empleadores que mantuvieran trabajadores en condiciones análogas de esclavitud; </w:t>
      </w:r>
    </w:p>
    <w:p w14:paraId="5581EABB"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El 5 de junio de 2014, se publicó la enmienda constitucional No. 81 que en su artículo 243 determinó que las propiedades urbanas y rurales de cualquier región del país donde fuera localizada, entre otras, explotación de trabajo esclavo serían expropiadas; </w:t>
      </w:r>
    </w:p>
    <w:p w14:paraId="7416DD6D"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La Corte ha recibido información de que el Estado Brasileño ha robustecido la actuación del Ministerio Público del Trabajo y del Ministerio Público Federal, para formular acciones penales y civiles públicas, con el objeto de que el Estado pueda ejercer su capacidad coercitiva. Asimismo, elaboró orientaciones técnicas de procedimiento para el Ministerio Público del Trabajo cuando participan en operaciones para erradicar el trabajo esclavo;</w:t>
      </w:r>
    </w:p>
    <w:p w14:paraId="2C39821B"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Tanto la justicia laboral como la jurisdicción federal han condenado a personas responsables por casos de </w:t>
      </w:r>
      <w:r w:rsidR="00260035" w:rsidRPr="00470C7C">
        <w:rPr>
          <w:rFonts w:cs="Arial"/>
          <w:iCs/>
          <w:szCs w:val="20"/>
          <w:lang w:val="es-ES_tradnl"/>
        </w:rPr>
        <w:t xml:space="preserve">reducción a condición </w:t>
      </w:r>
      <w:r w:rsidRPr="00470C7C">
        <w:rPr>
          <w:rFonts w:cs="Arial"/>
          <w:iCs/>
          <w:szCs w:val="20"/>
          <w:lang w:val="es-ES_tradnl"/>
        </w:rPr>
        <w:t xml:space="preserve">análoga a la </w:t>
      </w:r>
      <w:r w:rsidR="00260035" w:rsidRPr="00470C7C">
        <w:rPr>
          <w:rFonts w:cs="Arial"/>
          <w:iCs/>
          <w:szCs w:val="20"/>
          <w:lang w:val="es-ES_tradnl"/>
        </w:rPr>
        <w:t>de esclavo</w:t>
      </w:r>
      <w:r w:rsidRPr="00470C7C">
        <w:rPr>
          <w:rFonts w:cs="Arial"/>
          <w:iCs/>
          <w:szCs w:val="20"/>
          <w:lang w:val="es-ES_tradnl"/>
        </w:rPr>
        <w:t xml:space="preserve">, </w:t>
      </w:r>
      <w:proofErr w:type="gramStart"/>
      <w:r w:rsidRPr="00470C7C">
        <w:rPr>
          <w:rFonts w:cs="Arial"/>
          <w:iCs/>
          <w:szCs w:val="20"/>
          <w:lang w:val="es-ES_tradnl"/>
        </w:rPr>
        <w:t>obligándolos</w:t>
      </w:r>
      <w:proofErr w:type="gramEnd"/>
      <w:r w:rsidRPr="00470C7C">
        <w:rPr>
          <w:rFonts w:cs="Arial"/>
          <w:iCs/>
          <w:szCs w:val="20"/>
          <w:lang w:val="es-ES_tradnl"/>
        </w:rPr>
        <w:t xml:space="preserve"> además, a pagar elevadas multas;</w:t>
      </w:r>
    </w:p>
    <w:p w14:paraId="354101AD"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Por otra parte, se han implementado políticas públicas, universalizando los servicios básicos, el registro civil, el desarrollo del programa Bolsa-Familia condicionada con la asistencia escolar y vacunación, seguro del desempleo, programa nacional de acceso y enseñanza técnica y empleo, así como el prestigiado Programa de Erradicación de Trabajo Infantil (PETI).</w:t>
      </w:r>
      <w:r w:rsidRPr="00470C7C">
        <w:rPr>
          <w:rFonts w:cs="Arial"/>
          <w:b/>
          <w:iCs/>
          <w:szCs w:val="20"/>
          <w:lang w:val="es-ES_tradnl"/>
        </w:rPr>
        <w:t xml:space="preserve"> </w:t>
      </w:r>
      <w:proofErr w:type="gramStart"/>
      <w:r w:rsidRPr="00470C7C">
        <w:rPr>
          <w:rFonts w:cs="Arial"/>
          <w:iCs/>
          <w:szCs w:val="20"/>
          <w:lang w:val="es-ES_tradnl"/>
        </w:rPr>
        <w:t>El desarrollo de dichas políticas sociales contribuyeron</w:t>
      </w:r>
      <w:proofErr w:type="gramEnd"/>
      <w:r w:rsidRPr="00470C7C">
        <w:rPr>
          <w:rFonts w:cs="Arial"/>
          <w:iCs/>
          <w:szCs w:val="20"/>
          <w:lang w:val="es-ES_tradnl"/>
        </w:rPr>
        <w:t xml:space="preserve"> a que Brasil fuera retirado del Mapa de Hambre de la </w:t>
      </w:r>
      <w:r w:rsidRPr="00470C7C">
        <w:rPr>
          <w:rFonts w:cs="Arial"/>
          <w:iCs/>
          <w:szCs w:val="20"/>
          <w:lang w:val="es-ES"/>
        </w:rPr>
        <w:t xml:space="preserve">Organización de las Naciones Unidas para la Alimentación y la Agricultura (FAO) </w:t>
      </w:r>
      <w:r w:rsidRPr="00470C7C">
        <w:rPr>
          <w:rFonts w:cs="Arial"/>
          <w:iCs/>
          <w:szCs w:val="20"/>
          <w:lang w:val="es-ES_tradnl"/>
        </w:rPr>
        <w:t xml:space="preserve">en 2014, y </w:t>
      </w:r>
    </w:p>
    <w:p w14:paraId="19EA28B6" w14:textId="77777777" w:rsidR="004B0842" w:rsidRPr="00470C7C" w:rsidRDefault="004B0842" w:rsidP="008B0BCC">
      <w:pPr>
        <w:pStyle w:val="Prrafodelista"/>
        <w:numPr>
          <w:ilvl w:val="0"/>
          <w:numId w:val="12"/>
        </w:numPr>
        <w:autoSpaceDE w:val="0"/>
        <w:autoSpaceDN w:val="0"/>
        <w:adjustRightInd w:val="0"/>
        <w:spacing w:after="120"/>
        <w:ind w:hanging="11"/>
        <w:contextualSpacing w:val="0"/>
        <w:rPr>
          <w:rFonts w:cs="Arial"/>
          <w:iCs/>
          <w:szCs w:val="20"/>
          <w:lang w:val="es-ES_tradnl"/>
        </w:rPr>
      </w:pPr>
      <w:r w:rsidRPr="00470C7C">
        <w:rPr>
          <w:rFonts w:cs="Arial"/>
          <w:iCs/>
          <w:szCs w:val="20"/>
          <w:lang w:val="es-ES_tradnl"/>
        </w:rPr>
        <w:t xml:space="preserve">Consta en el expediente información sobre mecanismos </w:t>
      </w:r>
      <w:proofErr w:type="gramStart"/>
      <w:r w:rsidRPr="00470C7C">
        <w:rPr>
          <w:rFonts w:cs="Arial"/>
          <w:iCs/>
          <w:szCs w:val="20"/>
          <w:lang w:val="es-ES_tradnl"/>
        </w:rPr>
        <w:t>de  cooperación</w:t>
      </w:r>
      <w:proofErr w:type="gramEnd"/>
      <w:r w:rsidRPr="00470C7C">
        <w:rPr>
          <w:rFonts w:cs="Arial"/>
          <w:iCs/>
          <w:szCs w:val="20"/>
          <w:lang w:val="es-ES_tradnl"/>
        </w:rPr>
        <w:t xml:space="preserve"> técnica para ampliar y fortalecer las acciones en todo el país, entre los representantes del Consejo Nacional de Justicia, la OIT, el Ministerio Público del Trabajo, el Ministerio Público Federal, el Ministerio de Trabajo y Empleo, el Tribunal Superior de Trabajo, la Secretaría de Derechos Humanos de la Presidencia y el Sindicato Nacional de Auditores Fiscales del Trabajo.</w:t>
      </w:r>
      <w:r w:rsidRPr="00470C7C">
        <w:rPr>
          <w:rFonts w:cs="Arial"/>
          <w:i/>
          <w:iCs/>
          <w:szCs w:val="20"/>
          <w:lang w:val="es-ES_tradnl"/>
        </w:rPr>
        <w:t xml:space="preserve"> </w:t>
      </w:r>
      <w:r w:rsidRPr="00470C7C">
        <w:rPr>
          <w:rFonts w:cs="Arial"/>
          <w:iCs/>
          <w:szCs w:val="20"/>
          <w:lang w:val="es-ES_tradnl"/>
        </w:rPr>
        <w:t xml:space="preserve">Incluso, en 2010, la persecución penal de esclavitud contemporánea fue priorizada por la 2ª Cámara de Coordinación y Revisión del Ministerio Público Federal en todo el país, lo que originó un registro de base de datos con información sobre i) actas de inspección generada desde 1995 y conclusiones; </w:t>
      </w:r>
      <w:proofErr w:type="spellStart"/>
      <w:r w:rsidRPr="00470C7C">
        <w:rPr>
          <w:rFonts w:cs="Arial"/>
          <w:iCs/>
          <w:szCs w:val="20"/>
          <w:lang w:val="es-ES_tradnl"/>
        </w:rPr>
        <w:t>ii</w:t>
      </w:r>
      <w:proofErr w:type="spellEnd"/>
      <w:r w:rsidRPr="00470C7C">
        <w:rPr>
          <w:rFonts w:cs="Arial"/>
          <w:iCs/>
          <w:szCs w:val="20"/>
          <w:lang w:val="es-ES_tradnl"/>
        </w:rPr>
        <w:t xml:space="preserve">) la investigación criminal policial; </w:t>
      </w:r>
      <w:proofErr w:type="spellStart"/>
      <w:r w:rsidRPr="00470C7C">
        <w:rPr>
          <w:rFonts w:cs="Arial"/>
          <w:iCs/>
          <w:szCs w:val="20"/>
          <w:lang w:val="es-ES_tradnl"/>
        </w:rPr>
        <w:t>iii</w:t>
      </w:r>
      <w:proofErr w:type="spellEnd"/>
      <w:r w:rsidRPr="00470C7C">
        <w:rPr>
          <w:rFonts w:cs="Arial"/>
          <w:iCs/>
          <w:szCs w:val="20"/>
          <w:lang w:val="es-ES_tradnl"/>
        </w:rPr>
        <w:t xml:space="preserve">) la investigación criminal hecha por el Ministerio Público Federal; </w:t>
      </w:r>
      <w:proofErr w:type="spellStart"/>
      <w:r w:rsidRPr="00470C7C">
        <w:rPr>
          <w:rFonts w:cs="Arial"/>
          <w:iCs/>
          <w:szCs w:val="20"/>
          <w:lang w:val="es-ES_tradnl"/>
        </w:rPr>
        <w:t>iv</w:t>
      </w:r>
      <w:proofErr w:type="spellEnd"/>
      <w:r w:rsidRPr="00470C7C">
        <w:rPr>
          <w:rFonts w:cs="Arial"/>
          <w:iCs/>
          <w:szCs w:val="20"/>
          <w:lang w:val="es-ES_tradnl"/>
        </w:rPr>
        <w:t xml:space="preserve">) la revisión en materia de atribuciones; v) las acciones penales promovidas y ejecución de penas. Asimismo, la base de datos contiene vi) el resumen de las inspecciones; </w:t>
      </w:r>
      <w:proofErr w:type="spellStart"/>
      <w:r w:rsidRPr="00470C7C">
        <w:rPr>
          <w:rFonts w:cs="Arial"/>
          <w:iCs/>
          <w:szCs w:val="20"/>
          <w:lang w:val="es-ES_tradnl"/>
        </w:rPr>
        <w:t>vii</w:t>
      </w:r>
      <w:proofErr w:type="spellEnd"/>
      <w:r w:rsidRPr="00470C7C">
        <w:rPr>
          <w:rFonts w:cs="Arial"/>
          <w:iCs/>
          <w:szCs w:val="20"/>
          <w:lang w:val="es-ES_tradnl"/>
        </w:rPr>
        <w:t>) las entrevistas con trabajadores, traficantes (</w:t>
      </w:r>
      <w:r w:rsidRPr="00470C7C">
        <w:rPr>
          <w:rFonts w:cs="Arial"/>
          <w:i/>
          <w:iCs/>
          <w:szCs w:val="20"/>
          <w:lang w:val="es-ES_tradnl"/>
        </w:rPr>
        <w:t>gatos</w:t>
      </w:r>
      <w:r w:rsidRPr="00470C7C">
        <w:rPr>
          <w:rFonts w:cs="Arial"/>
          <w:iCs/>
          <w:szCs w:val="20"/>
          <w:lang w:val="es-ES_tradnl"/>
        </w:rPr>
        <w:t xml:space="preserve">) y gerentes; </w:t>
      </w:r>
      <w:proofErr w:type="spellStart"/>
      <w:r w:rsidRPr="00470C7C">
        <w:rPr>
          <w:rFonts w:cs="Arial"/>
          <w:iCs/>
          <w:szCs w:val="20"/>
          <w:lang w:val="es-ES_tradnl"/>
        </w:rPr>
        <w:t>viii</w:t>
      </w:r>
      <w:proofErr w:type="spellEnd"/>
      <w:r w:rsidRPr="00470C7C">
        <w:rPr>
          <w:rFonts w:cs="Arial"/>
          <w:iCs/>
          <w:szCs w:val="20"/>
          <w:lang w:val="es-ES_tradnl"/>
        </w:rPr>
        <w:t xml:space="preserve">) el libro de anotaciones de deudas de trabajadores, denuncias, investigación policiaca y </w:t>
      </w:r>
      <w:proofErr w:type="spellStart"/>
      <w:r w:rsidRPr="00470C7C">
        <w:rPr>
          <w:rFonts w:cs="Arial"/>
          <w:iCs/>
          <w:szCs w:val="20"/>
          <w:lang w:val="es-ES_tradnl"/>
        </w:rPr>
        <w:t>ix</w:t>
      </w:r>
      <w:proofErr w:type="spellEnd"/>
      <w:r w:rsidRPr="00470C7C">
        <w:rPr>
          <w:rFonts w:cs="Arial"/>
          <w:iCs/>
          <w:szCs w:val="20"/>
          <w:lang w:val="es-ES_tradnl"/>
        </w:rPr>
        <w:t>) fotografías</w:t>
      </w:r>
      <w:r w:rsidR="003A3C64" w:rsidRPr="00470C7C">
        <w:rPr>
          <w:rFonts w:cs="Arial"/>
          <w:iCs/>
          <w:szCs w:val="20"/>
          <w:lang w:val="es-ES_tradnl"/>
        </w:rPr>
        <w:t>.</w:t>
      </w:r>
      <w:r w:rsidRPr="00470C7C">
        <w:rPr>
          <w:rFonts w:cs="Arial"/>
          <w:iCs/>
          <w:szCs w:val="20"/>
          <w:lang w:val="es-ES_tradnl"/>
        </w:rPr>
        <w:t xml:space="preserve"> </w:t>
      </w:r>
    </w:p>
    <w:p w14:paraId="47287FF2" w14:textId="77777777" w:rsidR="003E63B3" w:rsidRPr="00470C7C" w:rsidRDefault="003E63B3" w:rsidP="003E63B3">
      <w:pPr>
        <w:pStyle w:val="Prrafodelista"/>
        <w:autoSpaceDE w:val="0"/>
        <w:autoSpaceDN w:val="0"/>
        <w:adjustRightInd w:val="0"/>
        <w:ind w:left="0"/>
        <w:rPr>
          <w:rFonts w:cs="Arial"/>
          <w:iCs/>
          <w:szCs w:val="20"/>
          <w:lang w:val="es-ES_tradnl"/>
        </w:rPr>
      </w:pPr>
    </w:p>
    <w:p w14:paraId="77C138BC"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En atención a lo anterior, la Corte considera que las acciones y políticas adoptadas por el Estado son suficientes y no estima necesario ordenar medidas adicionales.</w:t>
      </w:r>
      <w:r w:rsidR="00A3477B" w:rsidRPr="00470C7C">
        <w:rPr>
          <w:rFonts w:cs="Arial"/>
          <w:iCs/>
          <w:szCs w:val="20"/>
          <w:lang w:val="es-ES_tradnl"/>
        </w:rPr>
        <w:t xml:space="preserve"> </w:t>
      </w:r>
      <w:r w:rsidR="00AC382A" w:rsidRPr="00470C7C">
        <w:rPr>
          <w:rFonts w:cs="Arial"/>
          <w:iCs/>
          <w:szCs w:val="20"/>
          <w:lang w:val="es-ES_tradnl"/>
        </w:rPr>
        <w:t xml:space="preserve">En particular, la Corte destaca la participación activa del Ministerio Público Federal en las inspecciones del Grupo Móvil de Combate al Trabajo Esclavo. </w:t>
      </w:r>
      <w:r w:rsidR="00A3477B" w:rsidRPr="00470C7C">
        <w:rPr>
          <w:rFonts w:cs="Arial"/>
          <w:iCs/>
          <w:szCs w:val="20"/>
          <w:lang w:val="es-ES_tradnl"/>
        </w:rPr>
        <w:t xml:space="preserve">Sin perjuicio de lo anterior, la Corte insta al Estado a continuar incrementando la eficacia de sus políticas y la </w:t>
      </w:r>
      <w:r w:rsidR="00984A47" w:rsidRPr="00470C7C">
        <w:rPr>
          <w:rFonts w:cs="Arial"/>
          <w:iCs/>
          <w:szCs w:val="20"/>
          <w:lang w:val="es-ES_tradnl"/>
        </w:rPr>
        <w:t>interacción entre los varios órganos vinculados al combate de la esclavitud en Brasil</w:t>
      </w:r>
      <w:r w:rsidR="00233178" w:rsidRPr="00470C7C">
        <w:rPr>
          <w:rFonts w:cs="Arial"/>
          <w:iCs/>
          <w:szCs w:val="20"/>
          <w:lang w:val="es-ES_tradnl"/>
        </w:rPr>
        <w:t>,</w:t>
      </w:r>
      <w:r w:rsidR="005A78C3" w:rsidRPr="00470C7C">
        <w:rPr>
          <w:rFonts w:cs="Arial"/>
          <w:iCs/>
          <w:szCs w:val="20"/>
          <w:lang w:val="es-ES_tradnl"/>
        </w:rPr>
        <w:t xml:space="preserve"> sin permitir ninguna regresión en la materia</w:t>
      </w:r>
      <w:r w:rsidR="00984A47" w:rsidRPr="00470C7C">
        <w:rPr>
          <w:rFonts w:cs="Arial"/>
          <w:iCs/>
          <w:szCs w:val="20"/>
          <w:lang w:val="es-ES_tradnl"/>
        </w:rPr>
        <w:t xml:space="preserve">. </w:t>
      </w:r>
    </w:p>
    <w:p w14:paraId="4AAA6B9F" w14:textId="77777777" w:rsidR="004B0842" w:rsidRPr="00470C7C" w:rsidRDefault="004B0842" w:rsidP="004B0842">
      <w:pPr>
        <w:pStyle w:val="Prrafodelista"/>
        <w:autoSpaceDE w:val="0"/>
        <w:autoSpaceDN w:val="0"/>
        <w:adjustRightInd w:val="0"/>
        <w:rPr>
          <w:rFonts w:cs="Arial"/>
          <w:iCs/>
          <w:szCs w:val="20"/>
          <w:lang w:val="es-ES_tradnl"/>
        </w:rPr>
      </w:pPr>
    </w:p>
    <w:p w14:paraId="06EF9F30" w14:textId="77777777" w:rsidR="004B0842" w:rsidRPr="00470C7C" w:rsidRDefault="004B0842" w:rsidP="008B0BCC">
      <w:pPr>
        <w:pStyle w:val="Ttulo2"/>
        <w:numPr>
          <w:ilvl w:val="0"/>
          <w:numId w:val="21"/>
        </w:numPr>
      </w:pPr>
      <w:bookmarkStart w:id="424" w:name="_Toc464813993"/>
      <w:r w:rsidRPr="00470C7C">
        <w:t>Otras medidas solicitadas</w:t>
      </w:r>
      <w:bookmarkEnd w:id="424"/>
    </w:p>
    <w:p w14:paraId="31BAA18C" w14:textId="77777777" w:rsidR="004B0842" w:rsidRPr="00470C7C" w:rsidRDefault="004B0842" w:rsidP="004B0842">
      <w:pPr>
        <w:pStyle w:val="Prrafodelista"/>
        <w:autoSpaceDE w:val="0"/>
        <w:autoSpaceDN w:val="0"/>
        <w:adjustRightInd w:val="0"/>
        <w:rPr>
          <w:rFonts w:cs="Arial"/>
          <w:iCs/>
          <w:szCs w:val="20"/>
          <w:lang w:val="es-ES_tradnl"/>
        </w:rPr>
      </w:pPr>
    </w:p>
    <w:p w14:paraId="5FD438AC"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w:t>
      </w:r>
      <w:r w:rsidRPr="00470C7C">
        <w:rPr>
          <w:rFonts w:cs="Arial"/>
          <w:b/>
          <w:i/>
          <w:iCs/>
          <w:szCs w:val="20"/>
          <w:lang w:val="es-ES_tradnl"/>
        </w:rPr>
        <w:t>Comisión</w:t>
      </w:r>
      <w:r w:rsidRPr="00470C7C">
        <w:rPr>
          <w:rFonts w:cs="Arial"/>
          <w:iCs/>
          <w:szCs w:val="20"/>
          <w:lang w:val="es-ES_tradnl"/>
        </w:rPr>
        <w:t xml:space="preserve"> solicitó que se lleve a cabo una investigación respecto a los hechos relacionados con la desaparición de </w:t>
      </w:r>
      <w:proofErr w:type="spellStart"/>
      <w:r w:rsidR="008B075C" w:rsidRPr="00470C7C">
        <w:rPr>
          <w:rFonts w:cs="Arial"/>
          <w:iCs/>
          <w:szCs w:val="20"/>
          <w:lang w:val="es-ES_tradnl"/>
        </w:rPr>
        <w:t>Iron</w:t>
      </w:r>
      <w:proofErr w:type="spellEnd"/>
      <w:r w:rsidR="008B075C" w:rsidRPr="00470C7C">
        <w:rPr>
          <w:rFonts w:cs="Arial"/>
          <w:iCs/>
          <w:szCs w:val="20"/>
          <w:lang w:val="es-ES_tradnl"/>
        </w:rPr>
        <w:t xml:space="preserve"> Canuto </w:t>
      </w:r>
      <w:r w:rsidR="00BE63A6" w:rsidRPr="00470C7C">
        <w:rPr>
          <w:rFonts w:cs="Arial"/>
          <w:iCs/>
          <w:szCs w:val="20"/>
          <w:lang w:val="es-ES_tradnl"/>
        </w:rPr>
        <w:t>da Silva</w:t>
      </w:r>
      <w:r w:rsidRPr="00470C7C">
        <w:rPr>
          <w:rFonts w:cs="Arial"/>
          <w:iCs/>
          <w:szCs w:val="20"/>
          <w:lang w:val="es-ES_tradnl"/>
        </w:rPr>
        <w:t xml:space="preserve"> y </w:t>
      </w:r>
      <w:r w:rsidR="00200C04" w:rsidRPr="00470C7C">
        <w:rPr>
          <w:rFonts w:cs="Arial"/>
          <w:iCs/>
          <w:szCs w:val="20"/>
          <w:lang w:val="es-ES_tradnl"/>
        </w:rPr>
        <w:t xml:space="preserve">Luis Ferreira </w:t>
      </w:r>
      <w:r w:rsidR="00867094" w:rsidRPr="00470C7C">
        <w:rPr>
          <w:rFonts w:cs="Arial"/>
          <w:iCs/>
          <w:szCs w:val="20"/>
          <w:lang w:val="es-ES_tradnl"/>
        </w:rPr>
        <w:t>da Cruz</w:t>
      </w:r>
      <w:r w:rsidRPr="00470C7C">
        <w:rPr>
          <w:rFonts w:cs="Arial"/>
          <w:iCs/>
          <w:szCs w:val="20"/>
          <w:lang w:val="es-ES_tradnl"/>
        </w:rPr>
        <w:t xml:space="preserve">. Esta investigación debe ser conducida de </w:t>
      </w:r>
      <w:r w:rsidRPr="00470C7C">
        <w:rPr>
          <w:rFonts w:cs="Arial"/>
          <w:iCs/>
          <w:szCs w:val="20"/>
          <w:lang w:val="es-ES"/>
        </w:rPr>
        <w:t>manera imparcial, efectiva y dentro de un plazo razonable con el objeto de esclarecer los hechos en forma completa, identificar a los responsables e imponer las sanciones que correspondan</w:t>
      </w:r>
      <w:r w:rsidRPr="00470C7C">
        <w:rPr>
          <w:rFonts w:cs="Arial"/>
          <w:iCs/>
          <w:szCs w:val="20"/>
          <w:lang w:val="es-ES_tradnl"/>
        </w:rPr>
        <w:t>.</w:t>
      </w:r>
    </w:p>
    <w:p w14:paraId="6B8EFCE4" w14:textId="77777777" w:rsidR="004B0842" w:rsidRPr="00470C7C" w:rsidRDefault="004B0842" w:rsidP="004B0842">
      <w:pPr>
        <w:pStyle w:val="Prrafodelista"/>
        <w:autoSpaceDE w:val="0"/>
        <w:autoSpaceDN w:val="0"/>
        <w:adjustRightInd w:val="0"/>
        <w:rPr>
          <w:rFonts w:cs="Arial"/>
          <w:iCs/>
          <w:szCs w:val="20"/>
          <w:lang w:val="es-ES_tradnl"/>
        </w:rPr>
      </w:pPr>
    </w:p>
    <w:p w14:paraId="6788B1E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Adicionalmente la Comisión solicitó que se establezca </w:t>
      </w:r>
      <w:r w:rsidRPr="00470C7C">
        <w:rPr>
          <w:rFonts w:cs="Arial"/>
          <w:iCs/>
          <w:szCs w:val="20"/>
          <w:lang w:val="es-ES"/>
        </w:rPr>
        <w:t xml:space="preserve">un mecanismo que facilite la localización de las víctimas de trabajo esclavo </w:t>
      </w:r>
      <w:r w:rsidR="003A3C64" w:rsidRPr="00470C7C">
        <w:rPr>
          <w:rFonts w:cs="Arial"/>
          <w:iCs/>
          <w:szCs w:val="20"/>
          <w:lang w:val="es-ES"/>
        </w:rPr>
        <w:t xml:space="preserve">y </w:t>
      </w:r>
      <w:r w:rsidRPr="00470C7C">
        <w:rPr>
          <w:rFonts w:cs="Arial"/>
          <w:iCs/>
          <w:szCs w:val="20"/>
          <w:lang w:val="es-ES"/>
        </w:rPr>
        <w:t xml:space="preserve">de </w:t>
      </w:r>
      <w:proofErr w:type="spellStart"/>
      <w:r w:rsidR="008B075C" w:rsidRPr="00470C7C">
        <w:rPr>
          <w:rFonts w:cs="Arial"/>
          <w:iCs/>
          <w:szCs w:val="20"/>
          <w:lang w:val="es-ES"/>
        </w:rPr>
        <w:t>Iron</w:t>
      </w:r>
      <w:proofErr w:type="spellEnd"/>
      <w:r w:rsidR="008B075C" w:rsidRPr="00470C7C">
        <w:rPr>
          <w:rFonts w:cs="Arial"/>
          <w:iCs/>
          <w:szCs w:val="20"/>
          <w:lang w:val="es-ES"/>
        </w:rPr>
        <w:t xml:space="preserve"> Canuto </w:t>
      </w:r>
      <w:r w:rsidR="00BE63A6" w:rsidRPr="00470C7C">
        <w:rPr>
          <w:rFonts w:cs="Arial"/>
          <w:iCs/>
          <w:szCs w:val="20"/>
          <w:lang w:val="es-ES"/>
        </w:rPr>
        <w:t>da Silva</w:t>
      </w:r>
      <w:r w:rsidRPr="00470C7C">
        <w:rPr>
          <w:rFonts w:cs="Arial"/>
          <w:iCs/>
          <w:szCs w:val="20"/>
          <w:lang w:val="es-ES"/>
        </w:rPr>
        <w:t xml:space="preserve">, </w:t>
      </w:r>
      <w:r w:rsidR="00200C04" w:rsidRPr="00470C7C">
        <w:rPr>
          <w:rFonts w:cs="Arial"/>
          <w:iCs/>
          <w:szCs w:val="20"/>
          <w:lang w:val="es-ES"/>
        </w:rPr>
        <w:t xml:space="preserve">Luis Ferreira </w:t>
      </w:r>
      <w:r w:rsidR="00867094" w:rsidRPr="00470C7C">
        <w:rPr>
          <w:rFonts w:cs="Arial"/>
          <w:iCs/>
          <w:szCs w:val="20"/>
          <w:lang w:val="es-ES"/>
        </w:rPr>
        <w:t>da Cruz</w:t>
      </w:r>
      <w:r w:rsidRPr="00470C7C">
        <w:rPr>
          <w:rFonts w:cs="Arial"/>
          <w:iCs/>
          <w:szCs w:val="20"/>
          <w:lang w:val="es-ES"/>
        </w:rPr>
        <w:t xml:space="preserve">, </w:t>
      </w:r>
      <w:proofErr w:type="spellStart"/>
      <w:r w:rsidRPr="00470C7C">
        <w:rPr>
          <w:rFonts w:cs="Arial"/>
          <w:iCs/>
          <w:szCs w:val="20"/>
          <w:lang w:val="es-ES"/>
        </w:rPr>
        <w:t>Adailton</w:t>
      </w:r>
      <w:proofErr w:type="spellEnd"/>
      <w:r w:rsidRPr="00470C7C">
        <w:rPr>
          <w:rFonts w:cs="Arial"/>
          <w:iCs/>
          <w:szCs w:val="20"/>
          <w:lang w:val="es-ES"/>
        </w:rPr>
        <w:t xml:space="preserve"> </w:t>
      </w:r>
      <w:proofErr w:type="spellStart"/>
      <w:r w:rsidRPr="00470C7C">
        <w:rPr>
          <w:rFonts w:cs="Arial"/>
          <w:iCs/>
          <w:szCs w:val="20"/>
          <w:lang w:val="es-ES"/>
        </w:rPr>
        <w:t>Martins</w:t>
      </w:r>
      <w:proofErr w:type="spellEnd"/>
      <w:r w:rsidRPr="00470C7C">
        <w:rPr>
          <w:rFonts w:cs="Arial"/>
          <w:iCs/>
          <w:szCs w:val="20"/>
          <w:lang w:val="es-ES"/>
        </w:rPr>
        <w:t xml:space="preserve"> dos Reis, </w:t>
      </w:r>
      <w:r w:rsidR="003A3C64" w:rsidRPr="00470C7C">
        <w:rPr>
          <w:rFonts w:cs="Arial"/>
          <w:iCs/>
          <w:szCs w:val="20"/>
          <w:lang w:val="es-ES"/>
        </w:rPr>
        <w:t xml:space="preserve">y </w:t>
      </w:r>
      <w:r w:rsidR="00D63260" w:rsidRPr="00470C7C">
        <w:rPr>
          <w:rFonts w:cs="Arial"/>
          <w:iCs/>
          <w:szCs w:val="20"/>
          <w:lang w:val="es-ES"/>
        </w:rPr>
        <w:t xml:space="preserve">José </w:t>
      </w:r>
      <w:r w:rsidRPr="00470C7C">
        <w:rPr>
          <w:rFonts w:cs="Arial"/>
          <w:iCs/>
          <w:szCs w:val="20"/>
          <w:lang w:val="es-ES"/>
        </w:rPr>
        <w:t xml:space="preserve">Soriano da Costa, así como los familiares de los dos primeros, </w:t>
      </w:r>
      <w:r w:rsidR="00D63260" w:rsidRPr="00470C7C">
        <w:rPr>
          <w:rFonts w:cs="Arial"/>
          <w:iCs/>
          <w:szCs w:val="20"/>
          <w:lang w:val="es-ES"/>
        </w:rPr>
        <w:t xml:space="preserve">José </w:t>
      </w:r>
      <w:r w:rsidRPr="00470C7C">
        <w:rPr>
          <w:rFonts w:cs="Arial"/>
          <w:iCs/>
          <w:szCs w:val="20"/>
          <w:lang w:val="es-ES"/>
        </w:rPr>
        <w:t>Teodoro da Silva y Miguel Ferreira da Cruz, con el fin de repararlos</w:t>
      </w:r>
      <w:r w:rsidRPr="00470C7C">
        <w:rPr>
          <w:rFonts w:cs="Arial"/>
          <w:iCs/>
          <w:szCs w:val="20"/>
          <w:lang w:val="es-ES_tradnl"/>
        </w:rPr>
        <w:t>.</w:t>
      </w:r>
    </w:p>
    <w:p w14:paraId="021F0874" w14:textId="77777777" w:rsidR="004B0842" w:rsidRPr="00470C7C" w:rsidRDefault="004B0842" w:rsidP="004B0842">
      <w:pPr>
        <w:pStyle w:val="Prrafodelista"/>
        <w:autoSpaceDE w:val="0"/>
        <w:autoSpaceDN w:val="0"/>
        <w:adjustRightInd w:val="0"/>
        <w:rPr>
          <w:rFonts w:cs="Arial"/>
          <w:iCs/>
          <w:szCs w:val="20"/>
          <w:lang w:val="es-ES_tradnl"/>
        </w:rPr>
      </w:pPr>
    </w:p>
    <w:p w14:paraId="7B93E975"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Los </w:t>
      </w:r>
      <w:r w:rsidRPr="00470C7C">
        <w:rPr>
          <w:rFonts w:cs="Arial"/>
          <w:b/>
          <w:i/>
          <w:iCs/>
          <w:szCs w:val="20"/>
          <w:lang w:val="es-ES_tradnl"/>
        </w:rPr>
        <w:t>representantes</w:t>
      </w:r>
      <w:r w:rsidRPr="00470C7C">
        <w:rPr>
          <w:rFonts w:cs="Arial"/>
          <w:iCs/>
          <w:szCs w:val="20"/>
          <w:lang w:val="es-ES_tradnl"/>
        </w:rPr>
        <w:t xml:space="preserve"> coincidieron con la Comisión y el </w:t>
      </w:r>
      <w:r w:rsidRPr="00470C7C">
        <w:rPr>
          <w:rFonts w:cs="Arial"/>
          <w:b/>
          <w:i/>
          <w:iCs/>
          <w:szCs w:val="20"/>
          <w:lang w:val="es-ES_tradnl"/>
        </w:rPr>
        <w:t>Estado</w:t>
      </w:r>
      <w:r w:rsidRPr="00470C7C">
        <w:rPr>
          <w:rFonts w:cs="Arial"/>
          <w:iCs/>
          <w:szCs w:val="20"/>
          <w:lang w:val="es-ES_tradnl"/>
        </w:rPr>
        <w:t xml:space="preserve"> no se refirió a esta solicitud.</w:t>
      </w:r>
    </w:p>
    <w:p w14:paraId="74702ADC" w14:textId="77777777" w:rsidR="004B0842" w:rsidRPr="00470C7C" w:rsidRDefault="004B0842" w:rsidP="004B0842">
      <w:pPr>
        <w:pStyle w:val="Prrafodelista"/>
        <w:autoSpaceDE w:val="0"/>
        <w:autoSpaceDN w:val="0"/>
        <w:adjustRightInd w:val="0"/>
        <w:rPr>
          <w:rFonts w:cs="Arial"/>
          <w:iCs/>
          <w:szCs w:val="20"/>
          <w:lang w:val="es-ES_tradnl"/>
        </w:rPr>
      </w:pPr>
    </w:p>
    <w:p w14:paraId="0E292659" w14:textId="77777777" w:rsidR="00640DA8"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Atendido que la Corte concluyó en </w:t>
      </w:r>
      <w:r w:rsidR="003A3C64" w:rsidRPr="00470C7C">
        <w:rPr>
          <w:rFonts w:cs="Arial"/>
          <w:iCs/>
          <w:szCs w:val="20"/>
          <w:lang w:val="es-ES_tradnl"/>
        </w:rPr>
        <w:t>el capítulo VIII-2</w:t>
      </w:r>
      <w:r w:rsidRPr="00470C7C">
        <w:rPr>
          <w:rFonts w:cs="Arial"/>
          <w:iCs/>
          <w:szCs w:val="20"/>
          <w:lang w:val="es-ES_tradnl"/>
        </w:rPr>
        <w:t xml:space="preserve"> que Brasil no violó la Convención Americana respecto a la supuesta desaparición de </w:t>
      </w:r>
      <w:proofErr w:type="spellStart"/>
      <w:r w:rsidR="008B075C" w:rsidRPr="00470C7C">
        <w:rPr>
          <w:rFonts w:cs="Arial"/>
          <w:iCs/>
          <w:szCs w:val="20"/>
          <w:lang w:val="es-ES_tradnl"/>
        </w:rPr>
        <w:t>Iron</w:t>
      </w:r>
      <w:proofErr w:type="spellEnd"/>
      <w:r w:rsidR="008B075C" w:rsidRPr="00470C7C">
        <w:rPr>
          <w:rFonts w:cs="Arial"/>
          <w:iCs/>
          <w:szCs w:val="20"/>
          <w:lang w:val="es-ES_tradnl"/>
        </w:rPr>
        <w:t xml:space="preserve"> Canuto </w:t>
      </w:r>
      <w:r w:rsidR="00BE63A6" w:rsidRPr="00470C7C">
        <w:rPr>
          <w:rFonts w:cs="Arial"/>
          <w:iCs/>
          <w:szCs w:val="20"/>
          <w:lang w:val="es-ES_tradnl"/>
        </w:rPr>
        <w:t>da Silva</w:t>
      </w:r>
      <w:r w:rsidRPr="00470C7C">
        <w:rPr>
          <w:rFonts w:cs="Arial"/>
          <w:iCs/>
          <w:szCs w:val="20"/>
          <w:lang w:val="es-ES_tradnl"/>
        </w:rPr>
        <w:t xml:space="preserve"> y </w:t>
      </w:r>
      <w:r w:rsidR="00200C04" w:rsidRPr="00470C7C">
        <w:rPr>
          <w:rFonts w:cs="Arial"/>
          <w:iCs/>
          <w:szCs w:val="20"/>
          <w:lang w:val="es-ES_tradnl"/>
        </w:rPr>
        <w:t xml:space="preserve">Luis Ferreira </w:t>
      </w:r>
      <w:r w:rsidR="00867094" w:rsidRPr="00470C7C">
        <w:rPr>
          <w:rFonts w:cs="Arial"/>
          <w:iCs/>
          <w:szCs w:val="20"/>
          <w:lang w:val="es-ES_tradnl"/>
        </w:rPr>
        <w:t>da Cruz</w:t>
      </w:r>
      <w:r w:rsidRPr="00470C7C">
        <w:rPr>
          <w:rFonts w:cs="Arial"/>
          <w:iCs/>
          <w:szCs w:val="20"/>
          <w:lang w:val="es-ES_tradnl"/>
        </w:rPr>
        <w:t xml:space="preserve">, no es posible otorgar ninguna medida de reparación en este sentido. </w:t>
      </w:r>
    </w:p>
    <w:p w14:paraId="5BB0D183" w14:textId="77777777" w:rsidR="00640DA8" w:rsidRPr="00470C7C" w:rsidRDefault="00640DA8" w:rsidP="00D53175">
      <w:pPr>
        <w:pStyle w:val="Prrafodelista"/>
        <w:rPr>
          <w:rFonts w:cs="Arial"/>
          <w:iCs/>
          <w:szCs w:val="20"/>
          <w:lang w:val="es-ES_tradnl"/>
        </w:rPr>
      </w:pPr>
    </w:p>
    <w:p w14:paraId="29627CBC" w14:textId="77777777" w:rsidR="00640DA8" w:rsidRPr="00470C7C" w:rsidRDefault="007137FB" w:rsidP="00640DA8">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Por otro lado, l</w:t>
      </w:r>
      <w:r w:rsidR="00640DA8" w:rsidRPr="00470C7C">
        <w:rPr>
          <w:rFonts w:cs="Arial"/>
          <w:iCs/>
          <w:szCs w:val="20"/>
          <w:lang w:val="es-CL"/>
        </w:rPr>
        <w:t xml:space="preserve">os </w:t>
      </w:r>
      <w:r w:rsidR="00640DA8" w:rsidRPr="00470C7C">
        <w:rPr>
          <w:rFonts w:cs="Arial"/>
          <w:b/>
          <w:i/>
          <w:iCs/>
          <w:szCs w:val="20"/>
          <w:lang w:val="es-CL"/>
        </w:rPr>
        <w:t>representantes</w:t>
      </w:r>
      <w:r w:rsidR="00640DA8" w:rsidRPr="00470C7C">
        <w:rPr>
          <w:rFonts w:cs="Arial"/>
          <w:iCs/>
          <w:szCs w:val="20"/>
          <w:lang w:val="es-CL"/>
        </w:rPr>
        <w:t xml:space="preserve"> solicitaron dos medidas específicas como reparación simbólica a las víctimas. En primer lugar</w:t>
      </w:r>
      <w:r w:rsidR="003A3C64" w:rsidRPr="00470C7C">
        <w:rPr>
          <w:rFonts w:cs="Arial"/>
          <w:iCs/>
          <w:szCs w:val="20"/>
          <w:lang w:val="es-CL"/>
        </w:rPr>
        <w:t>,</w:t>
      </w:r>
      <w:r w:rsidR="00640DA8" w:rsidRPr="00470C7C">
        <w:rPr>
          <w:rFonts w:cs="Arial"/>
          <w:iCs/>
          <w:szCs w:val="20"/>
          <w:lang w:val="es-CL"/>
        </w:rPr>
        <w:t xml:space="preserve"> pidieron que se instale en algún organismo público de la ciudad de </w:t>
      </w:r>
      <w:proofErr w:type="spellStart"/>
      <w:r w:rsidR="00640DA8" w:rsidRPr="00470C7C">
        <w:rPr>
          <w:rFonts w:cs="Arial"/>
          <w:iCs/>
          <w:szCs w:val="20"/>
          <w:lang w:val="es-CL"/>
        </w:rPr>
        <w:t>Sapucaia</w:t>
      </w:r>
      <w:proofErr w:type="spellEnd"/>
      <w:r w:rsidR="00640DA8" w:rsidRPr="00470C7C">
        <w:rPr>
          <w:rFonts w:cs="Arial"/>
          <w:iCs/>
          <w:szCs w:val="20"/>
          <w:lang w:val="es-CL"/>
        </w:rPr>
        <w:t xml:space="preserve"> una placa conmemorativa sobre los hechos </w:t>
      </w:r>
      <w:r w:rsidR="003A3C64" w:rsidRPr="00470C7C">
        <w:rPr>
          <w:rFonts w:cs="Arial"/>
          <w:iCs/>
          <w:szCs w:val="20"/>
          <w:lang w:val="es-CL"/>
        </w:rPr>
        <w:t xml:space="preserve">y </w:t>
      </w:r>
      <w:r w:rsidR="00640DA8" w:rsidRPr="00470C7C">
        <w:rPr>
          <w:rFonts w:cs="Arial"/>
          <w:iCs/>
          <w:szCs w:val="20"/>
          <w:lang w:val="es-CL"/>
        </w:rPr>
        <w:t xml:space="preserve">la sentencia de la Corte. En segundo lugar, solicitaron que el Estado realice una ceremonia pública de reconocimiento de su responsabilidad internacional y pida disculpas a las víctimas. En ambos casos, solicitaron que estas medidas cuenten con la participación de las víctimas. </w:t>
      </w:r>
    </w:p>
    <w:p w14:paraId="42581296" w14:textId="77777777" w:rsidR="00640DA8" w:rsidRPr="00470C7C" w:rsidRDefault="00640DA8" w:rsidP="00640DA8">
      <w:pPr>
        <w:pStyle w:val="Prrafodelista"/>
        <w:autoSpaceDE w:val="0"/>
        <w:autoSpaceDN w:val="0"/>
        <w:adjustRightInd w:val="0"/>
        <w:rPr>
          <w:rFonts w:cs="Arial"/>
          <w:iCs/>
          <w:szCs w:val="20"/>
          <w:lang w:val="es-ES_tradnl"/>
        </w:rPr>
      </w:pPr>
    </w:p>
    <w:p w14:paraId="47CDD99C" w14:textId="77777777" w:rsidR="00640DA8" w:rsidRPr="00470C7C" w:rsidRDefault="00640DA8" w:rsidP="00640DA8">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no realizó objeciones relativas a la reparación simbólica en general. Sin embargo</w:t>
      </w:r>
      <w:r w:rsidR="003A3C64" w:rsidRPr="00470C7C">
        <w:rPr>
          <w:rFonts w:cs="Arial"/>
          <w:iCs/>
          <w:szCs w:val="20"/>
          <w:lang w:val="es-CL"/>
        </w:rPr>
        <w:t>,</w:t>
      </w:r>
      <w:r w:rsidRPr="00470C7C">
        <w:rPr>
          <w:rFonts w:cs="Arial"/>
          <w:iCs/>
          <w:szCs w:val="20"/>
          <w:lang w:val="es-CL"/>
        </w:rPr>
        <w:t xml:space="preserve"> solicitó que tanto la placa conmemorativa como la ceremonia pública sean definidas por el Estado sin necesidad del consentimiento de las víctimas. En caso que la Corte no considere esto adecuado, el Estado solicitó que sea la propia Corte la que defina el contenido de estas formas de reparación simbólica.</w:t>
      </w:r>
    </w:p>
    <w:p w14:paraId="3F221CB3" w14:textId="77777777" w:rsidR="00640DA8" w:rsidRPr="00470C7C" w:rsidRDefault="00640DA8" w:rsidP="00640DA8">
      <w:pPr>
        <w:pStyle w:val="Prrafodelista"/>
        <w:autoSpaceDE w:val="0"/>
        <w:autoSpaceDN w:val="0"/>
        <w:adjustRightInd w:val="0"/>
        <w:rPr>
          <w:rFonts w:cs="Arial"/>
          <w:iCs/>
          <w:szCs w:val="20"/>
          <w:lang w:val="es-ES_tradnl"/>
        </w:rPr>
      </w:pPr>
    </w:p>
    <w:p w14:paraId="1AB3CF81" w14:textId="77777777" w:rsidR="004B0842" w:rsidRPr="00470C7C" w:rsidRDefault="00640DA8" w:rsidP="00640DA8">
      <w:pPr>
        <w:pStyle w:val="Prrafodelista"/>
        <w:numPr>
          <w:ilvl w:val="0"/>
          <w:numId w:val="1"/>
        </w:numPr>
        <w:autoSpaceDE w:val="0"/>
        <w:autoSpaceDN w:val="0"/>
        <w:adjustRightInd w:val="0"/>
        <w:rPr>
          <w:rFonts w:cs="Arial"/>
          <w:iCs/>
          <w:szCs w:val="20"/>
          <w:lang w:val="es-ES_tradnl"/>
        </w:rPr>
      </w:pPr>
      <w:r w:rsidRPr="00470C7C">
        <w:rPr>
          <w:rFonts w:cs="Arial"/>
          <w:iCs/>
          <w:szCs w:val="20"/>
          <w:lang w:val="es-CO"/>
        </w:rPr>
        <w:t xml:space="preserve">En relación con las medidas de reparación señaladas, </w:t>
      </w:r>
      <w:r w:rsidRPr="00470C7C">
        <w:rPr>
          <w:rFonts w:cs="Arial"/>
          <w:iCs/>
          <w:szCs w:val="20"/>
          <w:lang w:val="es-CL"/>
        </w:rPr>
        <w:t>l</w:t>
      </w:r>
      <w:r w:rsidRPr="00470C7C">
        <w:rPr>
          <w:rFonts w:cs="Arial"/>
          <w:iCs/>
          <w:szCs w:val="20"/>
          <w:lang w:val="es-CO"/>
        </w:rPr>
        <w:t>a Corte considera que la emisión de la presente Sentencia y las reparaciones ordenadas en este capítulo resultan suficientes y adecuadas para remediar las violaciones sufridas por las víctimas y no estima necesario ordenar la realización de un acto público de reconocimiento de responsabilidad</w:t>
      </w:r>
      <w:r w:rsidRPr="00470C7C">
        <w:rPr>
          <w:rFonts w:cs="Arial"/>
          <w:iCs/>
          <w:szCs w:val="20"/>
        </w:rPr>
        <w:t xml:space="preserve"> ni la instalación de una placa conmemorativa en </w:t>
      </w:r>
      <w:proofErr w:type="spellStart"/>
      <w:r w:rsidRPr="00470C7C">
        <w:rPr>
          <w:rFonts w:cs="Arial"/>
          <w:iCs/>
          <w:szCs w:val="20"/>
        </w:rPr>
        <w:t>Sapucaia</w:t>
      </w:r>
      <w:proofErr w:type="spellEnd"/>
      <w:r w:rsidRPr="00470C7C">
        <w:rPr>
          <w:rFonts w:cs="Arial"/>
          <w:iCs/>
          <w:szCs w:val="20"/>
        </w:rPr>
        <w:t>.</w:t>
      </w:r>
      <w:r w:rsidR="004B0842" w:rsidRPr="00470C7C">
        <w:rPr>
          <w:rFonts w:cs="Arial"/>
          <w:iCs/>
          <w:szCs w:val="20"/>
          <w:lang w:val="es-ES_tradnl"/>
        </w:rPr>
        <w:t xml:space="preserve">  </w:t>
      </w:r>
    </w:p>
    <w:p w14:paraId="7F2C3E7C" w14:textId="77777777" w:rsidR="004B0842" w:rsidRPr="00470C7C" w:rsidRDefault="004B0842" w:rsidP="004B0842">
      <w:pPr>
        <w:pStyle w:val="Prrafodelista"/>
        <w:autoSpaceDE w:val="0"/>
        <w:autoSpaceDN w:val="0"/>
        <w:adjustRightInd w:val="0"/>
        <w:rPr>
          <w:rFonts w:cs="Arial"/>
          <w:iCs/>
          <w:szCs w:val="20"/>
          <w:lang w:val="es-ES_tradnl"/>
        </w:rPr>
      </w:pPr>
    </w:p>
    <w:p w14:paraId="5F6604D8" w14:textId="77777777" w:rsidR="004B0842" w:rsidRPr="00470C7C" w:rsidRDefault="004B0842" w:rsidP="008B0BCC">
      <w:pPr>
        <w:pStyle w:val="Ttulo2"/>
        <w:numPr>
          <w:ilvl w:val="0"/>
          <w:numId w:val="21"/>
        </w:numPr>
      </w:pPr>
      <w:bookmarkStart w:id="425" w:name="_Toc464813994"/>
      <w:r w:rsidRPr="00470C7C">
        <w:t>Indemnización compensatoria</w:t>
      </w:r>
      <w:bookmarkEnd w:id="425"/>
    </w:p>
    <w:p w14:paraId="67D4BE97" w14:textId="77777777" w:rsidR="004B0842" w:rsidRPr="00470C7C" w:rsidRDefault="004B0842" w:rsidP="004B0842">
      <w:pPr>
        <w:pStyle w:val="Prrafodelista"/>
        <w:autoSpaceDE w:val="0"/>
        <w:autoSpaceDN w:val="0"/>
        <w:adjustRightInd w:val="0"/>
        <w:ind w:left="0"/>
        <w:rPr>
          <w:rFonts w:cs="Arial"/>
          <w:i/>
          <w:iCs/>
          <w:szCs w:val="20"/>
          <w:lang w:val="es-ES_tradnl"/>
        </w:rPr>
      </w:pPr>
    </w:p>
    <w:p w14:paraId="67A084D0" w14:textId="77777777" w:rsidR="004B0842" w:rsidRPr="00470C7C" w:rsidRDefault="004B0842" w:rsidP="00863BF9">
      <w:pPr>
        <w:pStyle w:val="Ttulo3"/>
      </w:pPr>
      <w:bookmarkStart w:id="426" w:name="_Toc460433070"/>
      <w:bookmarkStart w:id="427" w:name="_Toc460442001"/>
      <w:bookmarkStart w:id="428" w:name="_Toc462751143"/>
      <w:bookmarkStart w:id="429" w:name="_Toc464813995"/>
      <w:r w:rsidRPr="00470C7C">
        <w:t>E.1.    Daños materiales</w:t>
      </w:r>
      <w:bookmarkEnd w:id="426"/>
      <w:bookmarkEnd w:id="427"/>
      <w:bookmarkEnd w:id="428"/>
      <w:bookmarkEnd w:id="429"/>
    </w:p>
    <w:p w14:paraId="1414173A" w14:textId="77777777" w:rsidR="004B0842" w:rsidRPr="00470C7C" w:rsidRDefault="004B0842" w:rsidP="004B0842">
      <w:pPr>
        <w:pStyle w:val="Prrafodelista"/>
        <w:autoSpaceDE w:val="0"/>
        <w:autoSpaceDN w:val="0"/>
        <w:adjustRightInd w:val="0"/>
        <w:rPr>
          <w:rFonts w:cs="Arial"/>
          <w:iCs/>
          <w:szCs w:val="20"/>
          <w:lang w:val="es-ES_tradnl"/>
        </w:rPr>
      </w:pPr>
    </w:p>
    <w:p w14:paraId="61CBC29E"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w:t>
      </w:r>
      <w:r w:rsidRPr="00470C7C">
        <w:rPr>
          <w:rFonts w:cs="Arial"/>
          <w:b/>
          <w:i/>
          <w:iCs/>
          <w:szCs w:val="20"/>
          <w:lang w:val="es-ES_tradnl"/>
        </w:rPr>
        <w:t>Comisión</w:t>
      </w:r>
      <w:r w:rsidRPr="00470C7C">
        <w:rPr>
          <w:rFonts w:cs="Arial"/>
          <w:iCs/>
          <w:szCs w:val="20"/>
          <w:lang w:val="es-ES_tradnl"/>
        </w:rPr>
        <w:t xml:space="preserve"> solicitó que las víctimas de este caso sean adecuadamente reparadas, tanto respecto a los daños materiales como morales. En particular</w:t>
      </w:r>
      <w:r w:rsidR="003A3C64" w:rsidRPr="00470C7C">
        <w:rPr>
          <w:rFonts w:cs="Arial"/>
          <w:iCs/>
          <w:szCs w:val="20"/>
          <w:lang w:val="es-ES_tradnl"/>
        </w:rPr>
        <w:t>,</w:t>
      </w:r>
      <w:r w:rsidRPr="00470C7C">
        <w:rPr>
          <w:rFonts w:cs="Arial"/>
          <w:iCs/>
          <w:szCs w:val="20"/>
          <w:lang w:val="es-ES_tradnl"/>
        </w:rPr>
        <w:t xml:space="preserve"> requirió que se </w:t>
      </w:r>
      <w:proofErr w:type="gramStart"/>
      <w:r w:rsidRPr="00470C7C">
        <w:rPr>
          <w:rFonts w:cs="Arial"/>
          <w:iCs/>
          <w:szCs w:val="20"/>
          <w:lang w:val="es-ES_tradnl"/>
        </w:rPr>
        <w:t>le</w:t>
      </w:r>
      <w:proofErr w:type="gramEnd"/>
      <w:r w:rsidRPr="00470C7C">
        <w:rPr>
          <w:rFonts w:cs="Arial"/>
          <w:iCs/>
          <w:szCs w:val="20"/>
          <w:lang w:val="es-ES_tradnl"/>
        </w:rPr>
        <w:t xml:space="preserve"> restituya a los trabajadores los salarios debidos por los servicios prestados así como las sumas de dinero ilegalmente sustraídas. </w:t>
      </w:r>
    </w:p>
    <w:p w14:paraId="60F60A3A" w14:textId="77777777" w:rsidR="004B0842" w:rsidRPr="00470C7C" w:rsidRDefault="004B0842" w:rsidP="004B0842">
      <w:pPr>
        <w:pStyle w:val="Prrafodelista"/>
        <w:autoSpaceDE w:val="0"/>
        <w:autoSpaceDN w:val="0"/>
        <w:adjustRightInd w:val="0"/>
        <w:rPr>
          <w:rFonts w:cs="Arial"/>
          <w:iCs/>
          <w:szCs w:val="20"/>
          <w:lang w:val="es-ES_tradnl"/>
        </w:rPr>
      </w:pPr>
    </w:p>
    <w:p w14:paraId="59F34350"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Los </w:t>
      </w:r>
      <w:r w:rsidRPr="00470C7C">
        <w:rPr>
          <w:rFonts w:cs="Arial"/>
          <w:b/>
          <w:i/>
          <w:iCs/>
          <w:szCs w:val="20"/>
          <w:lang w:val="es-CL"/>
        </w:rPr>
        <w:t>representantes</w:t>
      </w:r>
      <w:r w:rsidRPr="00470C7C">
        <w:rPr>
          <w:rFonts w:cs="Arial"/>
          <w:iCs/>
          <w:szCs w:val="20"/>
          <w:lang w:val="es-CL"/>
        </w:rPr>
        <w:t xml:space="preserve"> reclamaron el pago de todos aquellos derechos laborales que no fueron cubiertos por los “Términos de Rescisión de los Contratos de Trabajo” (TRCT) al momento del rescate de los trabajadores.</w:t>
      </w:r>
    </w:p>
    <w:p w14:paraId="646A31A5" w14:textId="77777777" w:rsidR="004B0842" w:rsidRPr="00470C7C" w:rsidRDefault="004B0842" w:rsidP="004B0842">
      <w:pPr>
        <w:pStyle w:val="Prrafodelista"/>
        <w:autoSpaceDE w:val="0"/>
        <w:autoSpaceDN w:val="0"/>
        <w:adjustRightInd w:val="0"/>
        <w:rPr>
          <w:rFonts w:cs="Arial"/>
          <w:iCs/>
          <w:szCs w:val="20"/>
          <w:lang w:val="es-ES_tradnl"/>
        </w:rPr>
      </w:pPr>
    </w:p>
    <w:p w14:paraId="58FF821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señaló que no puede responder por un daño exclusivamente laboral que debiese ser indemnizado por los particulares. Agregó que los representantes no aportaron ninguna prueba para demostrar los montos de los daños materiales en este caso y que la invocación a la equidad no puede suplir estas deficiencias probatorias.</w:t>
      </w:r>
    </w:p>
    <w:p w14:paraId="5D2FD0C7" w14:textId="77777777" w:rsidR="004B0842" w:rsidRPr="00470C7C" w:rsidRDefault="004B0842" w:rsidP="004B0842">
      <w:pPr>
        <w:pStyle w:val="Prrafodelista"/>
        <w:autoSpaceDE w:val="0"/>
        <w:autoSpaceDN w:val="0"/>
        <w:adjustRightInd w:val="0"/>
        <w:rPr>
          <w:rFonts w:cs="Arial"/>
          <w:iCs/>
          <w:szCs w:val="20"/>
          <w:lang w:val="es-ES_tradnl"/>
        </w:rPr>
      </w:pPr>
    </w:p>
    <w:p w14:paraId="0E694341"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La Corte ha desarrollado en su jurisprudencia el concepto de daño material y ha establecido que este supone “la pérdida o detrimento de los ingresos de las víctimas, los gastos efectuados con motivo de los hechos y las consecuencias de carácter pecuniario que tengan un nexo causal con los hechos del caso</w:t>
      </w:r>
      <w:r w:rsidRPr="00470C7C">
        <w:rPr>
          <w:rFonts w:cs="Arial"/>
          <w:iCs/>
          <w:szCs w:val="20"/>
          <w:vertAlign w:val="superscript"/>
          <w:lang w:val="es-ES_tradnl"/>
        </w:rPr>
        <w:footnoteReference w:id="533"/>
      </w:r>
      <w:r w:rsidR="003A3C64" w:rsidRPr="00470C7C">
        <w:rPr>
          <w:rFonts w:cs="Arial"/>
          <w:iCs/>
          <w:szCs w:val="20"/>
          <w:lang w:val="es-ES_tradnl"/>
        </w:rPr>
        <w:t>.</w:t>
      </w:r>
    </w:p>
    <w:p w14:paraId="7745C9BC" w14:textId="77777777" w:rsidR="004B0842" w:rsidRPr="00470C7C" w:rsidRDefault="004B0842" w:rsidP="004B0842">
      <w:pPr>
        <w:pStyle w:val="Prrafodelista"/>
        <w:autoSpaceDE w:val="0"/>
        <w:autoSpaceDN w:val="0"/>
        <w:adjustRightInd w:val="0"/>
        <w:rPr>
          <w:rFonts w:cs="Arial"/>
          <w:iCs/>
          <w:szCs w:val="20"/>
          <w:lang w:val="es-ES_tradnl"/>
        </w:rPr>
      </w:pPr>
    </w:p>
    <w:p w14:paraId="4B59292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La Corte no otorgará indemnización alguna por daños materiales en este caso. Los representantes no aportaron ninguna prueba relativa a su alegación </w:t>
      </w:r>
      <w:r w:rsidR="003A3C64" w:rsidRPr="00470C7C">
        <w:rPr>
          <w:rFonts w:cs="Arial"/>
          <w:iCs/>
          <w:szCs w:val="20"/>
          <w:lang w:val="es-CL"/>
        </w:rPr>
        <w:t xml:space="preserve">de </w:t>
      </w:r>
      <w:r w:rsidRPr="00470C7C">
        <w:rPr>
          <w:rFonts w:cs="Arial"/>
          <w:iCs/>
          <w:szCs w:val="20"/>
          <w:lang w:val="es-CL"/>
        </w:rPr>
        <w:t>que los montos pagados en virtud de los TRCT habrían sido insuficientes bajo la legislación laboral brasileña. La Corte no cuenta con ningún elemento para determinar cuál era la forma correcta de calcular las indemnizaciones de los TRCT, ya sea en términos generales o respecto de cada uno de los trabajadores identificados como víctimas en este caso. Consecuentemente, la Corte no se encuentra en condiciones de determinar: i) el monto que le correspondía a cada trabajador al momento de ser rescatado</w:t>
      </w:r>
      <w:r w:rsidR="003A3C64" w:rsidRPr="00470C7C">
        <w:rPr>
          <w:rFonts w:cs="Arial"/>
          <w:iCs/>
          <w:szCs w:val="20"/>
          <w:lang w:val="es-CL"/>
        </w:rPr>
        <w:t>,</w:t>
      </w:r>
      <w:r w:rsidRPr="00470C7C">
        <w:rPr>
          <w:rFonts w:cs="Arial"/>
          <w:iCs/>
          <w:szCs w:val="20"/>
          <w:lang w:val="es-CL"/>
        </w:rPr>
        <w:t xml:space="preserve"> y </w:t>
      </w:r>
      <w:proofErr w:type="spellStart"/>
      <w:r w:rsidRPr="00470C7C">
        <w:rPr>
          <w:rFonts w:cs="Arial"/>
          <w:iCs/>
          <w:szCs w:val="20"/>
          <w:lang w:val="es-CL"/>
        </w:rPr>
        <w:t>ii</w:t>
      </w:r>
      <w:proofErr w:type="spellEnd"/>
      <w:r w:rsidRPr="00470C7C">
        <w:rPr>
          <w:rFonts w:cs="Arial"/>
          <w:iCs/>
          <w:szCs w:val="20"/>
          <w:lang w:val="es-CL"/>
        </w:rPr>
        <w:t xml:space="preserve">) la eventual diferencia con el monto efectivamente recibido por cada trabajador. Los dos elementos anteriores son indispensables para establecer la existencia de un daño material. En consecuencia, la Corte desestima la solicitud de los representantes a este respecto.       </w:t>
      </w:r>
    </w:p>
    <w:p w14:paraId="368DBB87" w14:textId="77777777" w:rsidR="004B0842" w:rsidRPr="00470C7C" w:rsidRDefault="004B0842" w:rsidP="004B0842">
      <w:pPr>
        <w:pStyle w:val="Prrafodelista"/>
        <w:autoSpaceDE w:val="0"/>
        <w:autoSpaceDN w:val="0"/>
        <w:adjustRightInd w:val="0"/>
        <w:ind w:left="0"/>
        <w:rPr>
          <w:rFonts w:cs="Arial"/>
          <w:i/>
          <w:iCs/>
          <w:szCs w:val="20"/>
          <w:lang w:val="es-ES_tradnl"/>
        </w:rPr>
      </w:pPr>
    </w:p>
    <w:p w14:paraId="76600082" w14:textId="77777777" w:rsidR="004B0842" w:rsidRPr="00470C7C" w:rsidRDefault="004B0842" w:rsidP="00863BF9">
      <w:pPr>
        <w:pStyle w:val="Ttulo3"/>
      </w:pPr>
      <w:bookmarkStart w:id="430" w:name="_Toc460433071"/>
      <w:bookmarkStart w:id="431" w:name="_Toc460442002"/>
      <w:bookmarkStart w:id="432" w:name="_Toc462751144"/>
      <w:bookmarkStart w:id="433" w:name="_Toc464813996"/>
      <w:r w:rsidRPr="00470C7C">
        <w:t>E.2.   Daños inmateriales</w:t>
      </w:r>
      <w:bookmarkEnd w:id="430"/>
      <w:bookmarkEnd w:id="431"/>
      <w:bookmarkEnd w:id="432"/>
      <w:bookmarkEnd w:id="433"/>
      <w:r w:rsidRPr="00470C7C">
        <w:t xml:space="preserve"> </w:t>
      </w:r>
    </w:p>
    <w:p w14:paraId="5C006C97" w14:textId="77777777" w:rsidR="004B0842" w:rsidRPr="00470C7C" w:rsidRDefault="004B0842" w:rsidP="004B0842">
      <w:pPr>
        <w:pStyle w:val="Prrafodelista"/>
        <w:autoSpaceDE w:val="0"/>
        <w:autoSpaceDN w:val="0"/>
        <w:adjustRightInd w:val="0"/>
        <w:rPr>
          <w:rFonts w:cs="Arial"/>
          <w:iCs/>
          <w:szCs w:val="20"/>
          <w:lang w:val="es-ES_tradnl"/>
        </w:rPr>
      </w:pPr>
    </w:p>
    <w:p w14:paraId="1752D651"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Los</w:t>
      </w:r>
      <w:r w:rsidRPr="00470C7C">
        <w:rPr>
          <w:rFonts w:cs="Arial"/>
          <w:b/>
          <w:i/>
          <w:iCs/>
          <w:szCs w:val="20"/>
          <w:lang w:val="es-CL"/>
        </w:rPr>
        <w:t xml:space="preserve"> representantes</w:t>
      </w:r>
      <w:r w:rsidRPr="00470C7C">
        <w:rPr>
          <w:rFonts w:cs="Arial"/>
          <w:iCs/>
          <w:szCs w:val="20"/>
          <w:lang w:val="es-CL"/>
        </w:rPr>
        <w:t xml:space="preserve"> solicitaron la indemnización de los daños sufridos por todas las personas identificadas como víctimas en su Escrito de Solicitudes, Argumentos y Pruebas. En cuanto al daño inmaterial solicitaron US$ 40.000 para cada uno de los tr</w:t>
      </w:r>
      <w:r w:rsidR="00A235E3" w:rsidRPr="00470C7C">
        <w:rPr>
          <w:rFonts w:cs="Arial"/>
          <w:iCs/>
          <w:szCs w:val="20"/>
          <w:lang w:val="es-CL"/>
        </w:rPr>
        <w:t>abajadores encontrados en la Haci</w:t>
      </w:r>
      <w:r w:rsidRPr="00470C7C">
        <w:rPr>
          <w:rFonts w:cs="Arial"/>
          <w:iCs/>
          <w:szCs w:val="20"/>
          <w:lang w:val="es-CL"/>
        </w:rPr>
        <w:t>enda Brasil Verde en la fiscalización de abril de 1997 y en la de marzo de 2000. Asimismo, respecto a las víctimas de esa última inspección, solicitaron una indemnización del daño moral colectivo, calculado en equidad, destinado a la construcción de un curso técnico rural en Barras, Piauí, para la capacitación de trabajadores rurales.</w:t>
      </w:r>
    </w:p>
    <w:p w14:paraId="5FF4A5C2" w14:textId="77777777" w:rsidR="004B0842" w:rsidRPr="00470C7C" w:rsidRDefault="004B0842" w:rsidP="004B0842">
      <w:pPr>
        <w:pStyle w:val="Prrafodelista"/>
        <w:autoSpaceDE w:val="0"/>
        <w:autoSpaceDN w:val="0"/>
        <w:adjustRightInd w:val="0"/>
        <w:rPr>
          <w:rFonts w:cs="Arial"/>
          <w:iCs/>
          <w:szCs w:val="20"/>
          <w:lang w:val="es-ES_tradnl"/>
        </w:rPr>
      </w:pPr>
    </w:p>
    <w:p w14:paraId="4787F67E"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Adicionalmente, en su escrito de observaciones finales los representantes solicitaron US$ 40.000 para cada trabajador rescatado en la fiscalización de 1996 por concepto de indemnización del daño moral sufrido. En el mismo escrito también solicitaron una indemnización del daño moral por la desaparición forzada de </w:t>
      </w:r>
      <w:r w:rsidR="00200C04" w:rsidRPr="00470C7C">
        <w:rPr>
          <w:rFonts w:cs="Arial"/>
          <w:iCs/>
          <w:szCs w:val="20"/>
          <w:lang w:val="es-CL"/>
        </w:rPr>
        <w:t xml:space="preserve">Luis Ferreira </w:t>
      </w:r>
      <w:r w:rsidR="00701BB2" w:rsidRPr="00470C7C">
        <w:rPr>
          <w:rFonts w:cs="Arial"/>
          <w:iCs/>
          <w:szCs w:val="20"/>
          <w:lang w:val="es-CL"/>
        </w:rPr>
        <w:t xml:space="preserve">da Cruz </w:t>
      </w:r>
      <w:r w:rsidRPr="00470C7C">
        <w:rPr>
          <w:rFonts w:cs="Arial"/>
          <w:iCs/>
          <w:szCs w:val="20"/>
          <w:lang w:val="es-CL"/>
        </w:rPr>
        <w:t>.</w:t>
      </w:r>
    </w:p>
    <w:p w14:paraId="460812A5" w14:textId="77777777" w:rsidR="004B0842" w:rsidRPr="00470C7C" w:rsidRDefault="004B0842" w:rsidP="004B0842">
      <w:pPr>
        <w:pStyle w:val="Prrafodelista"/>
        <w:autoSpaceDE w:val="0"/>
        <w:autoSpaceDN w:val="0"/>
        <w:adjustRightInd w:val="0"/>
        <w:rPr>
          <w:rFonts w:cs="Arial"/>
          <w:iCs/>
          <w:szCs w:val="20"/>
          <w:lang w:val="es-ES_tradnl"/>
        </w:rPr>
      </w:pPr>
    </w:p>
    <w:p w14:paraId="3EC019BC"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alegó</w:t>
      </w:r>
      <w:r w:rsidR="003A3C64" w:rsidRPr="00470C7C">
        <w:rPr>
          <w:rFonts w:cs="Arial"/>
          <w:iCs/>
          <w:szCs w:val="20"/>
          <w:lang w:val="es-CL"/>
        </w:rPr>
        <w:t>,</w:t>
      </w:r>
      <w:r w:rsidRPr="00470C7C">
        <w:rPr>
          <w:rFonts w:cs="Arial"/>
          <w:iCs/>
          <w:szCs w:val="20"/>
          <w:lang w:val="es-CL"/>
        </w:rPr>
        <w:t xml:space="preserve"> en términos generales</w:t>
      </w:r>
      <w:r w:rsidR="003A3C64" w:rsidRPr="00470C7C">
        <w:rPr>
          <w:rFonts w:cs="Arial"/>
          <w:iCs/>
          <w:szCs w:val="20"/>
          <w:lang w:val="es-CL"/>
        </w:rPr>
        <w:t>,</w:t>
      </w:r>
      <w:r w:rsidRPr="00470C7C">
        <w:rPr>
          <w:rFonts w:cs="Arial"/>
          <w:iCs/>
          <w:szCs w:val="20"/>
          <w:lang w:val="es-CL"/>
        </w:rPr>
        <w:t xml:space="preserve"> que no tiene obligación de indemnizar el daño moral pues las supuestas violaciones de derechos fueron realizadas por particulares y no por el Estado. De esta manera</w:t>
      </w:r>
      <w:r w:rsidR="003A3C64" w:rsidRPr="00470C7C">
        <w:rPr>
          <w:rFonts w:cs="Arial"/>
          <w:iCs/>
          <w:szCs w:val="20"/>
          <w:lang w:val="es-CL"/>
        </w:rPr>
        <w:t>,</w:t>
      </w:r>
      <w:r w:rsidRPr="00470C7C">
        <w:rPr>
          <w:rFonts w:cs="Arial"/>
          <w:iCs/>
          <w:szCs w:val="20"/>
          <w:lang w:val="es-CL"/>
        </w:rPr>
        <w:t xml:space="preserve"> no existiría un nexo causal entre los daños alegados y la conducta del Estado. Agregó que</w:t>
      </w:r>
      <w:r w:rsidR="003A3C64" w:rsidRPr="00470C7C">
        <w:rPr>
          <w:rFonts w:cs="Arial"/>
          <w:iCs/>
          <w:szCs w:val="20"/>
          <w:lang w:val="es-CL"/>
        </w:rPr>
        <w:t>,</w:t>
      </w:r>
      <w:r w:rsidRPr="00470C7C">
        <w:rPr>
          <w:rFonts w:cs="Arial"/>
          <w:iCs/>
          <w:szCs w:val="20"/>
          <w:lang w:val="es-CL"/>
        </w:rPr>
        <w:t xml:space="preserve"> en caso de violaciones a los artículos 8 y 25 de la Convención Americana</w:t>
      </w:r>
      <w:r w:rsidR="003A3C64" w:rsidRPr="00470C7C">
        <w:rPr>
          <w:rFonts w:cs="Arial"/>
          <w:iCs/>
          <w:szCs w:val="20"/>
          <w:lang w:val="es-CL"/>
        </w:rPr>
        <w:t>,</w:t>
      </w:r>
      <w:r w:rsidRPr="00470C7C">
        <w:rPr>
          <w:rFonts w:cs="Arial"/>
          <w:iCs/>
          <w:szCs w:val="20"/>
          <w:lang w:val="es-CL"/>
        </w:rPr>
        <w:t xml:space="preserve"> la eventual sentencia es en sí misma reparación suficiente.</w:t>
      </w:r>
    </w:p>
    <w:p w14:paraId="6AA81A4F" w14:textId="77777777" w:rsidR="004B0842" w:rsidRPr="00470C7C" w:rsidRDefault="004B0842" w:rsidP="004B0842">
      <w:pPr>
        <w:pStyle w:val="Prrafodelista"/>
        <w:autoSpaceDE w:val="0"/>
        <w:autoSpaceDN w:val="0"/>
        <w:adjustRightInd w:val="0"/>
        <w:rPr>
          <w:rFonts w:cs="Arial"/>
          <w:iCs/>
          <w:szCs w:val="20"/>
          <w:lang w:val="es-ES_tradnl"/>
        </w:rPr>
      </w:pPr>
    </w:p>
    <w:p w14:paraId="4E0640C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La Corte ha desarrollado en su jurisprudencia el concepto de daño inmaterial y ha establecido que este “puede comprender tanto los sufrimientos y las aflicciones causados por la violación como el menoscabo de valores muy significativos para las personas y cualquier alteración, de carácter no pecuniario, en las condiciones de existencia de las víctimas”</w:t>
      </w:r>
      <w:r w:rsidRPr="00470C7C">
        <w:rPr>
          <w:rFonts w:cs="Arial"/>
          <w:iCs/>
          <w:szCs w:val="20"/>
          <w:vertAlign w:val="superscript"/>
          <w:lang w:val="es-ES_tradnl"/>
        </w:rPr>
        <w:footnoteReference w:id="534"/>
      </w:r>
      <w:r w:rsidRPr="00470C7C">
        <w:rPr>
          <w:rFonts w:cs="Arial"/>
          <w:iCs/>
          <w:szCs w:val="20"/>
          <w:lang w:val="es-ES_tradnl"/>
        </w:rPr>
        <w:t>. Dado que no es posible asignar al daño inmaterial un equivalente monetario preciso, solo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470C7C">
        <w:rPr>
          <w:rFonts w:cs="Arial"/>
          <w:iCs/>
          <w:szCs w:val="20"/>
          <w:vertAlign w:val="superscript"/>
          <w:lang w:val="es-ES_tradnl"/>
        </w:rPr>
        <w:footnoteReference w:id="535"/>
      </w:r>
      <w:r w:rsidRPr="00470C7C">
        <w:rPr>
          <w:rFonts w:cs="Arial"/>
          <w:iCs/>
          <w:szCs w:val="20"/>
          <w:lang w:val="es-ES_tradnl"/>
        </w:rPr>
        <w:t>.</w:t>
      </w:r>
    </w:p>
    <w:p w14:paraId="60F1258E" w14:textId="77777777" w:rsidR="004B0842" w:rsidRPr="00470C7C" w:rsidRDefault="004B0842" w:rsidP="004B0842">
      <w:pPr>
        <w:pStyle w:val="Prrafodelista"/>
        <w:autoSpaceDE w:val="0"/>
        <w:autoSpaceDN w:val="0"/>
        <w:adjustRightInd w:val="0"/>
        <w:rPr>
          <w:rFonts w:cs="Arial"/>
          <w:iCs/>
          <w:szCs w:val="20"/>
          <w:lang w:val="es-ES_tradnl"/>
        </w:rPr>
      </w:pPr>
    </w:p>
    <w:p w14:paraId="1E3AA90E"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En los capítulos </w:t>
      </w:r>
      <w:r w:rsidR="00753978" w:rsidRPr="00470C7C">
        <w:rPr>
          <w:rFonts w:cs="Arial"/>
          <w:iCs/>
          <w:szCs w:val="20"/>
          <w:lang w:val="es-ES_tradnl"/>
        </w:rPr>
        <w:t>VIII-1 y VIII-2</w:t>
      </w:r>
      <w:r w:rsidRPr="00470C7C">
        <w:rPr>
          <w:rFonts w:cs="Arial"/>
          <w:iCs/>
          <w:szCs w:val="20"/>
          <w:lang w:val="es-ES_tradnl"/>
        </w:rPr>
        <w:t xml:space="preserve"> se declaró la responsabilidad internacional del Estado por las violaciones a los derechos establecidos en el artículo 6 de la Convención Americana, en relación con los artículos 1.1, 3, 5, 7, 11 y 22 de la Convención (</w:t>
      </w:r>
      <w:r w:rsidRPr="00470C7C">
        <w:rPr>
          <w:rFonts w:cs="Arial"/>
          <w:i/>
          <w:iCs/>
          <w:szCs w:val="20"/>
          <w:lang w:val="es-ES_tradnl"/>
        </w:rPr>
        <w:t xml:space="preserve">supra </w:t>
      </w:r>
      <w:r w:rsidRPr="00470C7C">
        <w:rPr>
          <w:rFonts w:cs="Arial"/>
          <w:iCs/>
          <w:szCs w:val="20"/>
          <w:lang w:val="es-ES_tradnl"/>
        </w:rPr>
        <w:t xml:space="preserve">párr. </w:t>
      </w:r>
      <w:r w:rsidR="003452E0" w:rsidRPr="00470C7C">
        <w:rPr>
          <w:rFonts w:cs="Arial"/>
          <w:iCs/>
          <w:szCs w:val="20"/>
          <w:lang w:val="es-ES_tradnl"/>
        </w:rPr>
        <w:t>343</w:t>
      </w:r>
      <w:r w:rsidRPr="00470C7C">
        <w:rPr>
          <w:rFonts w:cs="Arial"/>
          <w:iCs/>
          <w:szCs w:val="20"/>
          <w:lang w:val="es-ES_tradnl"/>
        </w:rPr>
        <w:t>), así como los derechos establecidos en los artículos 8 y 25 del mismo instrumento (</w:t>
      </w:r>
      <w:r w:rsidRPr="00470C7C">
        <w:rPr>
          <w:rFonts w:cs="Arial"/>
          <w:i/>
          <w:iCs/>
          <w:szCs w:val="20"/>
          <w:lang w:val="es-ES_tradnl"/>
        </w:rPr>
        <w:t xml:space="preserve">supra </w:t>
      </w:r>
      <w:proofErr w:type="spellStart"/>
      <w:r w:rsidRPr="00470C7C">
        <w:rPr>
          <w:rFonts w:cs="Arial"/>
          <w:iCs/>
          <w:szCs w:val="20"/>
          <w:lang w:val="es-ES_tradnl"/>
        </w:rPr>
        <w:t>párr</w:t>
      </w:r>
      <w:r w:rsidR="00A66BE0" w:rsidRPr="00470C7C">
        <w:rPr>
          <w:rFonts w:cs="Arial"/>
          <w:iCs/>
          <w:szCs w:val="20"/>
          <w:lang w:val="es-ES_tradnl"/>
        </w:rPr>
        <w:t>s</w:t>
      </w:r>
      <w:proofErr w:type="spellEnd"/>
      <w:r w:rsidRPr="00470C7C">
        <w:rPr>
          <w:rFonts w:cs="Arial"/>
          <w:iCs/>
          <w:szCs w:val="20"/>
          <w:lang w:val="es-ES_tradnl"/>
        </w:rPr>
        <w:t>.</w:t>
      </w:r>
      <w:r w:rsidR="00A66BE0" w:rsidRPr="00470C7C">
        <w:rPr>
          <w:rFonts w:cs="Arial"/>
          <w:iCs/>
          <w:szCs w:val="20"/>
          <w:lang w:val="es-ES_tradnl"/>
        </w:rPr>
        <w:t xml:space="preserve"> 36</w:t>
      </w:r>
      <w:r w:rsidR="007A3720" w:rsidRPr="00470C7C">
        <w:rPr>
          <w:rFonts w:cs="Arial"/>
          <w:iCs/>
          <w:szCs w:val="20"/>
          <w:lang w:val="es-ES_tradnl"/>
        </w:rPr>
        <w:t>8</w:t>
      </w:r>
      <w:r w:rsidR="00A66BE0" w:rsidRPr="00470C7C">
        <w:rPr>
          <w:rFonts w:cs="Arial"/>
          <w:iCs/>
          <w:szCs w:val="20"/>
          <w:lang w:val="es-ES_tradnl"/>
        </w:rPr>
        <w:t>, 38</w:t>
      </w:r>
      <w:r w:rsidR="007A3720" w:rsidRPr="00470C7C">
        <w:rPr>
          <w:rFonts w:cs="Arial"/>
          <w:iCs/>
          <w:szCs w:val="20"/>
          <w:lang w:val="es-ES_tradnl"/>
        </w:rPr>
        <w:t>2</w:t>
      </w:r>
      <w:r w:rsidR="00A66BE0" w:rsidRPr="00470C7C">
        <w:rPr>
          <w:rFonts w:cs="Arial"/>
          <w:iCs/>
          <w:szCs w:val="20"/>
          <w:lang w:val="es-ES_tradnl"/>
        </w:rPr>
        <w:t xml:space="preserve"> y 42</w:t>
      </w:r>
      <w:r w:rsidR="007A3720" w:rsidRPr="00470C7C">
        <w:rPr>
          <w:rFonts w:cs="Arial"/>
          <w:iCs/>
          <w:szCs w:val="20"/>
          <w:lang w:val="es-ES_tradnl"/>
        </w:rPr>
        <w:t>0</w:t>
      </w:r>
      <w:r w:rsidR="00A66BE0" w:rsidRPr="00470C7C">
        <w:rPr>
          <w:rFonts w:cs="Arial"/>
          <w:iCs/>
          <w:szCs w:val="20"/>
          <w:lang w:val="es-ES_tradnl"/>
        </w:rPr>
        <w:t>),</w:t>
      </w:r>
      <w:r w:rsidR="00753978" w:rsidRPr="00470C7C">
        <w:rPr>
          <w:rFonts w:cs="Arial"/>
          <w:iCs/>
          <w:szCs w:val="20"/>
          <w:lang w:val="es-ES_tradnl"/>
        </w:rPr>
        <w:t xml:space="preserve"> en relación con </w:t>
      </w:r>
      <w:r w:rsidR="00A66BE0" w:rsidRPr="00470C7C">
        <w:rPr>
          <w:rFonts w:cs="Arial"/>
          <w:iCs/>
          <w:szCs w:val="20"/>
          <w:lang w:val="es-ES_tradnl"/>
        </w:rPr>
        <w:t xml:space="preserve">los </w:t>
      </w:r>
      <w:r w:rsidR="00FA0F9F" w:rsidRPr="00470C7C">
        <w:rPr>
          <w:rFonts w:cs="Arial"/>
          <w:iCs/>
          <w:szCs w:val="20"/>
          <w:lang w:val="es-ES_tradnl"/>
        </w:rPr>
        <w:t>artículo</w:t>
      </w:r>
      <w:r w:rsidR="00A66BE0" w:rsidRPr="00470C7C">
        <w:rPr>
          <w:rFonts w:cs="Arial"/>
          <w:iCs/>
          <w:szCs w:val="20"/>
          <w:lang w:val="es-ES_tradnl"/>
        </w:rPr>
        <w:t>s</w:t>
      </w:r>
      <w:r w:rsidR="00FA0F9F" w:rsidRPr="00470C7C">
        <w:rPr>
          <w:rFonts w:cs="Arial"/>
          <w:iCs/>
          <w:szCs w:val="20"/>
          <w:lang w:val="es-ES_tradnl"/>
        </w:rPr>
        <w:t xml:space="preserve"> 1.1 </w:t>
      </w:r>
      <w:r w:rsidR="00A66BE0" w:rsidRPr="00470C7C">
        <w:rPr>
          <w:rFonts w:cs="Arial"/>
          <w:iCs/>
          <w:szCs w:val="20"/>
          <w:lang w:val="es-ES_tradnl"/>
        </w:rPr>
        <w:t xml:space="preserve">y 2 </w:t>
      </w:r>
      <w:r w:rsidR="00FA0F9F" w:rsidRPr="00470C7C">
        <w:rPr>
          <w:rFonts w:cs="Arial"/>
          <w:iCs/>
          <w:szCs w:val="20"/>
          <w:lang w:val="es-ES_tradnl"/>
        </w:rPr>
        <w:t>de la Convención</w:t>
      </w:r>
      <w:r w:rsidRPr="00470C7C">
        <w:rPr>
          <w:rFonts w:cs="Arial"/>
          <w:iCs/>
          <w:szCs w:val="20"/>
          <w:lang w:val="es-ES_tradnl"/>
        </w:rPr>
        <w:t>. En consideración de lo expuesto</w:t>
      </w:r>
      <w:r w:rsidR="00D53175" w:rsidRPr="00470C7C">
        <w:rPr>
          <w:rFonts w:cs="Arial"/>
          <w:iCs/>
          <w:szCs w:val="20"/>
          <w:lang w:val="es-ES_tradnl"/>
        </w:rPr>
        <w:t xml:space="preserve"> y </w:t>
      </w:r>
      <w:r w:rsidR="00753978" w:rsidRPr="00470C7C">
        <w:rPr>
          <w:rFonts w:cs="Arial"/>
          <w:iCs/>
          <w:szCs w:val="20"/>
          <w:lang w:val="es-ES_tradnl"/>
        </w:rPr>
        <w:t>de</w:t>
      </w:r>
      <w:r w:rsidR="00D53175" w:rsidRPr="00470C7C">
        <w:rPr>
          <w:rFonts w:cs="Arial"/>
          <w:iCs/>
          <w:szCs w:val="20"/>
          <w:lang w:val="es-ES_tradnl"/>
        </w:rPr>
        <w:t xml:space="preserve"> las diferentes violaciones determinadas en la presente Sentencia respecto a grupos diferentes de trabajadores con base a hechos y violaciones de distinto carácter</w:t>
      </w:r>
      <w:r w:rsidRPr="00470C7C">
        <w:rPr>
          <w:rFonts w:cs="Arial"/>
          <w:iCs/>
          <w:szCs w:val="20"/>
          <w:lang w:val="es-ES_tradnl"/>
        </w:rPr>
        <w:t>, este Tribunal f</w:t>
      </w:r>
      <w:r w:rsidR="00D53175" w:rsidRPr="00470C7C">
        <w:rPr>
          <w:rFonts w:cs="Arial"/>
          <w:iCs/>
          <w:szCs w:val="20"/>
          <w:lang w:val="es-ES_tradnl"/>
        </w:rPr>
        <w:t>ija en equidad la suma de US$ 30</w:t>
      </w:r>
      <w:r w:rsidRPr="00470C7C">
        <w:rPr>
          <w:rFonts w:cs="Arial"/>
          <w:iCs/>
          <w:szCs w:val="20"/>
          <w:lang w:val="es-ES_tradnl"/>
        </w:rPr>
        <w:t xml:space="preserve">.000,00 (treinta mil dólares de los Estados Unidos de América) para cada uno de </w:t>
      </w:r>
      <w:r w:rsidRPr="00470C7C">
        <w:rPr>
          <w:rFonts w:cs="Arial"/>
          <w:iCs/>
          <w:szCs w:val="20"/>
          <w:lang w:val="es-ES"/>
        </w:rPr>
        <w:t>los 43 trabajadores de la Hacienda Brasil Verde que se encontraron durante la fiscalización de 23 de abril de 1997 y que fueron identificados por la Corte en el presente litigio (</w:t>
      </w:r>
      <w:r w:rsidRPr="00470C7C">
        <w:rPr>
          <w:rFonts w:cs="Arial"/>
          <w:i/>
          <w:iCs/>
          <w:szCs w:val="20"/>
          <w:lang w:val="es-ES"/>
        </w:rPr>
        <w:t>supra</w:t>
      </w:r>
      <w:r w:rsidRPr="00470C7C">
        <w:rPr>
          <w:rFonts w:cs="Arial"/>
          <w:iCs/>
          <w:szCs w:val="20"/>
          <w:lang w:val="es-ES"/>
        </w:rPr>
        <w:t xml:space="preserve"> párr. </w:t>
      </w:r>
      <w:r w:rsidR="00627AAF" w:rsidRPr="00470C7C">
        <w:rPr>
          <w:rFonts w:cs="Arial"/>
          <w:iCs/>
          <w:szCs w:val="20"/>
          <w:lang w:val="es-ES"/>
        </w:rPr>
        <w:t>199</w:t>
      </w:r>
      <w:r w:rsidRPr="00470C7C">
        <w:rPr>
          <w:rFonts w:cs="Arial"/>
          <w:iCs/>
          <w:szCs w:val="20"/>
          <w:lang w:val="es-ES"/>
        </w:rPr>
        <w:t xml:space="preserve">), y la suma de US$ 40.000,00 (cuarenta mil dólares de los Estados Unidos de </w:t>
      </w:r>
      <w:r w:rsidR="00A235E3" w:rsidRPr="00470C7C">
        <w:rPr>
          <w:rFonts w:cs="Arial"/>
          <w:iCs/>
          <w:szCs w:val="20"/>
          <w:lang w:val="es-ES"/>
        </w:rPr>
        <w:t>América</w:t>
      </w:r>
      <w:r w:rsidRPr="00470C7C">
        <w:rPr>
          <w:rFonts w:cs="Arial"/>
          <w:iCs/>
          <w:szCs w:val="20"/>
          <w:lang w:val="es-ES"/>
        </w:rPr>
        <w:t>) para cada uno de los 85 trabajadores de la Hacienda Brasil Verde que se encontraron durante la fiscalización de 15 de marzo de 2000 y que fueron identificados por la Corte en el presente litigio (</w:t>
      </w:r>
      <w:r w:rsidRPr="00470C7C">
        <w:rPr>
          <w:rFonts w:cs="Arial"/>
          <w:i/>
          <w:iCs/>
          <w:szCs w:val="20"/>
          <w:lang w:val="es-ES"/>
        </w:rPr>
        <w:t>supra</w:t>
      </w:r>
      <w:r w:rsidRPr="00470C7C">
        <w:rPr>
          <w:rFonts w:cs="Arial"/>
          <w:iCs/>
          <w:szCs w:val="20"/>
          <w:lang w:val="es-ES"/>
        </w:rPr>
        <w:t xml:space="preserve"> párr. </w:t>
      </w:r>
      <w:r w:rsidR="00627AAF" w:rsidRPr="00470C7C">
        <w:rPr>
          <w:rFonts w:cs="Arial"/>
          <w:iCs/>
          <w:szCs w:val="20"/>
          <w:lang w:val="es-ES_tradnl"/>
        </w:rPr>
        <w:t>206</w:t>
      </w:r>
      <w:r w:rsidRPr="00470C7C">
        <w:rPr>
          <w:rFonts w:cs="Arial"/>
          <w:iCs/>
          <w:szCs w:val="20"/>
          <w:lang w:val="es-ES_tradnl"/>
        </w:rPr>
        <w:t xml:space="preserve">). </w:t>
      </w:r>
    </w:p>
    <w:p w14:paraId="4B744A36" w14:textId="77777777" w:rsidR="004B0842" w:rsidRPr="00470C7C" w:rsidRDefault="004B0842" w:rsidP="004B0842">
      <w:pPr>
        <w:pStyle w:val="Prrafodelista"/>
        <w:autoSpaceDE w:val="0"/>
        <w:autoSpaceDN w:val="0"/>
        <w:adjustRightInd w:val="0"/>
        <w:ind w:left="0"/>
        <w:contextualSpacing w:val="0"/>
        <w:rPr>
          <w:rFonts w:cs="Arial"/>
          <w:iCs/>
          <w:szCs w:val="20"/>
          <w:lang w:val="es-ES_tradnl"/>
        </w:rPr>
      </w:pPr>
    </w:p>
    <w:p w14:paraId="474FE870"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La Corte considera que los montos determinados en equidad por concepto de pago de daño inmaterial para cada uno de los trabajadores de la Hacienda Brasil Verde encontrados en las fiscalizaciones de 1997 y 2000, compensa y forma parte de la reparación integral a las víctimas, tomando en consideración los sufrimientos y aflicciones que padecieron en su estado de condición análoga </w:t>
      </w:r>
      <w:r w:rsidR="00260035" w:rsidRPr="00470C7C">
        <w:rPr>
          <w:rFonts w:cs="Arial"/>
          <w:iCs/>
          <w:szCs w:val="20"/>
          <w:lang w:val="es-ES_tradnl"/>
        </w:rPr>
        <w:t xml:space="preserve">a la de </w:t>
      </w:r>
      <w:r w:rsidRPr="00470C7C">
        <w:rPr>
          <w:rFonts w:cs="Arial"/>
          <w:iCs/>
          <w:szCs w:val="20"/>
          <w:lang w:val="es-ES_tradnl"/>
        </w:rPr>
        <w:t xml:space="preserve">esclavo. Además, si bien la fijación del monto económico corresponde al ámbito del arbitrio judicial, en este caso es el más próximo al que solicitaron los representantes, por lo que se considera razonable y proporcional a lo solicitado.     </w:t>
      </w:r>
    </w:p>
    <w:p w14:paraId="5F94DCF7" w14:textId="77777777" w:rsidR="004B0842" w:rsidRPr="00470C7C" w:rsidRDefault="004B0842" w:rsidP="004B0842">
      <w:pPr>
        <w:pStyle w:val="Prrafodelista"/>
        <w:autoSpaceDE w:val="0"/>
        <w:autoSpaceDN w:val="0"/>
        <w:adjustRightInd w:val="0"/>
        <w:ind w:left="0"/>
        <w:contextualSpacing w:val="0"/>
        <w:rPr>
          <w:rFonts w:cs="Arial"/>
          <w:iCs/>
          <w:szCs w:val="20"/>
          <w:lang w:val="es-ES_tradnl"/>
        </w:rPr>
      </w:pPr>
    </w:p>
    <w:p w14:paraId="6CEDC61F"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CL"/>
        </w:rPr>
        <w:t xml:space="preserve">En relación con la petición de reparación de daño moral colectivo, la Corte considera que las compensaciones indemnizatorias ordenadas en la presente Sentencia son suficientes y no estima necesario ordenar reparaciones adicionales en el presente caso. </w:t>
      </w:r>
    </w:p>
    <w:p w14:paraId="78D67DA8" w14:textId="77777777" w:rsidR="004B0842" w:rsidRPr="00470C7C" w:rsidRDefault="004B0842" w:rsidP="004B0842">
      <w:pPr>
        <w:pStyle w:val="Prrafodelista"/>
        <w:autoSpaceDE w:val="0"/>
        <w:autoSpaceDN w:val="0"/>
        <w:adjustRightInd w:val="0"/>
        <w:ind w:left="0"/>
        <w:contextualSpacing w:val="0"/>
        <w:rPr>
          <w:rFonts w:cs="Arial"/>
          <w:iCs/>
          <w:szCs w:val="20"/>
          <w:lang w:val="es-ES_tradnl"/>
        </w:rPr>
      </w:pPr>
    </w:p>
    <w:p w14:paraId="579F9389" w14:textId="77777777" w:rsidR="004B0842" w:rsidRPr="00470C7C" w:rsidRDefault="004B0842" w:rsidP="008B0BCC">
      <w:pPr>
        <w:pStyle w:val="Ttulo2"/>
        <w:numPr>
          <w:ilvl w:val="0"/>
          <w:numId w:val="21"/>
        </w:numPr>
      </w:pPr>
      <w:bookmarkStart w:id="434" w:name="_Toc464813997"/>
      <w:r w:rsidRPr="00470C7C">
        <w:t>Costas y gastos</w:t>
      </w:r>
      <w:bookmarkStart w:id="435" w:name="_Toc426108490"/>
      <w:bookmarkStart w:id="436" w:name="_Toc430339043"/>
      <w:bookmarkStart w:id="437" w:name="_Toc451267379"/>
      <w:bookmarkEnd w:id="434"/>
    </w:p>
    <w:p w14:paraId="1FEBD234" w14:textId="77777777" w:rsidR="004B0842" w:rsidRPr="00470C7C" w:rsidRDefault="004B0842" w:rsidP="004B0842">
      <w:pPr>
        <w:pStyle w:val="Prrafodelista"/>
        <w:autoSpaceDE w:val="0"/>
        <w:autoSpaceDN w:val="0"/>
        <w:adjustRightInd w:val="0"/>
        <w:rPr>
          <w:rFonts w:cs="Arial"/>
          <w:iCs/>
          <w:szCs w:val="20"/>
          <w:lang w:val="es-CL"/>
        </w:rPr>
      </w:pPr>
    </w:p>
    <w:p w14:paraId="34EBC9CA" w14:textId="77777777" w:rsidR="004B0842" w:rsidRPr="00470C7C" w:rsidRDefault="004B0842" w:rsidP="004B0842">
      <w:pPr>
        <w:pStyle w:val="Prrafodelista"/>
        <w:numPr>
          <w:ilvl w:val="0"/>
          <w:numId w:val="1"/>
        </w:numPr>
        <w:autoSpaceDE w:val="0"/>
        <w:autoSpaceDN w:val="0"/>
        <w:adjustRightInd w:val="0"/>
        <w:rPr>
          <w:rFonts w:cs="Arial"/>
          <w:iCs/>
          <w:szCs w:val="20"/>
          <w:lang w:val="es-CL"/>
        </w:rPr>
      </w:pPr>
      <w:r w:rsidRPr="00470C7C">
        <w:rPr>
          <w:rFonts w:cs="Arial"/>
          <w:iCs/>
          <w:szCs w:val="20"/>
          <w:lang w:val="es-CL"/>
        </w:rPr>
        <w:t xml:space="preserve">Los </w:t>
      </w:r>
      <w:r w:rsidRPr="00470C7C">
        <w:rPr>
          <w:rFonts w:cs="Arial"/>
          <w:b/>
          <w:bCs/>
          <w:i/>
          <w:iCs/>
          <w:szCs w:val="20"/>
          <w:lang w:val="es-CL"/>
        </w:rPr>
        <w:t xml:space="preserve">representantes </w:t>
      </w:r>
      <w:r w:rsidRPr="00470C7C">
        <w:rPr>
          <w:rFonts w:cs="Arial"/>
          <w:iCs/>
          <w:szCs w:val="20"/>
          <w:lang w:val="es-CL"/>
        </w:rPr>
        <w:t>solicitaron el pago por los gastos incurridos en la tramitación del presente proceso; desde la presentación de la petición ante la Comisión hasta las diligencias llevadas a cabo ante la Corte.</w:t>
      </w:r>
    </w:p>
    <w:p w14:paraId="54A92D5D" w14:textId="77777777" w:rsidR="004B0842" w:rsidRPr="00470C7C" w:rsidRDefault="004B0842" w:rsidP="004B0842">
      <w:pPr>
        <w:pStyle w:val="Prrafodelista"/>
        <w:autoSpaceDE w:val="0"/>
        <w:autoSpaceDN w:val="0"/>
        <w:adjustRightInd w:val="0"/>
        <w:rPr>
          <w:rFonts w:cs="Arial"/>
          <w:iCs/>
          <w:szCs w:val="20"/>
          <w:lang w:val="es-CL"/>
        </w:rPr>
      </w:pPr>
    </w:p>
    <w:p w14:paraId="793E2099" w14:textId="77777777" w:rsidR="004B0842" w:rsidRPr="00470C7C" w:rsidRDefault="004B0842" w:rsidP="004B0842">
      <w:pPr>
        <w:pStyle w:val="Prrafodelista"/>
        <w:numPr>
          <w:ilvl w:val="0"/>
          <w:numId w:val="1"/>
        </w:numPr>
        <w:autoSpaceDE w:val="0"/>
        <w:autoSpaceDN w:val="0"/>
        <w:adjustRightInd w:val="0"/>
        <w:rPr>
          <w:rFonts w:cs="Arial"/>
          <w:iCs/>
          <w:szCs w:val="20"/>
          <w:lang w:val="es-CL"/>
        </w:rPr>
      </w:pPr>
      <w:r w:rsidRPr="00470C7C">
        <w:rPr>
          <w:rFonts w:cs="Arial"/>
          <w:iCs/>
          <w:szCs w:val="20"/>
          <w:lang w:val="es-CL"/>
        </w:rPr>
        <w:t xml:space="preserve">Los representantes señalaron que los gastos y costas de la CPT ascendieron a US$139,66. Por su parte los gastos y costas de CEJIL alcanzaron la suma de US$105.108,25. Los representantes dividieron la suma anterior de la siguiente manera: i) US$45.764,54 por gastos de viajes; </w:t>
      </w:r>
      <w:proofErr w:type="spellStart"/>
      <w:r w:rsidRPr="00470C7C">
        <w:rPr>
          <w:rFonts w:cs="Arial"/>
          <w:iCs/>
          <w:szCs w:val="20"/>
          <w:lang w:val="es-CL"/>
        </w:rPr>
        <w:t>ii</w:t>
      </w:r>
      <w:proofErr w:type="spellEnd"/>
      <w:r w:rsidRPr="00470C7C">
        <w:rPr>
          <w:rFonts w:cs="Arial"/>
          <w:iCs/>
          <w:szCs w:val="20"/>
          <w:lang w:val="es-CL"/>
        </w:rPr>
        <w:t>) US$1.678,76 por gastos de corre</w:t>
      </w:r>
      <w:r w:rsidR="00753978" w:rsidRPr="00470C7C">
        <w:rPr>
          <w:rFonts w:cs="Arial"/>
          <w:iCs/>
          <w:szCs w:val="20"/>
          <w:lang w:val="es-CL"/>
        </w:rPr>
        <w:t>o</w:t>
      </w:r>
      <w:r w:rsidRPr="00470C7C">
        <w:rPr>
          <w:rFonts w:cs="Arial"/>
          <w:iCs/>
          <w:szCs w:val="20"/>
          <w:lang w:val="es-CL"/>
        </w:rPr>
        <w:t xml:space="preserve">s y copias; </w:t>
      </w:r>
      <w:proofErr w:type="spellStart"/>
      <w:r w:rsidRPr="00470C7C">
        <w:rPr>
          <w:rFonts w:cs="Arial"/>
          <w:iCs/>
          <w:szCs w:val="20"/>
          <w:lang w:val="es-CL"/>
        </w:rPr>
        <w:t>iii</w:t>
      </w:r>
      <w:proofErr w:type="spellEnd"/>
      <w:r w:rsidRPr="00470C7C">
        <w:rPr>
          <w:rFonts w:cs="Arial"/>
          <w:iCs/>
          <w:szCs w:val="20"/>
          <w:lang w:val="es-CL"/>
        </w:rPr>
        <w:t xml:space="preserve">) US$2.770,29 por gastos notariales y traducciones; </w:t>
      </w:r>
      <w:proofErr w:type="spellStart"/>
      <w:r w:rsidRPr="00470C7C">
        <w:rPr>
          <w:rFonts w:cs="Arial"/>
          <w:iCs/>
          <w:szCs w:val="20"/>
          <w:lang w:val="es-CL"/>
        </w:rPr>
        <w:t>iv</w:t>
      </w:r>
      <w:proofErr w:type="spellEnd"/>
      <w:r w:rsidRPr="00470C7C">
        <w:rPr>
          <w:rFonts w:cs="Arial"/>
          <w:iCs/>
          <w:szCs w:val="20"/>
          <w:lang w:val="es-CL"/>
        </w:rPr>
        <w:t>) US$122,24 por gastos relacionados con investigación; v) US$54.591,48 por salarios; y vi) US$180,95 por llamadas de larga distancia.</w:t>
      </w:r>
    </w:p>
    <w:p w14:paraId="5F758949" w14:textId="77777777" w:rsidR="004B0842" w:rsidRPr="00470C7C" w:rsidRDefault="004B0842" w:rsidP="004B0842">
      <w:pPr>
        <w:pStyle w:val="Prrafodelista"/>
        <w:autoSpaceDE w:val="0"/>
        <w:autoSpaceDN w:val="0"/>
        <w:adjustRightInd w:val="0"/>
        <w:rPr>
          <w:rFonts w:cs="Arial"/>
          <w:iCs/>
          <w:szCs w:val="20"/>
          <w:lang w:val="es-CL"/>
        </w:rPr>
      </w:pPr>
    </w:p>
    <w:p w14:paraId="3B20B187" w14:textId="77777777" w:rsidR="004B0842" w:rsidRPr="00470C7C" w:rsidRDefault="004B0842" w:rsidP="004B0842">
      <w:pPr>
        <w:pStyle w:val="Prrafodelista"/>
        <w:numPr>
          <w:ilvl w:val="0"/>
          <w:numId w:val="1"/>
        </w:numPr>
        <w:autoSpaceDE w:val="0"/>
        <w:autoSpaceDN w:val="0"/>
        <w:adjustRightInd w:val="0"/>
        <w:rPr>
          <w:rFonts w:cs="Arial"/>
          <w:iCs/>
          <w:szCs w:val="20"/>
          <w:lang w:val="es-CL"/>
        </w:rPr>
      </w:pPr>
      <w:r w:rsidRPr="00470C7C">
        <w:rPr>
          <w:rFonts w:cs="Arial"/>
          <w:iCs/>
          <w:szCs w:val="20"/>
          <w:lang w:val="es-CL"/>
        </w:rPr>
        <w:t xml:space="preserve">El </w:t>
      </w:r>
      <w:r w:rsidRPr="00470C7C">
        <w:rPr>
          <w:rFonts w:cs="Arial"/>
          <w:b/>
          <w:i/>
          <w:iCs/>
          <w:szCs w:val="20"/>
          <w:lang w:val="es-CL"/>
        </w:rPr>
        <w:t>Estado</w:t>
      </w:r>
      <w:r w:rsidRPr="00470C7C">
        <w:rPr>
          <w:rFonts w:cs="Arial"/>
          <w:iCs/>
          <w:szCs w:val="20"/>
          <w:lang w:val="es-CL"/>
        </w:rPr>
        <w:t xml:space="preserve"> solicitó que, en caso que no se declare su responsabilidad internacional, no sea condenado a pagar ningún monto por gastos y costas. </w:t>
      </w:r>
      <w:r w:rsidR="00C2779D" w:rsidRPr="00470C7C">
        <w:rPr>
          <w:rFonts w:cs="Arial"/>
          <w:iCs/>
          <w:szCs w:val="20"/>
          <w:lang w:val="es-CL"/>
        </w:rPr>
        <w:t>Específicamente</w:t>
      </w:r>
      <w:r w:rsidR="00CE461E" w:rsidRPr="00470C7C">
        <w:rPr>
          <w:rFonts w:cs="Arial"/>
          <w:iCs/>
          <w:szCs w:val="20"/>
          <w:lang w:val="es-CL"/>
        </w:rPr>
        <w:t>,</w:t>
      </w:r>
      <w:r w:rsidRPr="00470C7C">
        <w:rPr>
          <w:rFonts w:cs="Arial"/>
          <w:iCs/>
          <w:szCs w:val="20"/>
          <w:lang w:val="es-CL"/>
        </w:rPr>
        <w:t xml:space="preserve"> requirió que la Corte se pronuncie sobre el carácter de las costas y gastos.</w:t>
      </w:r>
    </w:p>
    <w:p w14:paraId="7047531E" w14:textId="77777777" w:rsidR="004B0842" w:rsidRPr="00470C7C" w:rsidRDefault="004B0842" w:rsidP="004B0842">
      <w:pPr>
        <w:pStyle w:val="Prrafodelista"/>
        <w:autoSpaceDE w:val="0"/>
        <w:autoSpaceDN w:val="0"/>
        <w:adjustRightInd w:val="0"/>
        <w:rPr>
          <w:rFonts w:cs="Arial"/>
          <w:iCs/>
          <w:szCs w:val="20"/>
          <w:lang w:val="es-CL"/>
        </w:rPr>
      </w:pPr>
    </w:p>
    <w:p w14:paraId="7B4CA63F" w14:textId="77777777" w:rsidR="004B0842" w:rsidRPr="00470C7C" w:rsidRDefault="004B0842" w:rsidP="004B0842">
      <w:pPr>
        <w:pStyle w:val="Prrafodelista"/>
        <w:numPr>
          <w:ilvl w:val="0"/>
          <w:numId w:val="1"/>
        </w:numPr>
        <w:autoSpaceDE w:val="0"/>
        <w:autoSpaceDN w:val="0"/>
        <w:adjustRightInd w:val="0"/>
        <w:rPr>
          <w:rFonts w:cs="Arial"/>
          <w:iCs/>
          <w:szCs w:val="20"/>
          <w:lang w:val="es-CL"/>
        </w:rPr>
      </w:pPr>
      <w:r w:rsidRPr="00470C7C">
        <w:rPr>
          <w:rFonts w:cs="Arial"/>
          <w:iCs/>
          <w:szCs w:val="20"/>
          <w:lang w:val="es-CL"/>
        </w:rPr>
        <w:t xml:space="preserve">Adicionalmente, en caso de ser condenado a pagar costas y gastos, el Estado señaló que debe ser por montos razonables y debidamente comprobados que tengan relación directa con el caso concreto. En particular, Brasil consideró que los gastos por salarios de abogados no cumplen con estos requisitos pues se trata de simples estimados imposibles de ser corroborados. </w:t>
      </w:r>
    </w:p>
    <w:p w14:paraId="4692C4EF" w14:textId="77777777" w:rsidR="004B0842" w:rsidRPr="00470C7C" w:rsidRDefault="004B0842" w:rsidP="004B0842">
      <w:pPr>
        <w:pStyle w:val="Prrafodelista"/>
        <w:autoSpaceDE w:val="0"/>
        <w:autoSpaceDN w:val="0"/>
        <w:adjustRightInd w:val="0"/>
        <w:rPr>
          <w:rFonts w:cs="Arial"/>
          <w:iCs/>
          <w:szCs w:val="20"/>
          <w:lang w:val="es-CL"/>
        </w:rPr>
      </w:pPr>
    </w:p>
    <w:p w14:paraId="0799DD05" w14:textId="77777777" w:rsidR="004B0842" w:rsidRPr="00470C7C" w:rsidRDefault="004B0842" w:rsidP="004B0842">
      <w:pPr>
        <w:pStyle w:val="Prrafodelista"/>
        <w:numPr>
          <w:ilvl w:val="0"/>
          <w:numId w:val="1"/>
        </w:numPr>
        <w:autoSpaceDE w:val="0"/>
        <w:autoSpaceDN w:val="0"/>
        <w:adjustRightInd w:val="0"/>
        <w:rPr>
          <w:rFonts w:cs="Arial"/>
          <w:iCs/>
          <w:szCs w:val="20"/>
          <w:lang w:val="es-CL"/>
        </w:rPr>
      </w:pPr>
      <w:r w:rsidRPr="00470C7C">
        <w:rPr>
          <w:rFonts w:cs="Arial"/>
          <w:iCs/>
          <w:szCs w:val="20"/>
          <w:lang w:val="es-ES_tradnl"/>
        </w:rPr>
        <w:t>La Corte reitera que, conforme a su jurisprudencia, las costas y gastos hacen parte del concepto de reparación,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 En cuanto al reembolso de gastos, corresponde a la Corte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quantum sea razonable</w:t>
      </w:r>
      <w:r w:rsidRPr="00470C7C">
        <w:rPr>
          <w:rFonts w:cs="Arial"/>
          <w:iCs/>
          <w:szCs w:val="20"/>
          <w:vertAlign w:val="superscript"/>
          <w:lang w:val="es-ES_tradnl"/>
        </w:rPr>
        <w:footnoteReference w:id="536"/>
      </w:r>
      <w:r w:rsidRPr="00470C7C">
        <w:rPr>
          <w:rFonts w:cs="Arial"/>
          <w:iCs/>
          <w:szCs w:val="20"/>
          <w:lang w:val="es-ES_tradnl"/>
        </w:rPr>
        <w:t>. Como ha señalado en otras ocasiones, la Corte recuerda que no es suficiente la remisión de documentos probatorios, sino que se requiere que las partes hagan una argumentación que relacione la prueba con el hecho que se considera representado, y que, al tratarse de alegados desembolsos económicos, se establezca con claridad los rubros y la justificación de los mismos</w:t>
      </w:r>
      <w:r w:rsidRPr="00470C7C">
        <w:rPr>
          <w:rFonts w:cs="Arial"/>
          <w:iCs/>
          <w:szCs w:val="20"/>
          <w:vertAlign w:val="superscript"/>
          <w:lang w:val="es-ES_tradnl"/>
        </w:rPr>
        <w:footnoteReference w:id="537"/>
      </w:r>
      <w:r w:rsidRPr="00470C7C">
        <w:rPr>
          <w:rFonts w:cs="Arial"/>
          <w:iCs/>
          <w:szCs w:val="20"/>
          <w:lang w:val="es-ES_tradnl"/>
        </w:rPr>
        <w:t>.</w:t>
      </w:r>
    </w:p>
    <w:p w14:paraId="34C0B447" w14:textId="77777777" w:rsidR="004B0842" w:rsidRPr="00470C7C" w:rsidRDefault="004B0842" w:rsidP="004B0842">
      <w:pPr>
        <w:pStyle w:val="Prrafodelista"/>
        <w:autoSpaceDE w:val="0"/>
        <w:autoSpaceDN w:val="0"/>
        <w:adjustRightInd w:val="0"/>
        <w:rPr>
          <w:rFonts w:cs="Arial"/>
          <w:iCs/>
          <w:szCs w:val="20"/>
          <w:lang w:val="es-CL"/>
        </w:rPr>
      </w:pPr>
    </w:p>
    <w:p w14:paraId="5FD0C8C1" w14:textId="77777777" w:rsidR="004B0842" w:rsidRPr="00470C7C" w:rsidRDefault="004B0842" w:rsidP="004B0842">
      <w:pPr>
        <w:pStyle w:val="Prrafodelista"/>
        <w:numPr>
          <w:ilvl w:val="0"/>
          <w:numId w:val="1"/>
        </w:numPr>
        <w:autoSpaceDE w:val="0"/>
        <w:autoSpaceDN w:val="0"/>
        <w:adjustRightInd w:val="0"/>
        <w:rPr>
          <w:rFonts w:cs="Arial"/>
          <w:iCs/>
          <w:szCs w:val="20"/>
          <w:lang w:val="es-CL"/>
        </w:rPr>
      </w:pPr>
      <w:r w:rsidRPr="00470C7C">
        <w:rPr>
          <w:rFonts w:cs="Arial"/>
          <w:iCs/>
          <w:szCs w:val="20"/>
          <w:lang w:val="es-CL"/>
        </w:rPr>
        <w:t xml:space="preserve">Del análisis de los antecedentes aportados, la Corte concluye que </w:t>
      </w:r>
      <w:r w:rsidR="00C2779D" w:rsidRPr="00470C7C">
        <w:rPr>
          <w:rFonts w:cs="Arial"/>
          <w:iCs/>
          <w:szCs w:val="20"/>
          <w:lang w:val="es-CL"/>
        </w:rPr>
        <w:t xml:space="preserve">algunos </w:t>
      </w:r>
      <w:r w:rsidRPr="00470C7C">
        <w:rPr>
          <w:rFonts w:cs="Arial"/>
          <w:iCs/>
          <w:szCs w:val="20"/>
          <w:lang w:val="es-CL"/>
        </w:rPr>
        <w:t>montos solicitados se encuentran justificados</w:t>
      </w:r>
      <w:r w:rsidR="00C2779D" w:rsidRPr="00470C7C">
        <w:rPr>
          <w:rFonts w:cs="Arial"/>
          <w:iCs/>
          <w:szCs w:val="20"/>
          <w:lang w:val="es-CL"/>
        </w:rPr>
        <w:t xml:space="preserve"> y comprobados</w:t>
      </w:r>
      <w:r w:rsidRPr="00470C7C">
        <w:rPr>
          <w:rFonts w:cs="Arial"/>
          <w:iCs/>
          <w:szCs w:val="20"/>
          <w:lang w:val="es-CL"/>
        </w:rPr>
        <w:t>. En consecuencia, la Corte determina en equidad que el Estado debe pagar la su</w:t>
      </w:r>
      <w:r w:rsidR="00FA0F9F" w:rsidRPr="00470C7C">
        <w:rPr>
          <w:rFonts w:cs="Arial"/>
          <w:iCs/>
          <w:szCs w:val="20"/>
          <w:lang w:val="es-CL"/>
        </w:rPr>
        <w:t>ma de US$5</w:t>
      </w:r>
      <w:r w:rsidR="001425E4" w:rsidRPr="00470C7C">
        <w:rPr>
          <w:rFonts w:cs="Arial"/>
          <w:iCs/>
          <w:szCs w:val="20"/>
          <w:lang w:val="es-CL"/>
        </w:rPr>
        <w:t>.</w:t>
      </w:r>
      <w:r w:rsidR="00D53175" w:rsidRPr="00470C7C">
        <w:rPr>
          <w:rFonts w:cs="Arial"/>
          <w:iCs/>
          <w:szCs w:val="20"/>
          <w:lang w:val="es-CL"/>
        </w:rPr>
        <w:t>000,00 (</w:t>
      </w:r>
      <w:r w:rsidR="00FA0F9F" w:rsidRPr="00470C7C">
        <w:rPr>
          <w:rFonts w:cs="Arial"/>
          <w:iCs/>
          <w:szCs w:val="20"/>
          <w:lang w:val="es-CL"/>
        </w:rPr>
        <w:t xml:space="preserve">cinco </w:t>
      </w:r>
      <w:r w:rsidR="00D53175" w:rsidRPr="00470C7C">
        <w:rPr>
          <w:rFonts w:cs="Arial"/>
          <w:iCs/>
          <w:szCs w:val="20"/>
          <w:lang w:val="es-CL"/>
        </w:rPr>
        <w:t>mil dólares de los Estados Unidos de América) a la CPT</w:t>
      </w:r>
      <w:r w:rsidR="00CE461E" w:rsidRPr="00470C7C">
        <w:rPr>
          <w:rFonts w:cs="Arial"/>
          <w:iCs/>
          <w:szCs w:val="20"/>
          <w:lang w:val="es-CL"/>
        </w:rPr>
        <w:t>,</w:t>
      </w:r>
      <w:r w:rsidR="00D53175" w:rsidRPr="00470C7C">
        <w:rPr>
          <w:rFonts w:cs="Arial"/>
          <w:iCs/>
          <w:szCs w:val="20"/>
          <w:lang w:val="es-CL"/>
        </w:rPr>
        <w:t xml:space="preserve"> y US$</w:t>
      </w:r>
      <w:r w:rsidR="00FA0F9F" w:rsidRPr="00470C7C">
        <w:rPr>
          <w:rFonts w:cs="Arial"/>
          <w:iCs/>
          <w:szCs w:val="20"/>
          <w:lang w:val="es-CL"/>
        </w:rPr>
        <w:t>50</w:t>
      </w:r>
      <w:r w:rsidRPr="00470C7C">
        <w:rPr>
          <w:rFonts w:cs="Arial"/>
          <w:iCs/>
          <w:szCs w:val="20"/>
          <w:lang w:val="es-CL"/>
        </w:rPr>
        <w:t>.</w:t>
      </w:r>
      <w:r w:rsidR="00D53175" w:rsidRPr="00470C7C">
        <w:rPr>
          <w:rFonts w:cs="Arial"/>
          <w:iCs/>
          <w:szCs w:val="20"/>
          <w:lang w:val="es-CL"/>
        </w:rPr>
        <w:t>000</w:t>
      </w:r>
      <w:r w:rsidRPr="00470C7C">
        <w:rPr>
          <w:rFonts w:cs="Arial"/>
          <w:iCs/>
          <w:szCs w:val="20"/>
          <w:lang w:val="es-CL"/>
        </w:rPr>
        <w:t>,</w:t>
      </w:r>
      <w:r w:rsidR="00D53175" w:rsidRPr="00470C7C">
        <w:rPr>
          <w:rFonts w:cs="Arial"/>
          <w:iCs/>
          <w:szCs w:val="20"/>
          <w:lang w:val="es-CL"/>
        </w:rPr>
        <w:t>00</w:t>
      </w:r>
      <w:r w:rsidRPr="00470C7C">
        <w:rPr>
          <w:rFonts w:cs="Arial"/>
          <w:iCs/>
          <w:szCs w:val="20"/>
          <w:lang w:val="es-CL"/>
        </w:rPr>
        <w:t xml:space="preserve"> </w:t>
      </w:r>
      <w:r w:rsidR="00D53175" w:rsidRPr="00470C7C">
        <w:rPr>
          <w:rFonts w:cs="Arial"/>
          <w:iCs/>
          <w:szCs w:val="20"/>
          <w:lang w:val="es-CL"/>
        </w:rPr>
        <w:t>(</w:t>
      </w:r>
      <w:r w:rsidR="00FA0F9F" w:rsidRPr="00470C7C">
        <w:rPr>
          <w:rFonts w:cs="Arial"/>
          <w:iCs/>
          <w:szCs w:val="20"/>
          <w:lang w:val="es-CL"/>
        </w:rPr>
        <w:t xml:space="preserve">cincuenta </w:t>
      </w:r>
      <w:r w:rsidR="00D53175" w:rsidRPr="00470C7C">
        <w:rPr>
          <w:rFonts w:cs="Arial"/>
          <w:iCs/>
          <w:szCs w:val="20"/>
          <w:lang w:val="es-CL"/>
        </w:rPr>
        <w:t xml:space="preserve">mil dólares de los Estados Unidos de América) </w:t>
      </w:r>
      <w:r w:rsidRPr="00470C7C">
        <w:rPr>
          <w:rFonts w:cs="Arial"/>
          <w:iCs/>
          <w:szCs w:val="20"/>
          <w:lang w:val="es-CL"/>
        </w:rPr>
        <w:t>a CEJIL</w:t>
      </w:r>
      <w:r w:rsidR="00D53175" w:rsidRPr="00470C7C">
        <w:rPr>
          <w:rFonts w:cs="Arial"/>
          <w:iCs/>
          <w:szCs w:val="20"/>
          <w:lang w:val="es-CL"/>
        </w:rPr>
        <w:t>.</w:t>
      </w:r>
      <w:r w:rsidRPr="00470C7C">
        <w:rPr>
          <w:rFonts w:cs="Arial"/>
          <w:b/>
          <w:iCs/>
          <w:szCs w:val="20"/>
          <w:lang w:val="es-CL"/>
        </w:rPr>
        <w:t xml:space="preserve"> </w:t>
      </w:r>
    </w:p>
    <w:p w14:paraId="67B28075" w14:textId="77777777" w:rsidR="004B0842" w:rsidRPr="00470C7C" w:rsidRDefault="004B0842" w:rsidP="004B0842">
      <w:pPr>
        <w:pStyle w:val="Prrafodelista"/>
        <w:autoSpaceDE w:val="0"/>
        <w:autoSpaceDN w:val="0"/>
        <w:adjustRightInd w:val="0"/>
        <w:rPr>
          <w:rFonts w:cs="Arial"/>
          <w:iCs/>
          <w:szCs w:val="20"/>
          <w:lang w:val="es-CL"/>
        </w:rPr>
      </w:pPr>
    </w:p>
    <w:p w14:paraId="45F6FB5E" w14:textId="77777777" w:rsidR="004B0842" w:rsidRPr="00470C7C" w:rsidRDefault="004B0842" w:rsidP="008B0BCC">
      <w:pPr>
        <w:pStyle w:val="Ttulo2"/>
        <w:numPr>
          <w:ilvl w:val="0"/>
          <w:numId w:val="21"/>
        </w:numPr>
      </w:pPr>
      <w:bookmarkStart w:id="438" w:name="_Toc464813998"/>
      <w:r w:rsidRPr="00470C7C">
        <w:t>Modalidad de cumplimiento de los pagos ordenados</w:t>
      </w:r>
      <w:bookmarkEnd w:id="435"/>
      <w:bookmarkEnd w:id="436"/>
      <w:bookmarkEnd w:id="437"/>
      <w:bookmarkEnd w:id="438"/>
    </w:p>
    <w:p w14:paraId="2F163072" w14:textId="77777777" w:rsidR="004B0842" w:rsidRPr="00470C7C" w:rsidRDefault="004B0842" w:rsidP="004B0842">
      <w:pPr>
        <w:pStyle w:val="Prrafodelista"/>
        <w:autoSpaceDE w:val="0"/>
        <w:autoSpaceDN w:val="0"/>
        <w:adjustRightInd w:val="0"/>
        <w:rPr>
          <w:rFonts w:cs="Arial"/>
          <w:iCs/>
          <w:szCs w:val="20"/>
          <w:lang w:val="es-ES_tradnl"/>
        </w:rPr>
      </w:pPr>
    </w:p>
    <w:p w14:paraId="014D6374"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El Estado deberá efectuar el pago de las indemnizaciones por concepto de daño inmaterial, así como el reintegro de las costas y gastos establecidos en la presente Sentencia directamente a las personas </w:t>
      </w:r>
      <w:r w:rsidR="009F616D" w:rsidRPr="00470C7C">
        <w:rPr>
          <w:rFonts w:cs="Arial"/>
          <w:iCs/>
          <w:szCs w:val="20"/>
          <w:lang w:val="es-ES_tradnl"/>
        </w:rPr>
        <w:t xml:space="preserve">e organizaciones </w:t>
      </w:r>
      <w:r w:rsidRPr="00470C7C">
        <w:rPr>
          <w:rFonts w:cs="Arial"/>
          <w:iCs/>
          <w:szCs w:val="20"/>
          <w:lang w:val="es-ES_tradnl"/>
        </w:rPr>
        <w:t>indicadas en la misma, dentro del plazo de un año contado a partir de la notificación del presente Fallo, en los términos de los siguientes párrafos.</w:t>
      </w:r>
    </w:p>
    <w:p w14:paraId="10ED0B0C" w14:textId="77777777" w:rsidR="004B0842" w:rsidRPr="00470C7C" w:rsidRDefault="004B0842" w:rsidP="004B0842">
      <w:pPr>
        <w:pStyle w:val="Prrafodelista"/>
        <w:autoSpaceDE w:val="0"/>
        <w:autoSpaceDN w:val="0"/>
        <w:adjustRightInd w:val="0"/>
        <w:rPr>
          <w:rFonts w:cs="Arial"/>
          <w:iCs/>
          <w:szCs w:val="20"/>
          <w:lang w:val="es-ES_tradnl"/>
        </w:rPr>
      </w:pPr>
    </w:p>
    <w:p w14:paraId="70CD7DC9"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
        </w:rPr>
        <w:t xml:space="preserve">En caso de que alguno de los beneficiarios haya fallecido o fallezca antes de que les sean entregadas las indemnizaciones respectivas, </w:t>
      </w:r>
      <w:r w:rsidR="00C2779D" w:rsidRPr="00470C7C">
        <w:rPr>
          <w:rFonts w:cs="Arial"/>
          <w:iCs/>
          <w:szCs w:val="20"/>
          <w:lang w:val="es-ES"/>
        </w:rPr>
        <w:t>éstas</w:t>
      </w:r>
      <w:r w:rsidRPr="00470C7C">
        <w:rPr>
          <w:rFonts w:cs="Arial"/>
          <w:iCs/>
          <w:szCs w:val="20"/>
          <w:lang w:val="es-ES"/>
        </w:rPr>
        <w:t xml:space="preserve"> se </w:t>
      </w:r>
      <w:r w:rsidR="00C2779D" w:rsidRPr="00470C7C">
        <w:rPr>
          <w:rFonts w:cs="Arial"/>
          <w:iCs/>
          <w:szCs w:val="20"/>
          <w:lang w:val="es-ES"/>
        </w:rPr>
        <w:t>efectuarán</w:t>
      </w:r>
      <w:r w:rsidRPr="00470C7C">
        <w:rPr>
          <w:rFonts w:cs="Arial"/>
          <w:iCs/>
          <w:szCs w:val="20"/>
          <w:lang w:val="es-ES"/>
        </w:rPr>
        <w:t xml:space="preserve"> directamente a </w:t>
      </w:r>
      <w:r w:rsidR="00A61F35" w:rsidRPr="00470C7C">
        <w:rPr>
          <w:rFonts w:cs="Arial"/>
          <w:iCs/>
          <w:szCs w:val="20"/>
          <w:lang w:val="es-ES"/>
        </w:rPr>
        <w:t>sus derechos habientes</w:t>
      </w:r>
      <w:r w:rsidRPr="00470C7C">
        <w:rPr>
          <w:rFonts w:cs="Arial"/>
          <w:iCs/>
          <w:szCs w:val="20"/>
          <w:lang w:val="es-ES"/>
        </w:rPr>
        <w:t>, conforme al derecho interno aplicable.</w:t>
      </w:r>
    </w:p>
    <w:p w14:paraId="165F76BB" w14:textId="77777777" w:rsidR="004B0842" w:rsidRPr="00470C7C" w:rsidRDefault="004B0842" w:rsidP="004B0842">
      <w:pPr>
        <w:pStyle w:val="Prrafodelista"/>
        <w:autoSpaceDE w:val="0"/>
        <w:autoSpaceDN w:val="0"/>
        <w:adjustRightInd w:val="0"/>
        <w:rPr>
          <w:rFonts w:cs="Arial"/>
          <w:iCs/>
          <w:szCs w:val="20"/>
          <w:lang w:val="es-ES_tradnl"/>
        </w:rPr>
      </w:pPr>
    </w:p>
    <w:p w14:paraId="675A929D"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
        </w:rPr>
        <w:t xml:space="preserve">El Estado debe cumplir sus obligaciones monetarias mediante el pago en </w:t>
      </w:r>
      <w:r w:rsidR="00C2779D" w:rsidRPr="00470C7C">
        <w:rPr>
          <w:rFonts w:cs="Arial"/>
          <w:iCs/>
          <w:szCs w:val="20"/>
          <w:lang w:val="es-ES"/>
        </w:rPr>
        <w:t>dólares</w:t>
      </w:r>
      <w:r w:rsidRPr="00470C7C">
        <w:rPr>
          <w:rFonts w:cs="Arial"/>
          <w:iCs/>
          <w:szCs w:val="20"/>
          <w:lang w:val="es-ES"/>
        </w:rPr>
        <w:t xml:space="preserve"> de los Estados Unidos de </w:t>
      </w:r>
      <w:r w:rsidR="00C2779D" w:rsidRPr="00470C7C">
        <w:rPr>
          <w:rFonts w:cs="Arial"/>
          <w:iCs/>
          <w:szCs w:val="20"/>
          <w:lang w:val="es-ES"/>
        </w:rPr>
        <w:t>América</w:t>
      </w:r>
      <w:r w:rsidRPr="00470C7C">
        <w:rPr>
          <w:rFonts w:cs="Arial"/>
          <w:iCs/>
          <w:szCs w:val="20"/>
          <w:lang w:val="es-ES"/>
        </w:rPr>
        <w:t xml:space="preserve">, </w:t>
      </w:r>
      <w:r w:rsidR="001F6719" w:rsidRPr="00470C7C">
        <w:rPr>
          <w:rFonts w:cs="Arial"/>
          <w:iCs/>
          <w:szCs w:val="20"/>
          <w:lang w:val="es-ES"/>
        </w:rPr>
        <w:t xml:space="preserve">o su equivalente en moneda brasileña, </w:t>
      </w:r>
      <w:r w:rsidRPr="00470C7C">
        <w:rPr>
          <w:rFonts w:cs="Arial"/>
          <w:iCs/>
          <w:szCs w:val="20"/>
          <w:lang w:val="es-ES"/>
        </w:rPr>
        <w:t xml:space="preserve">utilizando para el </w:t>
      </w:r>
      <w:r w:rsidR="00C2779D" w:rsidRPr="00470C7C">
        <w:rPr>
          <w:rFonts w:cs="Arial"/>
          <w:iCs/>
          <w:szCs w:val="20"/>
          <w:lang w:val="es-ES"/>
        </w:rPr>
        <w:t>cálculo</w:t>
      </w:r>
      <w:r w:rsidRPr="00470C7C">
        <w:rPr>
          <w:rFonts w:cs="Arial"/>
          <w:iCs/>
          <w:szCs w:val="20"/>
          <w:lang w:val="es-ES"/>
        </w:rPr>
        <w:t xml:space="preserve"> respectivo el tipo de cambio que se encuentre vigente en la bolsa de Nueva York, Estados Unidos de </w:t>
      </w:r>
      <w:r w:rsidR="00C2779D" w:rsidRPr="00470C7C">
        <w:rPr>
          <w:rFonts w:cs="Arial"/>
          <w:iCs/>
          <w:szCs w:val="20"/>
          <w:lang w:val="es-ES"/>
        </w:rPr>
        <w:t>América</w:t>
      </w:r>
      <w:r w:rsidRPr="00470C7C">
        <w:rPr>
          <w:rFonts w:cs="Arial"/>
          <w:iCs/>
          <w:szCs w:val="20"/>
          <w:lang w:val="es-ES"/>
        </w:rPr>
        <w:t xml:space="preserve">, el </w:t>
      </w:r>
      <w:r w:rsidR="00C2779D" w:rsidRPr="00470C7C">
        <w:rPr>
          <w:rFonts w:cs="Arial"/>
          <w:iCs/>
          <w:szCs w:val="20"/>
          <w:lang w:val="es-ES"/>
        </w:rPr>
        <w:t>día</w:t>
      </w:r>
      <w:r w:rsidRPr="00470C7C">
        <w:rPr>
          <w:rFonts w:cs="Arial"/>
          <w:iCs/>
          <w:szCs w:val="20"/>
          <w:lang w:val="es-ES"/>
        </w:rPr>
        <w:t xml:space="preserve"> anterior al pago.</w:t>
      </w:r>
    </w:p>
    <w:p w14:paraId="18B77119" w14:textId="77777777" w:rsidR="004B0842" w:rsidRPr="00470C7C" w:rsidRDefault="004B0842" w:rsidP="004B0842">
      <w:pPr>
        <w:pStyle w:val="Prrafodelista"/>
        <w:autoSpaceDE w:val="0"/>
        <w:autoSpaceDN w:val="0"/>
        <w:adjustRightInd w:val="0"/>
        <w:rPr>
          <w:rFonts w:cs="Arial"/>
          <w:iCs/>
          <w:szCs w:val="20"/>
          <w:lang w:val="es-ES_tradnl"/>
        </w:rPr>
      </w:pPr>
    </w:p>
    <w:p w14:paraId="507A7A50" w14:textId="77777777" w:rsidR="004B0842" w:rsidRPr="00470C7C" w:rsidRDefault="004B0842" w:rsidP="004B0842">
      <w:pPr>
        <w:pStyle w:val="Prrafodelista"/>
        <w:numPr>
          <w:ilvl w:val="0"/>
          <w:numId w:val="1"/>
        </w:numPr>
        <w:autoSpaceDE w:val="0"/>
        <w:autoSpaceDN w:val="0"/>
        <w:adjustRightInd w:val="0"/>
        <w:rPr>
          <w:rFonts w:cs="Arial"/>
          <w:iCs/>
          <w:szCs w:val="20"/>
          <w:lang w:val="es-ES_tradnl"/>
        </w:rPr>
      </w:pPr>
      <w:r w:rsidRPr="00470C7C">
        <w:rPr>
          <w:rFonts w:cs="Arial"/>
          <w:iCs/>
          <w:szCs w:val="20"/>
          <w:lang w:val="es-ES_tradnl"/>
        </w:rPr>
        <w:t xml:space="preserve">Si por causas atribuibles a alguno de los beneficiarios de las indemnizaciones o a sus </w:t>
      </w:r>
      <w:proofErr w:type="gramStart"/>
      <w:r w:rsidRPr="00470C7C">
        <w:rPr>
          <w:rFonts w:cs="Arial"/>
          <w:iCs/>
          <w:szCs w:val="20"/>
          <w:lang w:val="es-ES_tradnl"/>
        </w:rPr>
        <w:t>derecho habientes</w:t>
      </w:r>
      <w:proofErr w:type="gramEnd"/>
      <w:r w:rsidRPr="00470C7C">
        <w:rPr>
          <w:rFonts w:cs="Arial"/>
          <w:iCs/>
          <w:szCs w:val="20"/>
          <w:lang w:val="es-ES_tradnl"/>
        </w:rPr>
        <w:t xml:space="preserve"> no fuese posible el pago de todo o parte de las cantidades determinadas dentro del plazo indicado, el Estado consignará dichos montos a su favor en una cuenta o certificado de depósito en una institución financiera brasileña solvente, en dólares de los Estados Unidos de América, y en las condiciones financieras más favorables que permitan la legislación y la práctica bancaria del Estado. Si no se reclama la indemnización correspondiente una vez transcurridos diez años, las cantidades serán devueltas al Estado con los intereses devengados.</w:t>
      </w:r>
    </w:p>
    <w:p w14:paraId="05B32BAE" w14:textId="77777777" w:rsidR="004B0842" w:rsidRPr="00470C7C" w:rsidRDefault="004B0842" w:rsidP="004B0842">
      <w:pPr>
        <w:pStyle w:val="Prrafodelista"/>
        <w:autoSpaceDE w:val="0"/>
        <w:autoSpaceDN w:val="0"/>
        <w:adjustRightInd w:val="0"/>
        <w:rPr>
          <w:rFonts w:cs="Arial"/>
          <w:iCs/>
          <w:szCs w:val="20"/>
          <w:lang w:val="es-ES_tradnl"/>
        </w:rPr>
      </w:pPr>
    </w:p>
    <w:p w14:paraId="459F52CE" w14:textId="77777777" w:rsidR="004B0842" w:rsidRPr="00470C7C" w:rsidRDefault="004B0842" w:rsidP="001425E4">
      <w:pPr>
        <w:pStyle w:val="Prrafodelista"/>
        <w:numPr>
          <w:ilvl w:val="0"/>
          <w:numId w:val="1"/>
        </w:numPr>
        <w:autoSpaceDE w:val="0"/>
        <w:autoSpaceDN w:val="0"/>
        <w:adjustRightInd w:val="0"/>
        <w:rPr>
          <w:rFonts w:cs="Arial"/>
          <w:iCs/>
          <w:szCs w:val="20"/>
          <w:lang w:val="es-ES_tradnl"/>
        </w:rPr>
      </w:pPr>
      <w:r w:rsidRPr="00470C7C">
        <w:rPr>
          <w:rFonts w:cs="Arial"/>
          <w:iCs/>
          <w:szCs w:val="20"/>
          <w:lang w:val="es-ES"/>
        </w:rPr>
        <w:t xml:space="preserve">Las cantidades asignadas en la presente Sentencia como </w:t>
      </w:r>
      <w:r w:rsidR="00C2779D" w:rsidRPr="00470C7C">
        <w:rPr>
          <w:rFonts w:cs="Arial"/>
          <w:iCs/>
          <w:szCs w:val="20"/>
          <w:lang w:val="es-ES"/>
        </w:rPr>
        <w:t>indemnización</w:t>
      </w:r>
      <w:r w:rsidRPr="00470C7C">
        <w:rPr>
          <w:rFonts w:cs="Arial"/>
          <w:iCs/>
          <w:szCs w:val="20"/>
          <w:lang w:val="es-ES"/>
        </w:rPr>
        <w:t xml:space="preserve"> por daño inmaterial, y como reintegro de costas y gastos </w:t>
      </w:r>
      <w:r w:rsidR="00C2779D" w:rsidRPr="00470C7C">
        <w:rPr>
          <w:rFonts w:cs="Arial"/>
          <w:iCs/>
          <w:szCs w:val="20"/>
          <w:lang w:val="es-ES"/>
        </w:rPr>
        <w:t>deberán</w:t>
      </w:r>
      <w:r w:rsidRPr="00470C7C">
        <w:rPr>
          <w:rFonts w:cs="Arial"/>
          <w:iCs/>
          <w:szCs w:val="20"/>
          <w:lang w:val="es-ES"/>
        </w:rPr>
        <w:t xml:space="preserve"> ser entregadas a las personas </w:t>
      </w:r>
      <w:r w:rsidR="00CB1C59" w:rsidRPr="00470C7C">
        <w:rPr>
          <w:rFonts w:cs="Arial"/>
          <w:iCs/>
          <w:szCs w:val="20"/>
          <w:lang w:val="es-ES"/>
        </w:rPr>
        <w:t xml:space="preserve">e organizaciones </w:t>
      </w:r>
      <w:r w:rsidRPr="00470C7C">
        <w:rPr>
          <w:rFonts w:cs="Arial"/>
          <w:iCs/>
          <w:szCs w:val="20"/>
          <w:lang w:val="es-ES"/>
        </w:rPr>
        <w:t xml:space="preserve">indicadas en forma </w:t>
      </w:r>
      <w:r w:rsidR="00C2779D" w:rsidRPr="00470C7C">
        <w:rPr>
          <w:rFonts w:cs="Arial"/>
          <w:iCs/>
          <w:szCs w:val="20"/>
          <w:lang w:val="es-ES"/>
        </w:rPr>
        <w:t>íntegra</w:t>
      </w:r>
      <w:r w:rsidRPr="00470C7C">
        <w:rPr>
          <w:rFonts w:cs="Arial"/>
          <w:iCs/>
          <w:szCs w:val="20"/>
          <w:lang w:val="es-ES"/>
        </w:rPr>
        <w:t xml:space="preserve">, conforme a lo establecido en este Fallo, sin reducciones derivadas de eventuales cargas fiscales. </w:t>
      </w:r>
    </w:p>
    <w:p w14:paraId="0C388334" w14:textId="77777777" w:rsidR="006878A8" w:rsidRPr="00470C7C" w:rsidRDefault="006878A8" w:rsidP="00F74CCF">
      <w:pPr>
        <w:pStyle w:val="Prrafodelista"/>
        <w:rPr>
          <w:rFonts w:cs="Arial"/>
          <w:iCs/>
          <w:szCs w:val="20"/>
          <w:lang w:val="es-ES_tradnl"/>
        </w:rPr>
      </w:pPr>
    </w:p>
    <w:p w14:paraId="6F0E179D" w14:textId="77777777" w:rsidR="001156BC" w:rsidRPr="00470C7C" w:rsidRDefault="006878A8" w:rsidP="001156BC">
      <w:pPr>
        <w:pStyle w:val="Prrafodelista"/>
        <w:numPr>
          <w:ilvl w:val="0"/>
          <w:numId w:val="1"/>
        </w:numPr>
        <w:autoSpaceDE w:val="0"/>
        <w:autoSpaceDN w:val="0"/>
        <w:adjustRightInd w:val="0"/>
        <w:rPr>
          <w:rFonts w:cs="Arial"/>
          <w:iCs/>
          <w:szCs w:val="20"/>
          <w:lang w:val="es-ES_tradnl"/>
        </w:rPr>
      </w:pPr>
      <w:r w:rsidRPr="00470C7C">
        <w:rPr>
          <w:spacing w:val="-2"/>
        </w:rPr>
        <w:t>En caso de que el Estado incurriera en mora</w:t>
      </w:r>
      <w:r w:rsidRPr="00470C7C">
        <w:rPr>
          <w:rFonts w:cs="Verdana"/>
          <w:spacing w:val="-2"/>
        </w:rPr>
        <w:t xml:space="preserve">, </w:t>
      </w:r>
      <w:r w:rsidRPr="00470C7C">
        <w:rPr>
          <w:spacing w:val="-2"/>
        </w:rPr>
        <w:t xml:space="preserve">deberá pagar un interés sobre la cantidad adeudada, correspondiente al interés bancario moratorio en la República </w:t>
      </w:r>
      <w:r w:rsidR="00A235E3" w:rsidRPr="00470C7C">
        <w:rPr>
          <w:spacing w:val="-2"/>
        </w:rPr>
        <w:t xml:space="preserve">Federativa </w:t>
      </w:r>
      <w:r w:rsidRPr="00470C7C">
        <w:rPr>
          <w:spacing w:val="-2"/>
        </w:rPr>
        <w:t xml:space="preserve">de </w:t>
      </w:r>
      <w:r w:rsidR="003949A7" w:rsidRPr="00470C7C">
        <w:rPr>
          <w:spacing w:val="-2"/>
        </w:rPr>
        <w:t>Brasil</w:t>
      </w:r>
      <w:r w:rsidRPr="00470C7C">
        <w:rPr>
          <w:spacing w:val="-2"/>
        </w:rPr>
        <w:t>.</w:t>
      </w:r>
    </w:p>
    <w:p w14:paraId="0AACC4F2" w14:textId="77777777" w:rsidR="001156BC" w:rsidRPr="00470C7C" w:rsidRDefault="001156BC" w:rsidP="001156BC">
      <w:pPr>
        <w:pStyle w:val="Prrafodelista2"/>
        <w:ind w:left="0" w:right="-90"/>
        <w:contextualSpacing/>
      </w:pPr>
    </w:p>
    <w:p w14:paraId="210C2267" w14:textId="77777777" w:rsidR="00702C18" w:rsidRPr="00470C7C" w:rsidRDefault="00702C18" w:rsidP="00702C18">
      <w:pPr>
        <w:keepNext/>
        <w:keepLines/>
        <w:tabs>
          <w:tab w:val="left" w:pos="851"/>
        </w:tabs>
        <w:jc w:val="center"/>
        <w:outlineLvl w:val="0"/>
        <w:rPr>
          <w:rFonts w:eastAsia="Cambria" w:cs="Verdana"/>
          <w:b/>
          <w:bCs/>
          <w:caps/>
          <w:snapToGrid w:val="0"/>
          <w:kern w:val="32"/>
          <w:szCs w:val="20"/>
          <w:lang w:val="es-ES_tradnl"/>
        </w:rPr>
      </w:pPr>
      <w:bookmarkStart w:id="439" w:name="_Toc375517156"/>
      <w:bookmarkStart w:id="440" w:name="_Toc459158160"/>
      <w:bookmarkStart w:id="441" w:name="_Toc464813999"/>
      <w:r w:rsidRPr="00470C7C">
        <w:rPr>
          <w:rFonts w:eastAsia="Cambria" w:cs="Verdana"/>
          <w:b/>
          <w:bCs/>
          <w:caps/>
          <w:snapToGrid w:val="0"/>
          <w:kern w:val="32"/>
          <w:szCs w:val="20"/>
          <w:lang w:val="es-ES_tradnl"/>
        </w:rPr>
        <w:t>X</w:t>
      </w:r>
      <w:r w:rsidRPr="00470C7C">
        <w:rPr>
          <w:rFonts w:eastAsia="Cambria" w:cs="Verdana"/>
          <w:b/>
          <w:bCs/>
          <w:caps/>
          <w:snapToGrid w:val="0"/>
          <w:kern w:val="32"/>
          <w:szCs w:val="20"/>
          <w:lang w:val="es-ES_tradnl"/>
        </w:rPr>
        <w:br/>
        <w:t>PUNTOS RESOLUTIVOS</w:t>
      </w:r>
      <w:bookmarkEnd w:id="439"/>
      <w:bookmarkEnd w:id="440"/>
      <w:bookmarkEnd w:id="441"/>
    </w:p>
    <w:p w14:paraId="69907C84" w14:textId="77777777" w:rsidR="00702C18" w:rsidRPr="00470C7C" w:rsidRDefault="00702C18" w:rsidP="00702C18">
      <w:pPr>
        <w:tabs>
          <w:tab w:val="clear" w:pos="4419"/>
          <w:tab w:val="clear" w:pos="8838"/>
        </w:tabs>
        <w:ind w:left="720" w:right="-90"/>
        <w:contextualSpacing/>
        <w:rPr>
          <w:rFonts w:eastAsia="MS Mincho" w:cs="Times New Roman"/>
          <w:szCs w:val="20"/>
          <w:lang w:val="es-ES_tradnl" w:bidi="en-US"/>
        </w:rPr>
      </w:pPr>
    </w:p>
    <w:p w14:paraId="6705CF82" w14:textId="77777777" w:rsidR="00702C18" w:rsidRPr="00470C7C" w:rsidRDefault="00702C18" w:rsidP="008B0BCC">
      <w:pPr>
        <w:numPr>
          <w:ilvl w:val="0"/>
          <w:numId w:val="25"/>
        </w:numPr>
        <w:tabs>
          <w:tab w:val="clear" w:pos="4419"/>
          <w:tab w:val="clear" w:pos="8838"/>
          <w:tab w:val="left" w:pos="0"/>
        </w:tabs>
        <w:ind w:left="0" w:right="-90" w:firstLine="0"/>
        <w:jc w:val="both"/>
        <w:rPr>
          <w:rFonts w:eastAsia="MS Mincho" w:cs="Times New Roman"/>
          <w:szCs w:val="20"/>
          <w:lang w:val="es-ES_tradnl" w:bidi="en-US"/>
        </w:rPr>
      </w:pPr>
      <w:r w:rsidRPr="00470C7C">
        <w:rPr>
          <w:rFonts w:eastAsia="MS Mincho" w:cs="Times New Roman"/>
          <w:szCs w:val="20"/>
          <w:lang w:val="es-ES_tradnl" w:bidi="en-US"/>
        </w:rPr>
        <w:t xml:space="preserve">Por tanto, </w:t>
      </w:r>
    </w:p>
    <w:p w14:paraId="64F69C38" w14:textId="77777777" w:rsidR="00702C18" w:rsidRPr="00470C7C" w:rsidRDefault="00702C18" w:rsidP="00702C18">
      <w:pPr>
        <w:tabs>
          <w:tab w:val="clear" w:pos="4419"/>
          <w:tab w:val="clear" w:pos="8838"/>
          <w:tab w:val="left" w:pos="720"/>
        </w:tabs>
        <w:ind w:left="720" w:right="-90"/>
        <w:contextualSpacing/>
        <w:rPr>
          <w:rFonts w:eastAsia="MS Mincho" w:cs="Times New Roman"/>
          <w:szCs w:val="20"/>
          <w:lang w:val="es-ES_tradnl" w:bidi="en-US"/>
        </w:rPr>
      </w:pPr>
    </w:p>
    <w:p w14:paraId="63D4030F"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r w:rsidRPr="00470C7C">
        <w:rPr>
          <w:rFonts w:eastAsia="MS Mincho" w:cs="Times New Roman"/>
          <w:b/>
          <w:bCs/>
          <w:szCs w:val="20"/>
          <w:lang w:val="es-ES_tradnl" w:bidi="en-US"/>
        </w:rPr>
        <w:t xml:space="preserve">LA CORTE </w:t>
      </w:r>
    </w:p>
    <w:p w14:paraId="578633CF"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p>
    <w:p w14:paraId="527E727A" w14:textId="77777777" w:rsidR="00702C18" w:rsidRPr="00470C7C" w:rsidRDefault="00702C18" w:rsidP="00702C18">
      <w:pPr>
        <w:tabs>
          <w:tab w:val="clear" w:pos="4419"/>
          <w:tab w:val="clear" w:pos="8838"/>
          <w:tab w:val="left" w:pos="720"/>
        </w:tabs>
        <w:ind w:right="-90"/>
        <w:contextualSpacing/>
        <w:rPr>
          <w:rFonts w:eastAsia="MS Mincho" w:cs="Times New Roman"/>
          <w:b/>
          <w:szCs w:val="20"/>
          <w:lang w:val="es-ES_tradnl" w:bidi="en-US"/>
        </w:rPr>
      </w:pPr>
      <w:r w:rsidRPr="00470C7C">
        <w:rPr>
          <w:rFonts w:eastAsia="MS Mincho" w:cs="Times New Roman"/>
          <w:b/>
          <w:szCs w:val="20"/>
          <w:lang w:val="es-ES_tradnl" w:bidi="en-US"/>
        </w:rPr>
        <w:t xml:space="preserve">DECIDE, </w:t>
      </w:r>
    </w:p>
    <w:p w14:paraId="57FA89D6"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r w:rsidRPr="00470C7C">
        <w:rPr>
          <w:rFonts w:eastAsia="MS Mincho" w:cs="Times New Roman"/>
          <w:szCs w:val="20"/>
          <w:lang w:val="es-ES_tradnl" w:bidi="en-US"/>
        </w:rPr>
        <w:t xml:space="preserve"> </w:t>
      </w:r>
    </w:p>
    <w:p w14:paraId="4186B693"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r w:rsidRPr="00470C7C">
        <w:rPr>
          <w:rFonts w:eastAsia="MS Mincho" w:cs="Times New Roman"/>
          <w:szCs w:val="20"/>
          <w:lang w:val="es-ES_tradnl" w:bidi="en-US"/>
        </w:rPr>
        <w:t xml:space="preserve">Por unanimidad, </w:t>
      </w:r>
    </w:p>
    <w:p w14:paraId="68170B74"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p>
    <w:p w14:paraId="571F4A1D"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rPr>
      </w:pPr>
      <w:r w:rsidRPr="00470C7C">
        <w:rPr>
          <w:rFonts w:eastAsia="MS Mincho" w:cs="Times New Roman"/>
          <w:szCs w:val="20"/>
        </w:rPr>
        <w:t>Desestimar</w:t>
      </w:r>
      <w:r w:rsidRPr="00470C7C">
        <w:rPr>
          <w:rFonts w:eastAsia="Cambria" w:cs="Times New Roman"/>
          <w:szCs w:val="20"/>
        </w:rPr>
        <w:t xml:space="preserve"> las excepciones preliminares interpuestas por el Estado relativas a </w:t>
      </w:r>
      <w:r w:rsidR="00303055" w:rsidRPr="00470C7C">
        <w:rPr>
          <w:rFonts w:eastAsia="Cambria" w:cs="Times New Roman"/>
          <w:szCs w:val="20"/>
        </w:rPr>
        <w:t>la i</w:t>
      </w:r>
      <w:r w:rsidR="00303055" w:rsidRPr="00470C7C">
        <w:rPr>
          <w:rFonts w:eastAsia="Batang" w:cs="Times"/>
          <w:noProof/>
          <w:szCs w:val="24"/>
          <w:lang w:val="es-MX" w:eastAsia="es-ES"/>
        </w:rPr>
        <w:t xml:space="preserve">nadmisibilidad del sometimiento del caso a la Corte en virtud de la publicación del Informe de Fondo por parte de la Comisión; </w:t>
      </w:r>
      <w:r w:rsidR="009E7747" w:rsidRPr="00470C7C">
        <w:rPr>
          <w:rFonts w:eastAsia="Batang" w:cs="Times"/>
          <w:noProof/>
          <w:szCs w:val="24"/>
          <w:lang w:val="es-MX" w:eastAsia="es-ES"/>
        </w:rPr>
        <w:t xml:space="preserve">la </w:t>
      </w:r>
      <w:r w:rsidR="00303055" w:rsidRPr="00470C7C">
        <w:rPr>
          <w:rFonts w:eastAsia="Batang" w:cs="Times"/>
          <w:noProof/>
          <w:szCs w:val="24"/>
          <w:lang w:val="es-MX" w:eastAsia="es-ES"/>
        </w:rPr>
        <w:t xml:space="preserve">incompetencia </w:t>
      </w:r>
      <w:r w:rsidR="00303055" w:rsidRPr="00470C7C">
        <w:rPr>
          <w:rFonts w:eastAsia="Batang" w:cs="Times"/>
          <w:i/>
          <w:noProof/>
          <w:szCs w:val="24"/>
          <w:lang w:val="es-MX" w:eastAsia="es-ES"/>
        </w:rPr>
        <w:t>ratione personae</w:t>
      </w:r>
      <w:r w:rsidR="00303055" w:rsidRPr="00470C7C">
        <w:rPr>
          <w:rFonts w:eastAsia="Batang" w:cs="Times"/>
          <w:noProof/>
          <w:szCs w:val="24"/>
          <w:lang w:val="es-MX" w:eastAsia="es-ES"/>
        </w:rPr>
        <w:t xml:space="preserve">, respecto de presuntas víctimas no identificadas, aquellas identificadas pero que no otorgaron poder de representación, que no aparecían en el Informe de Fondo de la Comisión o que no estaban relacionadas con los hechos del caso; </w:t>
      </w:r>
      <w:r w:rsidR="009E7747" w:rsidRPr="00470C7C">
        <w:rPr>
          <w:rFonts w:eastAsia="Batang" w:cs="Times"/>
          <w:noProof/>
          <w:szCs w:val="24"/>
          <w:lang w:val="es-MX" w:eastAsia="es-ES"/>
        </w:rPr>
        <w:t>la i</w:t>
      </w:r>
      <w:r w:rsidR="00303055" w:rsidRPr="00470C7C">
        <w:rPr>
          <w:rFonts w:eastAsia="Batang" w:cs="Times"/>
          <w:noProof/>
          <w:szCs w:val="24"/>
          <w:lang w:val="es-MX" w:eastAsia="es-ES"/>
        </w:rPr>
        <w:t xml:space="preserve">ncompetencia </w:t>
      </w:r>
      <w:r w:rsidR="00303055" w:rsidRPr="00470C7C">
        <w:rPr>
          <w:rFonts w:eastAsia="Batang" w:cs="Times"/>
          <w:i/>
          <w:noProof/>
          <w:szCs w:val="24"/>
          <w:lang w:val="es-MX" w:eastAsia="es-ES"/>
        </w:rPr>
        <w:t>ratione personae</w:t>
      </w:r>
      <w:r w:rsidR="00303055" w:rsidRPr="00470C7C">
        <w:rPr>
          <w:rFonts w:eastAsia="Batang" w:cs="Times"/>
          <w:noProof/>
          <w:szCs w:val="24"/>
          <w:lang w:val="es-MX" w:eastAsia="es-ES"/>
        </w:rPr>
        <w:t xml:space="preserve"> de violaciones en abstracto; </w:t>
      </w:r>
      <w:r w:rsidR="009E7747" w:rsidRPr="00470C7C">
        <w:rPr>
          <w:rFonts w:eastAsia="Batang" w:cs="Times"/>
          <w:noProof/>
          <w:szCs w:val="24"/>
          <w:lang w:val="es-MX" w:eastAsia="es-ES"/>
        </w:rPr>
        <w:t>la i</w:t>
      </w:r>
      <w:r w:rsidR="00303055" w:rsidRPr="00470C7C">
        <w:rPr>
          <w:rFonts w:eastAsia="Batang" w:cs="Times"/>
          <w:noProof/>
          <w:szCs w:val="24"/>
          <w:lang w:val="es-MX" w:eastAsia="es-ES"/>
        </w:rPr>
        <w:t xml:space="preserve">ncompetencia </w:t>
      </w:r>
      <w:r w:rsidR="00303055" w:rsidRPr="00470C7C">
        <w:rPr>
          <w:rFonts w:eastAsia="Batang" w:cs="Times"/>
          <w:i/>
          <w:noProof/>
          <w:szCs w:val="24"/>
          <w:lang w:val="es-MX" w:eastAsia="es-ES"/>
        </w:rPr>
        <w:t>ratione materiae</w:t>
      </w:r>
      <w:r w:rsidR="00303055" w:rsidRPr="00470C7C">
        <w:rPr>
          <w:rFonts w:eastAsia="Batang" w:cs="Times"/>
          <w:noProof/>
          <w:szCs w:val="24"/>
          <w:lang w:val="es-MX" w:eastAsia="es-ES"/>
        </w:rPr>
        <w:t xml:space="preserve"> por violación al principio de subsidiaridad del Sistema Interamericano (fórmula de la 4ª instancia); </w:t>
      </w:r>
      <w:r w:rsidR="009E7747" w:rsidRPr="00470C7C">
        <w:rPr>
          <w:rFonts w:eastAsia="Batang" w:cs="Times"/>
          <w:noProof/>
          <w:szCs w:val="24"/>
          <w:lang w:val="es-MX" w:eastAsia="es-ES"/>
        </w:rPr>
        <w:t>la i</w:t>
      </w:r>
      <w:r w:rsidR="00303055" w:rsidRPr="00470C7C">
        <w:rPr>
          <w:rFonts w:eastAsia="Batang" w:cs="Times"/>
          <w:noProof/>
          <w:szCs w:val="24"/>
          <w:lang w:val="es-MX" w:eastAsia="es-ES"/>
        </w:rPr>
        <w:t xml:space="preserve">ncompetencia </w:t>
      </w:r>
      <w:r w:rsidR="00303055" w:rsidRPr="00470C7C">
        <w:rPr>
          <w:rFonts w:eastAsia="Batang" w:cs="Times"/>
          <w:i/>
          <w:noProof/>
          <w:szCs w:val="24"/>
          <w:lang w:val="es-MX" w:eastAsia="es-ES"/>
        </w:rPr>
        <w:t>ratione materiae</w:t>
      </w:r>
      <w:r w:rsidR="00303055" w:rsidRPr="00470C7C">
        <w:rPr>
          <w:rFonts w:eastAsia="Batang" w:cs="Times"/>
          <w:noProof/>
          <w:szCs w:val="24"/>
          <w:lang w:val="es-MX" w:eastAsia="es-ES"/>
        </w:rPr>
        <w:t xml:space="preserve"> relativa a presuntas violaciones de la prohibición de tráfico de personas; </w:t>
      </w:r>
      <w:r w:rsidR="009E7747" w:rsidRPr="00470C7C">
        <w:rPr>
          <w:rFonts w:eastAsia="Batang" w:cs="Times"/>
          <w:noProof/>
          <w:szCs w:val="24"/>
          <w:lang w:val="es-MX" w:eastAsia="es-ES"/>
        </w:rPr>
        <w:t>la i</w:t>
      </w:r>
      <w:r w:rsidR="00303055" w:rsidRPr="00470C7C">
        <w:rPr>
          <w:rFonts w:eastAsia="Batang" w:cs="Times"/>
          <w:noProof/>
          <w:szCs w:val="24"/>
          <w:lang w:val="es-MX" w:eastAsia="es-ES"/>
        </w:rPr>
        <w:t xml:space="preserve">ncompetencia </w:t>
      </w:r>
      <w:r w:rsidR="00303055" w:rsidRPr="00470C7C">
        <w:rPr>
          <w:rFonts w:eastAsia="Batang" w:cs="Times"/>
          <w:i/>
          <w:noProof/>
          <w:szCs w:val="24"/>
          <w:lang w:val="es-MX" w:eastAsia="es-ES"/>
        </w:rPr>
        <w:t>ratione materiae</w:t>
      </w:r>
      <w:r w:rsidR="00303055" w:rsidRPr="00470C7C">
        <w:rPr>
          <w:rFonts w:eastAsia="Batang" w:cs="Times"/>
          <w:noProof/>
          <w:szCs w:val="24"/>
          <w:lang w:val="es-MX" w:eastAsia="es-ES"/>
        </w:rPr>
        <w:t xml:space="preserve"> sobre supuestas violaciones de derechos laborales; </w:t>
      </w:r>
      <w:r w:rsidR="009E7747" w:rsidRPr="00470C7C">
        <w:rPr>
          <w:rFonts w:eastAsia="Batang" w:cs="Times"/>
          <w:noProof/>
          <w:szCs w:val="24"/>
          <w:lang w:val="es-MX" w:eastAsia="es-ES"/>
        </w:rPr>
        <w:t>la f</w:t>
      </w:r>
      <w:r w:rsidR="00303055" w:rsidRPr="00470C7C">
        <w:rPr>
          <w:rFonts w:eastAsia="Batang" w:cs="Times"/>
          <w:noProof/>
          <w:szCs w:val="24"/>
          <w:lang w:val="es-MX" w:eastAsia="es-ES"/>
        </w:rPr>
        <w:t xml:space="preserve">alta de agotamiento previo de los recursos internos, y </w:t>
      </w:r>
      <w:r w:rsidR="009E7747" w:rsidRPr="00470C7C">
        <w:rPr>
          <w:rFonts w:eastAsia="Batang" w:cs="Times"/>
          <w:noProof/>
          <w:szCs w:val="24"/>
          <w:lang w:val="es-MX" w:eastAsia="es-ES"/>
        </w:rPr>
        <w:t>la p</w:t>
      </w:r>
      <w:r w:rsidR="00303055" w:rsidRPr="00470C7C">
        <w:rPr>
          <w:rFonts w:eastAsia="Batang" w:cs="Times"/>
          <w:noProof/>
          <w:szCs w:val="24"/>
          <w:lang w:val="es-MX" w:eastAsia="es-ES"/>
        </w:rPr>
        <w:t>rescripción de la petición ante la Comisión respecto de las pretensiones de reparación de daño moral y material</w:t>
      </w:r>
      <w:r w:rsidRPr="00470C7C">
        <w:rPr>
          <w:rFonts w:eastAsia="Cambria" w:cs="Times New Roman"/>
          <w:szCs w:val="20"/>
        </w:rPr>
        <w:t xml:space="preserve">, en los términos de los párrafos </w:t>
      </w:r>
      <w:r w:rsidR="009E7747" w:rsidRPr="00470C7C">
        <w:rPr>
          <w:rFonts w:eastAsia="Cambria" w:cs="Times New Roman"/>
          <w:szCs w:val="20"/>
        </w:rPr>
        <w:t>23 a 28, 44 a 50, 54, 71 a 74, 78 a 80, 84, 89 a 93 y 98</w:t>
      </w:r>
      <w:r w:rsidRPr="00470C7C">
        <w:rPr>
          <w:rFonts w:eastAsia="Cambria" w:cs="Times New Roman"/>
          <w:szCs w:val="20"/>
        </w:rPr>
        <w:t xml:space="preserve"> de la presente Sentencia. </w:t>
      </w:r>
      <w:r w:rsidRPr="00470C7C">
        <w:rPr>
          <w:rFonts w:eastAsia="Cambria" w:cs="Times New Roman"/>
          <w:szCs w:val="20"/>
        </w:rPr>
        <w:cr/>
      </w:r>
    </w:p>
    <w:p w14:paraId="666B26BB"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rPr>
      </w:pPr>
      <w:r w:rsidRPr="00470C7C">
        <w:rPr>
          <w:rFonts w:eastAsia="MS Mincho" w:cs="Times New Roman"/>
          <w:szCs w:val="20"/>
        </w:rPr>
        <w:t>Declarar parcialmente procedente</w:t>
      </w:r>
      <w:r w:rsidRPr="00470C7C">
        <w:rPr>
          <w:rFonts w:eastAsia="Cambria" w:cs="Times New Roman"/>
          <w:szCs w:val="20"/>
        </w:rPr>
        <w:t xml:space="preserve"> la excepción preliminar interp</w:t>
      </w:r>
      <w:r w:rsidR="009E7747" w:rsidRPr="00470C7C">
        <w:rPr>
          <w:rFonts w:eastAsia="Cambria" w:cs="Times New Roman"/>
          <w:szCs w:val="20"/>
        </w:rPr>
        <w:t xml:space="preserve">uesta por el Estado relativa a </w:t>
      </w:r>
      <w:r w:rsidR="009E7747" w:rsidRPr="00470C7C">
        <w:rPr>
          <w:rFonts w:eastAsia="Batang" w:cs="Times"/>
          <w:noProof/>
          <w:szCs w:val="24"/>
          <w:lang w:val="es-MX" w:eastAsia="es-ES"/>
        </w:rPr>
        <w:t xml:space="preserve">la incompetencia </w:t>
      </w:r>
      <w:r w:rsidR="009E7747" w:rsidRPr="00470C7C">
        <w:rPr>
          <w:rFonts w:eastAsia="Batang" w:cs="Times"/>
          <w:i/>
          <w:noProof/>
          <w:szCs w:val="24"/>
          <w:lang w:val="es-MX" w:eastAsia="es-ES"/>
        </w:rPr>
        <w:t>ratione temporis</w:t>
      </w:r>
      <w:r w:rsidR="009E7747" w:rsidRPr="00470C7C">
        <w:rPr>
          <w:rFonts w:eastAsia="Batang" w:cs="Times"/>
          <w:noProof/>
          <w:szCs w:val="24"/>
          <w:lang w:val="es-MX" w:eastAsia="es-ES"/>
        </w:rPr>
        <w:t xml:space="preserve"> respecto de hechos anteriores a la fecha de reconocimiento de la jurisdicción de la Corte por parte del Estado, y la incompetencia </w:t>
      </w:r>
      <w:r w:rsidR="009E7747" w:rsidRPr="00470C7C">
        <w:rPr>
          <w:rFonts w:eastAsia="Batang" w:cs="Times"/>
          <w:i/>
          <w:noProof/>
          <w:szCs w:val="24"/>
          <w:lang w:val="es-MX" w:eastAsia="es-ES"/>
        </w:rPr>
        <w:t>ratione temporis</w:t>
      </w:r>
      <w:r w:rsidR="009E7747" w:rsidRPr="00470C7C">
        <w:rPr>
          <w:rFonts w:eastAsia="Batang" w:cs="Times"/>
          <w:noProof/>
          <w:szCs w:val="24"/>
          <w:lang w:val="es-MX" w:eastAsia="es-ES"/>
        </w:rPr>
        <w:t xml:space="preserve"> sobre hechos anteriores a la adhesión del Estado a la Convención Americana</w:t>
      </w:r>
      <w:r w:rsidRPr="00470C7C">
        <w:rPr>
          <w:rFonts w:eastAsia="Cambria" w:cs="Times New Roman"/>
          <w:szCs w:val="20"/>
        </w:rPr>
        <w:t xml:space="preserve">, en los términos de los párrafos </w:t>
      </w:r>
      <w:r w:rsidR="009E7747" w:rsidRPr="00470C7C">
        <w:rPr>
          <w:rFonts w:eastAsia="Cambria" w:cs="Times New Roman"/>
          <w:szCs w:val="20"/>
        </w:rPr>
        <w:t>63 a 65</w:t>
      </w:r>
      <w:r w:rsidRPr="00470C7C">
        <w:rPr>
          <w:rFonts w:eastAsia="Cambria" w:cs="Times New Roman"/>
          <w:szCs w:val="20"/>
        </w:rPr>
        <w:t xml:space="preserve"> de la presente Sentencia. </w:t>
      </w:r>
      <w:r w:rsidRPr="00470C7C">
        <w:rPr>
          <w:rFonts w:eastAsia="Cambria" w:cs="Times New Roman"/>
          <w:szCs w:val="20"/>
        </w:rPr>
        <w:cr/>
      </w:r>
    </w:p>
    <w:p w14:paraId="37B9B8DD"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r w:rsidRPr="00470C7C">
        <w:rPr>
          <w:rFonts w:eastAsia="MS Mincho" w:cs="Times New Roman"/>
          <w:b/>
          <w:bCs/>
          <w:szCs w:val="20"/>
          <w:lang w:val="es-ES_tradnl" w:bidi="en-US"/>
        </w:rPr>
        <w:t xml:space="preserve">DECLARA: </w:t>
      </w:r>
    </w:p>
    <w:p w14:paraId="6AF5C376" w14:textId="77777777" w:rsidR="00702C18" w:rsidRPr="00470C7C" w:rsidRDefault="00702C18" w:rsidP="00702C18">
      <w:pPr>
        <w:tabs>
          <w:tab w:val="clear" w:pos="4419"/>
          <w:tab w:val="clear" w:pos="8838"/>
          <w:tab w:val="left" w:pos="720"/>
        </w:tabs>
        <w:ind w:right="-90"/>
        <w:contextualSpacing/>
        <w:rPr>
          <w:rFonts w:eastAsia="MS Mincho" w:cs="Times New Roman"/>
          <w:szCs w:val="20"/>
          <w:lang w:val="es-ES_tradnl" w:bidi="en-US"/>
        </w:rPr>
      </w:pPr>
    </w:p>
    <w:p w14:paraId="71586326" w14:textId="77777777" w:rsidR="00702C18" w:rsidRPr="00470C7C" w:rsidRDefault="00702C18" w:rsidP="00702C18">
      <w:pPr>
        <w:tabs>
          <w:tab w:val="clear" w:pos="4419"/>
          <w:tab w:val="clear" w:pos="8838"/>
        </w:tabs>
        <w:ind w:right="-90"/>
        <w:contextualSpacing/>
        <w:rPr>
          <w:rFonts w:eastAsia="MS Mincho" w:cs="Times New Roman"/>
          <w:szCs w:val="20"/>
          <w:lang w:val="es-ES_tradnl" w:bidi="en-US"/>
        </w:rPr>
      </w:pPr>
      <w:r w:rsidRPr="00470C7C">
        <w:rPr>
          <w:rFonts w:eastAsia="MS Mincho" w:cs="Times New Roman"/>
          <w:szCs w:val="20"/>
          <w:lang w:val="es-ES_tradnl" w:bidi="en-US"/>
        </w:rPr>
        <w:t>Por unanimidad, que:</w:t>
      </w:r>
    </w:p>
    <w:p w14:paraId="66E0AE8D" w14:textId="77777777" w:rsidR="00702C18" w:rsidRPr="00470C7C" w:rsidRDefault="00702C18" w:rsidP="00702C18">
      <w:pPr>
        <w:tabs>
          <w:tab w:val="clear" w:pos="4419"/>
          <w:tab w:val="clear" w:pos="8838"/>
        </w:tabs>
        <w:ind w:right="-90"/>
        <w:contextualSpacing/>
        <w:rPr>
          <w:rFonts w:eastAsia="MS Mincho" w:cs="Times New Roman"/>
          <w:szCs w:val="20"/>
          <w:lang w:val="es-ES_tradnl" w:bidi="en-US"/>
        </w:rPr>
      </w:pPr>
    </w:p>
    <w:p w14:paraId="549539E7"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 xml:space="preserve">El </w:t>
      </w:r>
      <w:r w:rsidRPr="00470C7C">
        <w:rPr>
          <w:rFonts w:eastAsia="MS Mincho" w:cs="Times New Roman"/>
          <w:szCs w:val="20"/>
        </w:rPr>
        <w:t>Estado</w:t>
      </w:r>
      <w:r w:rsidRPr="00470C7C">
        <w:rPr>
          <w:rFonts w:eastAsia="Cambria" w:cs="Times New Roman"/>
          <w:szCs w:val="20"/>
        </w:rPr>
        <w:t xml:space="preserve"> es responsable por </w:t>
      </w:r>
      <w:r w:rsidRPr="00470C7C">
        <w:rPr>
          <w:rFonts w:eastAsia="Cambria" w:cs="Times New Roman"/>
          <w:lang w:val="es-EC"/>
        </w:rPr>
        <w:t xml:space="preserve">la violación del derecho a no ser sometido a esclavitud y trata de personas, establecido en el artículo 6.1 de la Convención Americana sobre Derechos Humanos, en relación con los artículos 1.1, 3, 5, 7, 11 y 22 del mismo instrumento, en perjuicio de los 85 trabajadores rescatados el 15 de marzo de 2000 en la Hacienda Brasil Verde, listados en el párrafo </w:t>
      </w:r>
      <w:r w:rsidR="00A21B95" w:rsidRPr="00470C7C">
        <w:rPr>
          <w:rFonts w:eastAsia="Cambria" w:cs="Times New Roman"/>
          <w:lang w:val="es-EC"/>
        </w:rPr>
        <w:t>206</w:t>
      </w:r>
      <w:r w:rsidRPr="00470C7C">
        <w:rPr>
          <w:rFonts w:eastAsia="Cambria" w:cs="Times New Roman"/>
          <w:lang w:val="es-EC"/>
        </w:rPr>
        <w:t xml:space="preserve"> de la presente Sentencia, </w:t>
      </w:r>
      <w:r w:rsidRPr="00470C7C">
        <w:rPr>
          <w:rFonts w:eastAsia="Cambria" w:cs="Times New Roman"/>
          <w:szCs w:val="20"/>
        </w:rPr>
        <w:t xml:space="preserve">en los términos de los párrafos </w:t>
      </w:r>
      <w:r w:rsidR="00A21B95" w:rsidRPr="00470C7C">
        <w:rPr>
          <w:rFonts w:eastAsia="Cambria" w:cs="Times New Roman"/>
          <w:szCs w:val="20"/>
        </w:rPr>
        <w:t xml:space="preserve">342 y 343 </w:t>
      </w:r>
      <w:r w:rsidRPr="00470C7C">
        <w:rPr>
          <w:rFonts w:eastAsia="Cambria" w:cs="Times New Roman"/>
          <w:szCs w:val="20"/>
        </w:rPr>
        <w:t>de la presente Sentencia</w:t>
      </w:r>
      <w:r w:rsidRPr="00470C7C">
        <w:rPr>
          <w:rFonts w:eastAsia="Cambria" w:cs="Times New Roman"/>
          <w:lang w:val="es-EC"/>
        </w:rPr>
        <w:t xml:space="preserve">. Adicionalmente, respecto al </w:t>
      </w:r>
      <w:r w:rsidRPr="00470C7C">
        <w:rPr>
          <w:rFonts w:eastAsia="Cambria" w:cs="Times New Roman"/>
        </w:rPr>
        <w:t xml:space="preserve">señor </w:t>
      </w:r>
      <w:proofErr w:type="spellStart"/>
      <w:r w:rsidR="00D60654" w:rsidRPr="00470C7C">
        <w:rPr>
          <w:rFonts w:eastAsia="Cambria" w:cs="Times New Roman"/>
        </w:rPr>
        <w:t>Antônio</w:t>
      </w:r>
      <w:proofErr w:type="spellEnd"/>
      <w:r w:rsidR="00D60654" w:rsidRPr="00470C7C">
        <w:rPr>
          <w:rFonts w:eastAsia="Cambria" w:cs="Times New Roman"/>
        </w:rPr>
        <w:t xml:space="preserve"> </w:t>
      </w:r>
      <w:r w:rsidRPr="00470C7C">
        <w:rPr>
          <w:rFonts w:eastAsia="Cambria" w:cs="Times New Roman"/>
        </w:rPr>
        <w:t xml:space="preserve">Francisco da Silva esa violación ocurrió también en relación con el artículo 19 de la Convención Americana sobre Derechos Humanos, por ser niño al momento de los hechos, </w:t>
      </w:r>
      <w:r w:rsidRPr="00470C7C">
        <w:rPr>
          <w:rFonts w:eastAsia="Cambria" w:cs="Times New Roman"/>
          <w:szCs w:val="20"/>
        </w:rPr>
        <w:t xml:space="preserve">en los términos de los párrafos </w:t>
      </w:r>
      <w:r w:rsidR="00A21B95" w:rsidRPr="00470C7C">
        <w:rPr>
          <w:rFonts w:eastAsia="Cambria" w:cs="Times New Roman"/>
          <w:szCs w:val="20"/>
        </w:rPr>
        <w:t>342 y 343</w:t>
      </w:r>
      <w:r w:rsidRPr="00470C7C">
        <w:rPr>
          <w:rFonts w:eastAsia="Cambria" w:cs="Times New Roman"/>
          <w:szCs w:val="20"/>
        </w:rPr>
        <w:t xml:space="preserve"> de la presente Sentencia. </w:t>
      </w:r>
    </w:p>
    <w:p w14:paraId="7BDB3538"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p>
    <w:p w14:paraId="2395B189"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r w:rsidRPr="00470C7C">
        <w:rPr>
          <w:rFonts w:eastAsia="MS Mincho" w:cs="Times New Roman"/>
          <w:szCs w:val="20"/>
          <w:lang w:val="es-ES_tradnl" w:bidi="en-US"/>
        </w:rPr>
        <w:t>Por cinco votos a favor y uno en contra, que:</w:t>
      </w:r>
    </w:p>
    <w:p w14:paraId="40C8A8EA"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p>
    <w:p w14:paraId="6D04F22C"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 xml:space="preserve">El Estado es responsable por </w:t>
      </w:r>
      <w:r w:rsidRPr="00470C7C">
        <w:rPr>
          <w:rFonts w:eastAsia="Cambria" w:cs="Times New Roman"/>
        </w:rPr>
        <w:t xml:space="preserve">la violación del artículo 6.1 de la Convención Americana, en relación con el artículo 1.1 del mismo instrumento, producida en el marco de una situación de discriminación estructural histórica, en razón de la posición económica de los 85 trabajadores identificados en el párrafo </w:t>
      </w:r>
      <w:r w:rsidR="00A21B95" w:rsidRPr="00470C7C">
        <w:rPr>
          <w:rFonts w:eastAsia="Cambria" w:cs="Times New Roman"/>
        </w:rPr>
        <w:t>206</w:t>
      </w:r>
      <w:r w:rsidRPr="00470C7C">
        <w:rPr>
          <w:rFonts w:eastAsia="Cambria" w:cs="Times New Roman"/>
        </w:rPr>
        <w:t xml:space="preserve"> de la presente Sentencia,</w:t>
      </w:r>
      <w:r w:rsidRPr="00470C7C">
        <w:rPr>
          <w:rFonts w:eastAsia="Cambria" w:cs="Times New Roman"/>
          <w:lang w:val="es-EC"/>
        </w:rPr>
        <w:t xml:space="preserve"> </w:t>
      </w:r>
      <w:r w:rsidRPr="00470C7C">
        <w:rPr>
          <w:rFonts w:eastAsia="Cambria" w:cs="Times New Roman"/>
          <w:szCs w:val="20"/>
        </w:rPr>
        <w:t xml:space="preserve">en los términos de los párrafos </w:t>
      </w:r>
      <w:r w:rsidR="00A21B95" w:rsidRPr="00470C7C">
        <w:rPr>
          <w:rFonts w:eastAsia="Cambria" w:cs="Times New Roman"/>
          <w:szCs w:val="20"/>
        </w:rPr>
        <w:t>342 y 343</w:t>
      </w:r>
      <w:r w:rsidRPr="00470C7C">
        <w:rPr>
          <w:rFonts w:eastAsia="Cambria" w:cs="Times New Roman"/>
          <w:szCs w:val="20"/>
        </w:rPr>
        <w:t xml:space="preserve"> de la presente Sentencia</w:t>
      </w:r>
      <w:r w:rsidRPr="00470C7C">
        <w:rPr>
          <w:rFonts w:eastAsia="Cambria" w:cs="Times New Roman"/>
          <w:lang w:val="es-EC"/>
        </w:rPr>
        <w:t>.</w:t>
      </w:r>
    </w:p>
    <w:p w14:paraId="71CB61AA" w14:textId="77777777" w:rsidR="00702C18" w:rsidRPr="00470C7C" w:rsidRDefault="00702C18" w:rsidP="00702C18">
      <w:pPr>
        <w:tabs>
          <w:tab w:val="clear" w:pos="4419"/>
          <w:tab w:val="clear" w:pos="8838"/>
          <w:tab w:val="left" w:pos="720"/>
        </w:tabs>
        <w:ind w:right="-90"/>
        <w:contextualSpacing/>
        <w:jc w:val="both"/>
        <w:rPr>
          <w:rFonts w:eastAsia="Cambria" w:cs="Times New Roman"/>
          <w:lang w:val="es-EC"/>
        </w:rPr>
      </w:pPr>
    </w:p>
    <w:p w14:paraId="226EB550" w14:textId="77777777" w:rsidR="00702C18" w:rsidRPr="00470C7C" w:rsidRDefault="00702C18" w:rsidP="00702C18">
      <w:p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Disiente el Juez Sierra Porto.</w:t>
      </w:r>
    </w:p>
    <w:p w14:paraId="0C2E8FF6" w14:textId="77777777" w:rsidR="00702C18" w:rsidRPr="00470C7C" w:rsidRDefault="00702C18" w:rsidP="00702C18">
      <w:pPr>
        <w:tabs>
          <w:tab w:val="clear" w:pos="4419"/>
          <w:tab w:val="clear" w:pos="8838"/>
        </w:tabs>
        <w:ind w:left="720"/>
        <w:contextualSpacing/>
        <w:jc w:val="both"/>
        <w:rPr>
          <w:rFonts w:eastAsia="Cambria" w:cs="Times New Roman"/>
          <w:szCs w:val="20"/>
        </w:rPr>
      </w:pPr>
    </w:p>
    <w:p w14:paraId="7155984C" w14:textId="77777777" w:rsidR="00702C18" w:rsidRPr="00470C7C" w:rsidRDefault="00702C18" w:rsidP="00702C18">
      <w:pPr>
        <w:tabs>
          <w:tab w:val="clear" w:pos="4419"/>
          <w:tab w:val="clear" w:pos="8838"/>
        </w:tabs>
        <w:contextualSpacing/>
        <w:jc w:val="both"/>
        <w:rPr>
          <w:rFonts w:eastAsia="Cambria" w:cs="Times New Roman"/>
          <w:szCs w:val="20"/>
        </w:rPr>
      </w:pPr>
      <w:r w:rsidRPr="00470C7C">
        <w:rPr>
          <w:rFonts w:eastAsia="Cambria" w:cs="Times New Roman"/>
          <w:szCs w:val="20"/>
        </w:rPr>
        <w:t xml:space="preserve">Por unanimidad, que: </w:t>
      </w:r>
    </w:p>
    <w:p w14:paraId="7BC083D5" w14:textId="77777777" w:rsidR="00702C18" w:rsidRPr="00470C7C" w:rsidRDefault="00702C18" w:rsidP="00702C18">
      <w:pPr>
        <w:tabs>
          <w:tab w:val="clear" w:pos="4419"/>
          <w:tab w:val="clear" w:pos="8838"/>
        </w:tabs>
        <w:ind w:left="720"/>
        <w:contextualSpacing/>
        <w:jc w:val="both"/>
        <w:rPr>
          <w:rFonts w:eastAsia="Cambria" w:cs="Times New Roman"/>
          <w:szCs w:val="20"/>
        </w:rPr>
      </w:pPr>
    </w:p>
    <w:p w14:paraId="238E75B2"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 xml:space="preserve">El Estado es responsable por violar las garantías judiciales de debida diligencia y de plazo razonable, previstas en el artículo 8.1 de la Convención Americana sobre Derechos Humanos, en relación con el artículo 1.1 del mismo instrumento, en perjuicio de </w:t>
      </w:r>
      <w:r w:rsidRPr="00470C7C">
        <w:rPr>
          <w:rFonts w:eastAsia="Cambria" w:cs="Times New Roman"/>
          <w:szCs w:val="20"/>
          <w:lang w:val="es-ES"/>
        </w:rPr>
        <w:t xml:space="preserve">los 43 trabajadores de la Hacienda Brasil Verde que se encontraron durante la fiscalización de 23 de abril de 1997 y que fueron identificados por la Corte en el párrafo </w:t>
      </w:r>
      <w:r w:rsidR="003452E0" w:rsidRPr="00470C7C">
        <w:rPr>
          <w:rFonts w:eastAsia="Cambria" w:cs="Times New Roman"/>
          <w:szCs w:val="20"/>
          <w:lang w:val="es-ES"/>
        </w:rPr>
        <w:t>199</w:t>
      </w:r>
      <w:r w:rsidRPr="00470C7C">
        <w:rPr>
          <w:rFonts w:eastAsia="Cambria" w:cs="Times New Roman"/>
          <w:szCs w:val="20"/>
          <w:lang w:val="es-ES"/>
        </w:rPr>
        <w:t xml:space="preserve"> de la Sentencia</w:t>
      </w:r>
      <w:r w:rsidRPr="00470C7C">
        <w:rPr>
          <w:rFonts w:eastAsia="Batang" w:cs="Times New Roman"/>
          <w:bCs/>
          <w:color w:val="000000"/>
          <w:spacing w:val="-2"/>
          <w:szCs w:val="20"/>
          <w:lang w:val="es-PR"/>
        </w:rPr>
        <w:t>,</w:t>
      </w:r>
      <w:r w:rsidRPr="00470C7C">
        <w:rPr>
          <w:rFonts w:eastAsia="Batang" w:cs="Times New Roman"/>
          <w:color w:val="000000"/>
          <w:spacing w:val="-2"/>
          <w:szCs w:val="20"/>
          <w:lang w:val="es-ES_tradnl"/>
        </w:rPr>
        <w:t xml:space="preserve"> en los términos de los párrafos </w:t>
      </w:r>
      <w:r w:rsidR="00A21B95" w:rsidRPr="00470C7C">
        <w:rPr>
          <w:rFonts w:eastAsia="Cambria" w:cs="Times New Roman"/>
          <w:szCs w:val="20"/>
        </w:rPr>
        <w:t>36</w:t>
      </w:r>
      <w:r w:rsidR="007A3720" w:rsidRPr="00470C7C">
        <w:rPr>
          <w:rFonts w:eastAsia="Cambria" w:cs="Times New Roman"/>
          <w:szCs w:val="20"/>
        </w:rPr>
        <w:t>1</w:t>
      </w:r>
      <w:r w:rsidR="009D2CB0" w:rsidRPr="00470C7C">
        <w:rPr>
          <w:rFonts w:eastAsia="Cambria" w:cs="Times New Roman"/>
          <w:szCs w:val="20"/>
        </w:rPr>
        <w:t xml:space="preserve"> a 382</w:t>
      </w:r>
      <w:r w:rsidRPr="00470C7C">
        <w:rPr>
          <w:rFonts w:eastAsia="Cambria" w:cs="Times New Roman"/>
          <w:szCs w:val="20"/>
        </w:rPr>
        <w:t xml:space="preserve"> de la presente Sentencia.</w:t>
      </w:r>
    </w:p>
    <w:p w14:paraId="2B45F61F"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p>
    <w:p w14:paraId="35FFCF8A"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r w:rsidRPr="00470C7C">
        <w:rPr>
          <w:rFonts w:eastAsia="MS Mincho" w:cs="Times New Roman"/>
          <w:szCs w:val="20"/>
          <w:lang w:val="es-ES_tradnl" w:bidi="en-US"/>
        </w:rPr>
        <w:t>Por cinco votos a favor y uno en contra, que:</w:t>
      </w:r>
    </w:p>
    <w:p w14:paraId="31C9B787"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p>
    <w:p w14:paraId="22927A14"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 xml:space="preserve">El Estado es responsable por violar el derecho a la protección judicial, previsto en el artículo 25 de la Convención Americana sobre Derechos Humanos, en relación con los artículos 1.1 y 2 del mismo instrumento en perjuicio de: a) </w:t>
      </w:r>
      <w:r w:rsidRPr="00470C7C">
        <w:rPr>
          <w:rFonts w:eastAsia="Cambria" w:cs="Times New Roman"/>
          <w:szCs w:val="20"/>
          <w:lang w:val="es-ES"/>
        </w:rPr>
        <w:t xml:space="preserve">los 43 trabajadores de la Hacienda Brasil Verde que se encontraron durante la fiscalización de 23 de abril de 1997 y que fueron identificados por la Corte en el presente litigio </w:t>
      </w:r>
      <w:r w:rsidRPr="00470C7C">
        <w:rPr>
          <w:rFonts w:eastAsia="Cambria" w:cs="Times New Roman"/>
          <w:szCs w:val="20"/>
        </w:rPr>
        <w:t>(</w:t>
      </w:r>
      <w:r w:rsidRPr="00470C7C">
        <w:rPr>
          <w:rFonts w:eastAsia="Cambria" w:cs="Times New Roman"/>
          <w:i/>
          <w:szCs w:val="20"/>
        </w:rPr>
        <w:t>supra</w:t>
      </w:r>
      <w:r w:rsidRPr="00470C7C">
        <w:rPr>
          <w:rFonts w:eastAsia="Cambria" w:cs="Times New Roman"/>
          <w:szCs w:val="20"/>
        </w:rPr>
        <w:t xml:space="preserve"> párr. </w:t>
      </w:r>
      <w:r w:rsidR="002E7572" w:rsidRPr="00470C7C">
        <w:rPr>
          <w:rFonts w:eastAsia="Cambria" w:cs="Times New Roman"/>
          <w:szCs w:val="20"/>
        </w:rPr>
        <w:t>199</w:t>
      </w:r>
      <w:r w:rsidRPr="00470C7C">
        <w:rPr>
          <w:rFonts w:eastAsia="Cambria" w:cs="Times New Roman"/>
          <w:szCs w:val="20"/>
        </w:rPr>
        <w:t xml:space="preserve">), y b) los 85 </w:t>
      </w:r>
      <w:r w:rsidRPr="00470C7C">
        <w:rPr>
          <w:rFonts w:eastAsia="Cambria" w:cs="Times New Roman"/>
          <w:szCs w:val="20"/>
          <w:lang w:val="es-ES"/>
        </w:rPr>
        <w:t xml:space="preserve">trabajadores de la Hacienda Brasil Verde que se encontraron durante la fiscalización de 15 de marzo de 2000 y que fueron identificados por la Corte en el presente litigio </w:t>
      </w:r>
      <w:r w:rsidRPr="00470C7C">
        <w:rPr>
          <w:rFonts w:eastAsia="Cambria" w:cs="Times New Roman"/>
          <w:szCs w:val="20"/>
        </w:rPr>
        <w:t>(</w:t>
      </w:r>
      <w:r w:rsidRPr="00470C7C">
        <w:rPr>
          <w:rFonts w:eastAsia="Cambria" w:cs="Times New Roman"/>
          <w:i/>
          <w:szCs w:val="20"/>
        </w:rPr>
        <w:t>supra</w:t>
      </w:r>
      <w:r w:rsidRPr="00470C7C">
        <w:rPr>
          <w:rFonts w:eastAsia="Cambria" w:cs="Times New Roman"/>
          <w:szCs w:val="20"/>
        </w:rPr>
        <w:t xml:space="preserve"> párr. </w:t>
      </w:r>
      <w:r w:rsidR="002E7572" w:rsidRPr="00470C7C">
        <w:rPr>
          <w:rFonts w:eastAsia="Cambria" w:cs="Times New Roman"/>
          <w:szCs w:val="20"/>
        </w:rPr>
        <w:t>206</w:t>
      </w:r>
      <w:r w:rsidRPr="00470C7C">
        <w:rPr>
          <w:rFonts w:eastAsia="Cambria" w:cs="Times New Roman"/>
          <w:szCs w:val="20"/>
        </w:rPr>
        <w:t xml:space="preserve">). </w:t>
      </w:r>
      <w:r w:rsidRPr="00470C7C">
        <w:rPr>
          <w:rFonts w:eastAsia="Cambria" w:cs="Times New Roman"/>
          <w:lang w:val="es-EC"/>
        </w:rPr>
        <w:t xml:space="preserve">Adicionalmente, en relación con el señor </w:t>
      </w:r>
      <w:proofErr w:type="spellStart"/>
      <w:r w:rsidR="00D60654" w:rsidRPr="00470C7C">
        <w:rPr>
          <w:rFonts w:eastAsia="Cambria" w:cs="Times New Roman"/>
        </w:rPr>
        <w:t>Antônio</w:t>
      </w:r>
      <w:proofErr w:type="spellEnd"/>
      <w:r w:rsidR="00D60654" w:rsidRPr="00470C7C">
        <w:rPr>
          <w:rFonts w:eastAsia="Cambria" w:cs="Times New Roman"/>
        </w:rPr>
        <w:t xml:space="preserve"> </w:t>
      </w:r>
      <w:r w:rsidRPr="00470C7C">
        <w:rPr>
          <w:rFonts w:eastAsia="Cambria" w:cs="Times New Roman"/>
        </w:rPr>
        <w:t>Francisco da Silva esa violación ocurrió en relación con el artículo 19 de la Convención Americana, todo lo anterior</w:t>
      </w:r>
      <w:r w:rsidRPr="00470C7C">
        <w:rPr>
          <w:rFonts w:eastAsia="Cambria" w:cs="Times New Roman"/>
          <w:szCs w:val="20"/>
        </w:rPr>
        <w:t xml:space="preserve"> en los términos de los párrafos </w:t>
      </w:r>
      <w:r w:rsidR="007A3720" w:rsidRPr="00470C7C">
        <w:rPr>
          <w:rFonts w:eastAsia="Cambria" w:cs="Times New Roman"/>
          <w:szCs w:val="20"/>
        </w:rPr>
        <w:t>383</w:t>
      </w:r>
      <w:r w:rsidR="00483F80" w:rsidRPr="00470C7C">
        <w:rPr>
          <w:rFonts w:eastAsia="Cambria" w:cs="Times New Roman"/>
          <w:szCs w:val="20"/>
        </w:rPr>
        <w:t xml:space="preserve"> a 42</w:t>
      </w:r>
      <w:r w:rsidR="007A3720" w:rsidRPr="00470C7C">
        <w:rPr>
          <w:rFonts w:eastAsia="Cambria" w:cs="Times New Roman"/>
          <w:szCs w:val="20"/>
        </w:rPr>
        <w:t>0</w:t>
      </w:r>
      <w:r w:rsidRPr="00470C7C">
        <w:rPr>
          <w:rFonts w:eastAsia="Cambria" w:cs="Times New Roman"/>
          <w:szCs w:val="20"/>
        </w:rPr>
        <w:t xml:space="preserve"> de la presente Sentencia.</w:t>
      </w:r>
    </w:p>
    <w:p w14:paraId="68622868" w14:textId="77777777" w:rsidR="00702C18" w:rsidRPr="00470C7C" w:rsidRDefault="00702C18" w:rsidP="00702C18">
      <w:pPr>
        <w:tabs>
          <w:tab w:val="clear" w:pos="4419"/>
          <w:tab w:val="clear" w:pos="8838"/>
          <w:tab w:val="left" w:pos="720"/>
        </w:tabs>
        <w:ind w:right="-90"/>
        <w:contextualSpacing/>
        <w:jc w:val="both"/>
        <w:rPr>
          <w:rFonts w:eastAsia="Cambria" w:cs="Times New Roman"/>
          <w:szCs w:val="20"/>
        </w:rPr>
      </w:pPr>
    </w:p>
    <w:p w14:paraId="18B50124" w14:textId="77777777" w:rsidR="00702C18" w:rsidRPr="00470C7C" w:rsidRDefault="00702C18" w:rsidP="00702C18">
      <w:p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Disiente el Juez Sierra Porto.</w:t>
      </w:r>
    </w:p>
    <w:p w14:paraId="72F97002" w14:textId="77777777" w:rsidR="00702C18" w:rsidRPr="00470C7C" w:rsidRDefault="00702C18" w:rsidP="00702C18">
      <w:pPr>
        <w:tabs>
          <w:tab w:val="left" w:pos="720"/>
        </w:tabs>
        <w:ind w:right="-90"/>
        <w:contextualSpacing/>
        <w:rPr>
          <w:rFonts w:eastAsia="Cambria" w:cs="Times New Roman"/>
          <w:szCs w:val="20"/>
        </w:rPr>
      </w:pPr>
    </w:p>
    <w:p w14:paraId="664AE3D3" w14:textId="77777777" w:rsidR="00702C18" w:rsidRPr="00470C7C" w:rsidRDefault="00702C18" w:rsidP="00702C18">
      <w:pPr>
        <w:tabs>
          <w:tab w:val="left" w:pos="720"/>
        </w:tabs>
        <w:ind w:right="-90"/>
        <w:contextualSpacing/>
        <w:rPr>
          <w:rFonts w:eastAsia="Cambria" w:cs="Times New Roman"/>
          <w:szCs w:val="20"/>
        </w:rPr>
      </w:pPr>
      <w:r w:rsidRPr="00470C7C">
        <w:rPr>
          <w:rFonts w:eastAsia="Cambria" w:cs="Times New Roman"/>
          <w:szCs w:val="20"/>
        </w:rPr>
        <w:t xml:space="preserve">Por unanimidad, que: </w:t>
      </w:r>
    </w:p>
    <w:p w14:paraId="62131375" w14:textId="77777777" w:rsidR="00702C18" w:rsidRPr="00470C7C" w:rsidRDefault="00702C18" w:rsidP="00702C18">
      <w:pPr>
        <w:tabs>
          <w:tab w:val="left" w:pos="720"/>
        </w:tabs>
        <w:ind w:right="-90"/>
        <w:contextualSpacing/>
        <w:rPr>
          <w:rFonts w:eastAsia="Cambria" w:cs="Times New Roman"/>
          <w:szCs w:val="20"/>
        </w:rPr>
      </w:pPr>
    </w:p>
    <w:p w14:paraId="10DE485F"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szCs w:val="20"/>
        </w:rPr>
      </w:pPr>
      <w:r w:rsidRPr="00470C7C">
        <w:rPr>
          <w:rFonts w:eastAsia="Cambria" w:cs="Times New Roman"/>
          <w:szCs w:val="20"/>
        </w:rPr>
        <w:t xml:space="preserve">El Estado no es responsable por </w:t>
      </w:r>
      <w:r w:rsidRPr="00470C7C">
        <w:rPr>
          <w:rFonts w:eastAsia="Cambria" w:cs="Arial"/>
          <w:iCs/>
          <w:szCs w:val="20"/>
          <w:lang w:val="es-GT"/>
        </w:rPr>
        <w:t xml:space="preserve">las violaciones a </w:t>
      </w:r>
      <w:r w:rsidRPr="00470C7C">
        <w:rPr>
          <w:rFonts w:eastAsia="Cambria" w:cs="Arial"/>
          <w:iCs/>
          <w:szCs w:val="20"/>
          <w:lang w:val="es-ES"/>
        </w:rPr>
        <w:t xml:space="preserve">los derechos a la personalidad jurídica, vida, integridad y libertad personal, garantías y protección judiciales, contemplados en los artículos 3, 4, 5, 7, 8 y 25 de la Convención Americana, en relación con los artículos 1.1 y 19 del mismo instrumento, en perjuicio de Luis Ferreira da Cruz e </w:t>
      </w:r>
      <w:proofErr w:type="spellStart"/>
      <w:r w:rsidR="008B075C" w:rsidRPr="00470C7C">
        <w:rPr>
          <w:rFonts w:eastAsia="Cambria" w:cs="Arial"/>
          <w:iCs/>
          <w:szCs w:val="20"/>
          <w:lang w:val="es-ES"/>
        </w:rPr>
        <w:t>Iron</w:t>
      </w:r>
      <w:proofErr w:type="spellEnd"/>
      <w:r w:rsidR="008B075C" w:rsidRPr="00470C7C">
        <w:rPr>
          <w:rFonts w:eastAsia="Cambria" w:cs="Arial"/>
          <w:iCs/>
          <w:szCs w:val="20"/>
          <w:lang w:val="es-ES"/>
        </w:rPr>
        <w:t xml:space="preserve"> Canuto da Silva</w:t>
      </w:r>
      <w:r w:rsidRPr="00470C7C">
        <w:rPr>
          <w:rFonts w:eastAsia="Cambria" w:cs="Arial"/>
          <w:iCs/>
          <w:szCs w:val="20"/>
          <w:lang w:val="es-ES"/>
        </w:rPr>
        <w:t xml:space="preserve"> ni de sus familiares</w:t>
      </w:r>
      <w:r w:rsidRPr="00470C7C">
        <w:rPr>
          <w:rFonts w:eastAsia="Cambria" w:cs="Times New Roman"/>
          <w:szCs w:val="20"/>
        </w:rPr>
        <w:t xml:space="preserve">, en los términos de los párrafos </w:t>
      </w:r>
      <w:r w:rsidR="00483F80" w:rsidRPr="00470C7C">
        <w:rPr>
          <w:rFonts w:eastAsia="Cambria" w:cs="Times New Roman"/>
          <w:szCs w:val="20"/>
        </w:rPr>
        <w:t>42</w:t>
      </w:r>
      <w:r w:rsidR="007A3720" w:rsidRPr="00470C7C">
        <w:rPr>
          <w:rFonts w:eastAsia="Cambria" w:cs="Times New Roman"/>
          <w:szCs w:val="20"/>
        </w:rPr>
        <w:t>1</w:t>
      </w:r>
      <w:r w:rsidR="00BC5A18" w:rsidRPr="00470C7C">
        <w:rPr>
          <w:rFonts w:eastAsia="Cambria" w:cs="Times New Roman"/>
          <w:szCs w:val="20"/>
        </w:rPr>
        <w:t xml:space="preserve"> y 426</w:t>
      </w:r>
      <w:r w:rsidR="00483F80" w:rsidRPr="00470C7C">
        <w:rPr>
          <w:rFonts w:eastAsia="Cambria" w:cs="Times New Roman"/>
          <w:szCs w:val="20"/>
        </w:rPr>
        <w:t xml:space="preserve"> a 43</w:t>
      </w:r>
      <w:r w:rsidR="007A3720" w:rsidRPr="00470C7C">
        <w:rPr>
          <w:rFonts w:eastAsia="Cambria" w:cs="Times New Roman"/>
          <w:szCs w:val="20"/>
        </w:rPr>
        <w:t>4</w:t>
      </w:r>
      <w:r w:rsidRPr="00470C7C">
        <w:rPr>
          <w:rFonts w:eastAsia="Cambria" w:cs="Times New Roman"/>
          <w:szCs w:val="20"/>
        </w:rPr>
        <w:t xml:space="preserve"> de la presente Sentencia.</w:t>
      </w:r>
    </w:p>
    <w:p w14:paraId="3A8B2853" w14:textId="77777777" w:rsidR="00702C18" w:rsidRPr="00470C7C" w:rsidRDefault="00702C18" w:rsidP="00702C18">
      <w:pPr>
        <w:tabs>
          <w:tab w:val="clear" w:pos="4419"/>
          <w:tab w:val="clear" w:pos="8838"/>
        </w:tabs>
        <w:ind w:right="-90"/>
        <w:contextualSpacing/>
        <w:jc w:val="both"/>
        <w:rPr>
          <w:rFonts w:eastAsia="MS Mincho" w:cs="Times New Roman"/>
          <w:szCs w:val="20"/>
          <w:lang w:val="es-ES_tradnl" w:bidi="en-US"/>
        </w:rPr>
      </w:pPr>
    </w:p>
    <w:p w14:paraId="0796BA65" w14:textId="77777777" w:rsidR="00702C18" w:rsidRPr="00470C7C" w:rsidRDefault="00702C18" w:rsidP="00702C18">
      <w:pPr>
        <w:tabs>
          <w:tab w:val="clear" w:pos="4419"/>
          <w:tab w:val="clear" w:pos="8838"/>
          <w:tab w:val="left" w:pos="720"/>
        </w:tabs>
        <w:ind w:right="-90"/>
        <w:contextualSpacing/>
        <w:jc w:val="both"/>
        <w:rPr>
          <w:rFonts w:eastAsia="MS Mincho" w:cs="Times New Roman"/>
          <w:b/>
          <w:bCs/>
          <w:szCs w:val="20"/>
          <w:lang w:val="es-ES_tradnl" w:bidi="en-US"/>
        </w:rPr>
      </w:pPr>
      <w:r w:rsidRPr="00470C7C">
        <w:rPr>
          <w:rFonts w:eastAsia="MS Mincho" w:cs="Times New Roman"/>
          <w:b/>
          <w:bCs/>
          <w:szCs w:val="20"/>
          <w:lang w:val="es-ES_tradnl" w:bidi="en-US"/>
        </w:rPr>
        <w:t>Y DISPONE:</w:t>
      </w:r>
    </w:p>
    <w:p w14:paraId="3C7957AF" w14:textId="77777777" w:rsidR="00702C18" w:rsidRPr="00470C7C" w:rsidRDefault="00702C18" w:rsidP="00702C18">
      <w:pPr>
        <w:tabs>
          <w:tab w:val="clear" w:pos="4419"/>
          <w:tab w:val="clear" w:pos="8838"/>
          <w:tab w:val="left" w:pos="720"/>
        </w:tabs>
        <w:ind w:right="-90"/>
        <w:contextualSpacing/>
        <w:jc w:val="both"/>
        <w:rPr>
          <w:rFonts w:eastAsia="MS Mincho" w:cs="Times New Roman"/>
          <w:b/>
          <w:bCs/>
          <w:szCs w:val="20"/>
          <w:lang w:val="es-ES_tradnl" w:bidi="en-US"/>
        </w:rPr>
      </w:pPr>
    </w:p>
    <w:p w14:paraId="1625A7BF" w14:textId="77777777" w:rsidR="00702C18" w:rsidRPr="00470C7C" w:rsidRDefault="00702C18" w:rsidP="00702C18">
      <w:pPr>
        <w:tabs>
          <w:tab w:val="clear" w:pos="4419"/>
          <w:tab w:val="clear" w:pos="8838"/>
          <w:tab w:val="left" w:pos="720"/>
        </w:tabs>
        <w:ind w:right="-90"/>
        <w:contextualSpacing/>
        <w:jc w:val="both"/>
        <w:rPr>
          <w:rFonts w:eastAsia="MS Mincho" w:cs="Times New Roman"/>
          <w:bCs/>
          <w:szCs w:val="20"/>
          <w:lang w:val="es-ES_tradnl" w:bidi="en-US"/>
        </w:rPr>
      </w:pPr>
      <w:r w:rsidRPr="00470C7C">
        <w:rPr>
          <w:rFonts w:eastAsia="MS Mincho" w:cs="Times New Roman"/>
          <w:szCs w:val="20"/>
          <w:lang w:val="es-ES_tradnl" w:bidi="en-US"/>
        </w:rPr>
        <w:t>Por unanimidad,</w:t>
      </w:r>
      <w:r w:rsidRPr="00470C7C">
        <w:rPr>
          <w:rFonts w:eastAsia="MS Mincho" w:cs="Times New Roman"/>
          <w:bCs/>
          <w:szCs w:val="20"/>
          <w:lang w:val="es-ES_tradnl" w:bidi="en-US"/>
        </w:rPr>
        <w:t xml:space="preserve"> que:</w:t>
      </w:r>
    </w:p>
    <w:p w14:paraId="3DA115B1" w14:textId="77777777" w:rsidR="00702C18" w:rsidRPr="00470C7C" w:rsidRDefault="00702C18" w:rsidP="00702C18">
      <w:pPr>
        <w:tabs>
          <w:tab w:val="clear" w:pos="4419"/>
          <w:tab w:val="clear" w:pos="8838"/>
          <w:tab w:val="left" w:pos="720"/>
        </w:tabs>
        <w:ind w:right="-90"/>
        <w:contextualSpacing/>
        <w:jc w:val="both"/>
        <w:rPr>
          <w:rFonts w:eastAsia="MS Mincho" w:cs="Times New Roman"/>
          <w:bCs/>
          <w:szCs w:val="20"/>
          <w:lang w:val="es-ES_tradnl" w:bidi="en-US"/>
        </w:rPr>
      </w:pPr>
    </w:p>
    <w:p w14:paraId="67C9EFD4"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Times New Roman"/>
          <w:szCs w:val="20"/>
        </w:rPr>
        <w:t>Esta</w:t>
      </w:r>
      <w:r w:rsidRPr="00470C7C">
        <w:rPr>
          <w:rFonts w:eastAsia="Cambria" w:cs="Times New Roman"/>
          <w:bCs/>
          <w:szCs w:val="20"/>
        </w:rPr>
        <w:t xml:space="preserve"> Sentencia constituye, </w:t>
      </w:r>
      <w:r w:rsidRPr="00470C7C">
        <w:rPr>
          <w:rFonts w:eastAsia="Cambria" w:cs="Times New Roman"/>
          <w:bCs/>
          <w:i/>
          <w:szCs w:val="20"/>
        </w:rPr>
        <w:t>per se</w:t>
      </w:r>
      <w:r w:rsidRPr="00470C7C">
        <w:rPr>
          <w:rFonts w:eastAsia="Cambria" w:cs="Times New Roman"/>
          <w:bCs/>
          <w:szCs w:val="20"/>
        </w:rPr>
        <w:t>, una forma de reparación.</w:t>
      </w:r>
    </w:p>
    <w:p w14:paraId="490291A0" w14:textId="77777777" w:rsidR="00702C18" w:rsidRPr="00470C7C" w:rsidRDefault="00702C18" w:rsidP="00702C18">
      <w:pPr>
        <w:tabs>
          <w:tab w:val="clear" w:pos="4419"/>
          <w:tab w:val="clear" w:pos="8838"/>
        </w:tabs>
        <w:ind w:right="-90"/>
        <w:contextualSpacing/>
        <w:jc w:val="both"/>
        <w:rPr>
          <w:rFonts w:eastAsia="MS Mincho" w:cs="Times New Roman"/>
          <w:bCs/>
          <w:szCs w:val="20"/>
          <w:lang w:val="es-ES_tradnl" w:bidi="en-US"/>
        </w:rPr>
      </w:pPr>
    </w:p>
    <w:p w14:paraId="02997966"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Times New Roman"/>
          <w:bCs/>
          <w:szCs w:val="20"/>
        </w:rPr>
        <w:t xml:space="preserve">El Estado debe </w:t>
      </w:r>
      <w:r w:rsidRPr="00470C7C">
        <w:rPr>
          <w:rFonts w:eastAsia="Cambria" w:cs="Arial"/>
          <w:iCs/>
          <w:szCs w:val="20"/>
          <w:lang w:val="es-ES_tradnl"/>
        </w:rPr>
        <w:t>reiniciar, con la debida diligencia, las investigaciones y/o procesos penales que correspondan por los hechos constatados en marzo de 2000 en el presente caso para, en un plazo razonable, identificar, procesar y, en su caso, sancionar a los responsables</w:t>
      </w:r>
      <w:r w:rsidRPr="00470C7C">
        <w:rPr>
          <w:rFonts w:eastAsia="Cambria" w:cs="Times New Roman"/>
          <w:bCs/>
          <w:szCs w:val="20"/>
        </w:rPr>
        <w:t xml:space="preserve">, de conformidad con lo establecido en los párrafos </w:t>
      </w:r>
      <w:r w:rsidR="00C861A8" w:rsidRPr="00470C7C">
        <w:rPr>
          <w:rFonts w:eastAsia="Cambria" w:cs="Times New Roman"/>
          <w:bCs/>
          <w:szCs w:val="20"/>
        </w:rPr>
        <w:t>44</w:t>
      </w:r>
      <w:r w:rsidR="007A3720" w:rsidRPr="00470C7C">
        <w:rPr>
          <w:rFonts w:eastAsia="Cambria" w:cs="Times New Roman"/>
          <w:bCs/>
          <w:szCs w:val="20"/>
        </w:rPr>
        <w:t>4</w:t>
      </w:r>
      <w:r w:rsidR="00C861A8" w:rsidRPr="00470C7C">
        <w:rPr>
          <w:rFonts w:eastAsia="Cambria" w:cs="Times New Roman"/>
          <w:bCs/>
          <w:szCs w:val="20"/>
        </w:rPr>
        <w:t xml:space="preserve"> a 44</w:t>
      </w:r>
      <w:r w:rsidR="007A3720" w:rsidRPr="00470C7C">
        <w:rPr>
          <w:rFonts w:eastAsia="Cambria" w:cs="Times New Roman"/>
          <w:bCs/>
          <w:szCs w:val="20"/>
        </w:rPr>
        <w:t>6</w:t>
      </w:r>
      <w:r w:rsidR="00C861A8" w:rsidRPr="00470C7C">
        <w:rPr>
          <w:rFonts w:eastAsia="Cambria" w:cs="Times New Roman"/>
          <w:bCs/>
          <w:szCs w:val="20"/>
        </w:rPr>
        <w:t xml:space="preserve"> </w:t>
      </w:r>
      <w:r w:rsidRPr="00470C7C">
        <w:rPr>
          <w:rFonts w:eastAsia="Cambria" w:cs="Times New Roman"/>
          <w:bCs/>
          <w:szCs w:val="20"/>
        </w:rPr>
        <w:t xml:space="preserve"> de la presente Sentencia. </w:t>
      </w:r>
      <w:r w:rsidRPr="00470C7C">
        <w:rPr>
          <w:rFonts w:eastAsia="Cambria" w:cs="Arial"/>
          <w:iCs/>
          <w:szCs w:val="20"/>
          <w:lang w:val="es-ES_tradnl"/>
        </w:rPr>
        <w:t xml:space="preserve">En su caso, el Estado debe restablecer (o reconstruir) el proceso penal </w:t>
      </w:r>
      <w:r w:rsidRPr="00470C7C">
        <w:rPr>
          <w:rFonts w:eastAsia="Cambria" w:cs="Arial"/>
          <w:bCs/>
          <w:iCs/>
          <w:szCs w:val="20"/>
          <w:lang w:val="es-MX"/>
        </w:rPr>
        <w:t xml:space="preserve">2001.39.01.000270-0, iniciado en 2001, ante la 2ª Vara de Justicia Federal de </w:t>
      </w:r>
      <w:proofErr w:type="spellStart"/>
      <w:r w:rsidRPr="00470C7C">
        <w:rPr>
          <w:rFonts w:eastAsia="Cambria" w:cs="Arial"/>
          <w:bCs/>
          <w:iCs/>
          <w:szCs w:val="20"/>
          <w:lang w:val="es-MX"/>
        </w:rPr>
        <w:t>Marabá</w:t>
      </w:r>
      <w:proofErr w:type="spellEnd"/>
      <w:r w:rsidRPr="00470C7C">
        <w:rPr>
          <w:rFonts w:eastAsia="Cambria" w:cs="Arial"/>
          <w:bCs/>
          <w:iCs/>
          <w:szCs w:val="20"/>
          <w:lang w:val="es-MX"/>
        </w:rPr>
        <w:t>, Estado de Pará</w:t>
      </w:r>
      <w:r w:rsidRPr="00470C7C">
        <w:rPr>
          <w:rFonts w:eastAsia="Cambria" w:cs="Times New Roman"/>
          <w:bCs/>
          <w:szCs w:val="20"/>
        </w:rPr>
        <w:t>, de conformidad con</w:t>
      </w:r>
      <w:r w:rsidR="00EA6274" w:rsidRPr="00470C7C">
        <w:rPr>
          <w:rFonts w:eastAsia="Cambria" w:cs="Times New Roman"/>
          <w:bCs/>
          <w:szCs w:val="20"/>
        </w:rPr>
        <w:t xml:space="preserve"> lo establecido en los párrafos 44</w:t>
      </w:r>
      <w:r w:rsidR="007A3720" w:rsidRPr="00470C7C">
        <w:rPr>
          <w:rFonts w:eastAsia="Cambria" w:cs="Times New Roman"/>
          <w:bCs/>
          <w:szCs w:val="20"/>
        </w:rPr>
        <w:t>4</w:t>
      </w:r>
      <w:r w:rsidR="00EA6274" w:rsidRPr="00470C7C">
        <w:rPr>
          <w:rFonts w:eastAsia="Cambria" w:cs="Times New Roman"/>
          <w:bCs/>
          <w:szCs w:val="20"/>
        </w:rPr>
        <w:t xml:space="preserve"> a 44</w:t>
      </w:r>
      <w:r w:rsidR="007A3720" w:rsidRPr="00470C7C">
        <w:rPr>
          <w:rFonts w:eastAsia="Cambria" w:cs="Times New Roman"/>
          <w:bCs/>
          <w:szCs w:val="20"/>
        </w:rPr>
        <w:t>6</w:t>
      </w:r>
      <w:r w:rsidRPr="00470C7C">
        <w:rPr>
          <w:rFonts w:eastAsia="Cambria" w:cs="Times New Roman"/>
          <w:bCs/>
          <w:szCs w:val="20"/>
        </w:rPr>
        <w:t xml:space="preserve"> de la presente Sentencia.</w:t>
      </w:r>
    </w:p>
    <w:p w14:paraId="54D30277" w14:textId="77777777" w:rsidR="00702C18" w:rsidRPr="00470C7C" w:rsidRDefault="00702C18" w:rsidP="00702C18">
      <w:pPr>
        <w:tabs>
          <w:tab w:val="clear" w:pos="4419"/>
          <w:tab w:val="clear" w:pos="8838"/>
        </w:tabs>
        <w:ind w:left="720" w:right="-90"/>
        <w:contextualSpacing/>
        <w:rPr>
          <w:rFonts w:eastAsia="MS Mincho" w:cs="Times New Roman"/>
          <w:bCs/>
          <w:szCs w:val="20"/>
          <w:lang w:bidi="en-US"/>
        </w:rPr>
      </w:pPr>
    </w:p>
    <w:p w14:paraId="3E1262DA"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Times New Roman"/>
          <w:bCs/>
          <w:szCs w:val="20"/>
        </w:rPr>
        <w:t>El Estado debe realizar en el plazo de seis meses, a partir de la notificación de la presente Sentencia, las publica</w:t>
      </w:r>
      <w:r w:rsidR="00C57A19" w:rsidRPr="00470C7C">
        <w:rPr>
          <w:rFonts w:eastAsia="Cambria" w:cs="Times New Roman"/>
          <w:bCs/>
          <w:szCs w:val="20"/>
        </w:rPr>
        <w:t xml:space="preserve">ciones indicadas en el párrafo </w:t>
      </w:r>
      <w:r w:rsidR="00EA6274" w:rsidRPr="00470C7C">
        <w:rPr>
          <w:rFonts w:eastAsia="Cambria" w:cs="Times New Roman"/>
          <w:bCs/>
          <w:szCs w:val="20"/>
        </w:rPr>
        <w:t>45</w:t>
      </w:r>
      <w:r w:rsidR="00C963FF" w:rsidRPr="00470C7C">
        <w:rPr>
          <w:rFonts w:eastAsia="Cambria" w:cs="Times New Roman"/>
          <w:bCs/>
          <w:szCs w:val="20"/>
        </w:rPr>
        <w:t>0</w:t>
      </w:r>
      <w:r w:rsidRPr="00470C7C">
        <w:rPr>
          <w:rFonts w:eastAsia="Cambria" w:cs="Times New Roman"/>
          <w:bCs/>
          <w:szCs w:val="20"/>
        </w:rPr>
        <w:t xml:space="preserve"> de la Sentencia, en los términos dispuestos en la misma.</w:t>
      </w:r>
    </w:p>
    <w:p w14:paraId="62672AF2" w14:textId="77777777" w:rsidR="00702C18" w:rsidRPr="00470C7C" w:rsidRDefault="00702C18" w:rsidP="00702C18">
      <w:pPr>
        <w:tabs>
          <w:tab w:val="clear" w:pos="4419"/>
          <w:tab w:val="clear" w:pos="8838"/>
        </w:tabs>
        <w:ind w:right="-90"/>
        <w:contextualSpacing/>
        <w:jc w:val="both"/>
        <w:rPr>
          <w:rFonts w:eastAsia="MS Mincho" w:cs="Times New Roman"/>
          <w:bCs/>
          <w:szCs w:val="20"/>
          <w:lang w:bidi="en-US"/>
        </w:rPr>
      </w:pPr>
    </w:p>
    <w:p w14:paraId="2AE77961"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Verdana"/>
          <w:szCs w:val="20"/>
        </w:rPr>
        <w:t xml:space="preserve">El Estado debe, </w:t>
      </w:r>
      <w:r w:rsidRPr="00470C7C">
        <w:rPr>
          <w:rFonts w:eastAsia="Cambria" w:cs="Arial"/>
          <w:iCs/>
          <w:szCs w:val="20"/>
          <w:lang w:val="es-ES_tradnl"/>
        </w:rPr>
        <w:t xml:space="preserve">dentro de un plazo razonable a partir de la notificación de la presente Sentencia, adoptar las medidas necesarias para garantizar que la prescripción no sea aplicada al delito de derecho internacional de esclavitud y sus formas análogas, en el sentido dispuesto en los párrafos </w:t>
      </w:r>
      <w:r w:rsidR="007A3164" w:rsidRPr="00470C7C">
        <w:rPr>
          <w:rFonts w:eastAsia="Cambria" w:cs="Arial"/>
          <w:iCs/>
          <w:szCs w:val="20"/>
          <w:lang w:val="es-ES_tradnl"/>
        </w:rPr>
        <w:t>45</w:t>
      </w:r>
      <w:r w:rsidR="00B839C3" w:rsidRPr="00470C7C">
        <w:rPr>
          <w:rFonts w:eastAsia="Cambria" w:cs="Arial"/>
          <w:iCs/>
          <w:szCs w:val="20"/>
          <w:lang w:val="es-ES_tradnl"/>
        </w:rPr>
        <w:t>4 y</w:t>
      </w:r>
      <w:r w:rsidRPr="00470C7C">
        <w:rPr>
          <w:rFonts w:eastAsia="Cambria" w:cs="Arial"/>
          <w:iCs/>
          <w:szCs w:val="20"/>
          <w:lang w:val="es-ES_tradnl"/>
        </w:rPr>
        <w:t xml:space="preserve"> </w:t>
      </w:r>
      <w:r w:rsidR="007A3164" w:rsidRPr="00470C7C">
        <w:rPr>
          <w:rFonts w:eastAsia="Cambria" w:cs="Arial"/>
          <w:iCs/>
          <w:szCs w:val="20"/>
          <w:lang w:val="es-ES_tradnl"/>
        </w:rPr>
        <w:t>45</w:t>
      </w:r>
      <w:r w:rsidR="007A3720" w:rsidRPr="00470C7C">
        <w:rPr>
          <w:rFonts w:eastAsia="Cambria" w:cs="Arial"/>
          <w:iCs/>
          <w:szCs w:val="20"/>
          <w:lang w:val="es-ES_tradnl"/>
        </w:rPr>
        <w:t>5</w:t>
      </w:r>
      <w:r w:rsidRPr="00470C7C">
        <w:rPr>
          <w:rFonts w:eastAsia="Cambria" w:cs="Arial"/>
          <w:iCs/>
          <w:szCs w:val="20"/>
          <w:lang w:val="es-ES_tradnl"/>
        </w:rPr>
        <w:t xml:space="preserve"> de la presente Sentencia</w:t>
      </w:r>
      <w:r w:rsidRPr="00470C7C">
        <w:rPr>
          <w:rFonts w:eastAsia="Cambria" w:cs="Times New Roman"/>
          <w:bCs/>
          <w:szCs w:val="20"/>
        </w:rPr>
        <w:t>.</w:t>
      </w:r>
    </w:p>
    <w:p w14:paraId="0D28548F" w14:textId="77777777" w:rsidR="00702C18" w:rsidRPr="00470C7C" w:rsidRDefault="00702C18" w:rsidP="00702C18">
      <w:pPr>
        <w:tabs>
          <w:tab w:val="clear" w:pos="4419"/>
          <w:tab w:val="clear" w:pos="8838"/>
        </w:tabs>
        <w:ind w:right="-90"/>
        <w:contextualSpacing/>
        <w:jc w:val="both"/>
        <w:rPr>
          <w:rFonts w:eastAsia="MS Mincho" w:cs="Times New Roman"/>
          <w:bCs/>
          <w:szCs w:val="20"/>
          <w:lang w:bidi="en-US"/>
        </w:rPr>
      </w:pPr>
    </w:p>
    <w:p w14:paraId="5F40AF04"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Times New Roman"/>
          <w:bCs/>
          <w:szCs w:val="20"/>
        </w:rPr>
        <w:t xml:space="preserve">El </w:t>
      </w:r>
      <w:r w:rsidRPr="00470C7C">
        <w:rPr>
          <w:rFonts w:eastAsia="Cambria" w:cs="Times New Roman"/>
          <w:szCs w:val="20"/>
        </w:rPr>
        <w:t>Estado</w:t>
      </w:r>
      <w:r w:rsidRPr="00470C7C">
        <w:rPr>
          <w:rFonts w:eastAsia="Cambria" w:cs="Times New Roman"/>
          <w:bCs/>
          <w:szCs w:val="20"/>
        </w:rPr>
        <w:t xml:space="preserve"> debe pagar las cant</w:t>
      </w:r>
      <w:r w:rsidR="007A3164" w:rsidRPr="00470C7C">
        <w:rPr>
          <w:rFonts w:eastAsia="Cambria" w:cs="Times New Roman"/>
          <w:bCs/>
          <w:szCs w:val="20"/>
        </w:rPr>
        <w:t>id</w:t>
      </w:r>
      <w:r w:rsidR="00C1211D" w:rsidRPr="00470C7C">
        <w:rPr>
          <w:rFonts w:eastAsia="Cambria" w:cs="Times New Roman"/>
          <w:bCs/>
          <w:szCs w:val="20"/>
        </w:rPr>
        <w:t>ades fijadas en el párrafo</w:t>
      </w:r>
      <w:r w:rsidR="00D7650B" w:rsidRPr="00470C7C">
        <w:rPr>
          <w:rFonts w:eastAsia="Cambria" w:cs="Times New Roman"/>
          <w:bCs/>
          <w:szCs w:val="20"/>
        </w:rPr>
        <w:t xml:space="preserve"> 487 </w:t>
      </w:r>
      <w:r w:rsidRPr="00470C7C">
        <w:rPr>
          <w:rFonts w:eastAsia="Cambria" w:cs="Times New Roman"/>
          <w:bCs/>
          <w:szCs w:val="20"/>
        </w:rPr>
        <w:t>de la presente Sentencia, por concepto de indemnizaciones por daño inmaterial, y por el reintegro de costas y gastos, en los términos de</w:t>
      </w:r>
      <w:r w:rsidR="00C1211D" w:rsidRPr="00470C7C">
        <w:rPr>
          <w:rFonts w:eastAsia="Cambria" w:cs="Times New Roman"/>
          <w:bCs/>
          <w:szCs w:val="20"/>
        </w:rPr>
        <w:t>l</w:t>
      </w:r>
      <w:r w:rsidRPr="00470C7C">
        <w:rPr>
          <w:rFonts w:eastAsia="Cambria" w:cs="Times New Roman"/>
          <w:bCs/>
          <w:szCs w:val="20"/>
        </w:rPr>
        <w:t xml:space="preserve"> </w:t>
      </w:r>
      <w:r w:rsidR="00C1211D" w:rsidRPr="00470C7C">
        <w:rPr>
          <w:rFonts w:eastAsia="Cambria" w:cs="Times New Roman"/>
          <w:bCs/>
          <w:szCs w:val="20"/>
        </w:rPr>
        <w:t>párrafo</w:t>
      </w:r>
      <w:r w:rsidRPr="00470C7C">
        <w:rPr>
          <w:rFonts w:eastAsia="Cambria" w:cs="Times New Roman"/>
          <w:bCs/>
          <w:szCs w:val="20"/>
        </w:rPr>
        <w:t xml:space="preserve"> </w:t>
      </w:r>
      <w:r w:rsidR="007A3164" w:rsidRPr="00470C7C">
        <w:rPr>
          <w:rFonts w:eastAsia="Cambria" w:cs="Times New Roman"/>
          <w:bCs/>
          <w:szCs w:val="20"/>
        </w:rPr>
        <w:t>49</w:t>
      </w:r>
      <w:r w:rsidR="00C1211D" w:rsidRPr="00470C7C">
        <w:rPr>
          <w:rFonts w:eastAsia="Cambria" w:cs="Times New Roman"/>
          <w:bCs/>
          <w:szCs w:val="20"/>
        </w:rPr>
        <w:t>5</w:t>
      </w:r>
      <w:r w:rsidRPr="00470C7C">
        <w:rPr>
          <w:rFonts w:eastAsia="Cambria" w:cs="Times New Roman"/>
          <w:bCs/>
          <w:szCs w:val="20"/>
        </w:rPr>
        <w:t xml:space="preserve"> de la presente Sentencia.</w:t>
      </w:r>
    </w:p>
    <w:p w14:paraId="4F8707B7" w14:textId="77777777" w:rsidR="00702C18" w:rsidRPr="00470C7C" w:rsidRDefault="00702C18" w:rsidP="00702C18">
      <w:pPr>
        <w:tabs>
          <w:tab w:val="clear" w:pos="4419"/>
          <w:tab w:val="clear" w:pos="8838"/>
        </w:tabs>
        <w:ind w:right="-90"/>
        <w:contextualSpacing/>
        <w:jc w:val="both"/>
        <w:rPr>
          <w:rFonts w:eastAsia="MS Mincho" w:cs="Times New Roman"/>
          <w:bCs/>
          <w:szCs w:val="20"/>
          <w:lang w:bidi="en-US"/>
        </w:rPr>
      </w:pPr>
    </w:p>
    <w:p w14:paraId="0A3FDA77"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Times New Roman"/>
          <w:bCs/>
          <w:szCs w:val="20"/>
        </w:rPr>
        <w:t xml:space="preserve">El Estado debe, dentro del plazo de un año contado a partir de la notificación de esta Sentencia, rendir al Tribunal un informe sobre las medidas adoptadas para cumplir con la misma, sin perjuicio de lo establecido en el párrafo </w:t>
      </w:r>
      <w:r w:rsidR="00C861A8" w:rsidRPr="00470C7C">
        <w:rPr>
          <w:rFonts w:eastAsia="Cambria" w:cs="Times New Roman"/>
          <w:bCs/>
          <w:szCs w:val="20"/>
        </w:rPr>
        <w:t>45</w:t>
      </w:r>
      <w:r w:rsidR="007A3720" w:rsidRPr="00470C7C">
        <w:rPr>
          <w:rFonts w:eastAsia="Cambria" w:cs="Times New Roman"/>
          <w:bCs/>
          <w:szCs w:val="20"/>
        </w:rPr>
        <w:t>1</w:t>
      </w:r>
      <w:r w:rsidRPr="00470C7C">
        <w:rPr>
          <w:rFonts w:eastAsia="Cambria" w:cs="Times New Roman"/>
          <w:bCs/>
          <w:szCs w:val="20"/>
        </w:rPr>
        <w:t xml:space="preserve"> de la presente Sentencia.</w:t>
      </w:r>
    </w:p>
    <w:p w14:paraId="4EACB8AF" w14:textId="77777777" w:rsidR="00702C18" w:rsidRPr="00470C7C" w:rsidRDefault="00702C18" w:rsidP="00702C18">
      <w:pPr>
        <w:tabs>
          <w:tab w:val="clear" w:pos="4419"/>
          <w:tab w:val="clear" w:pos="8838"/>
        </w:tabs>
        <w:ind w:right="-90"/>
        <w:contextualSpacing/>
        <w:jc w:val="both"/>
        <w:rPr>
          <w:rFonts w:eastAsia="MS Mincho" w:cs="Times New Roman"/>
          <w:bCs/>
          <w:szCs w:val="20"/>
          <w:lang w:bidi="en-US"/>
        </w:rPr>
      </w:pPr>
    </w:p>
    <w:p w14:paraId="5335E6EB" w14:textId="77777777" w:rsidR="00702C18" w:rsidRPr="00470C7C" w:rsidRDefault="00702C18" w:rsidP="008B0BCC">
      <w:pPr>
        <w:numPr>
          <w:ilvl w:val="0"/>
          <w:numId w:val="14"/>
        </w:numPr>
        <w:tabs>
          <w:tab w:val="clear" w:pos="4419"/>
          <w:tab w:val="clear" w:pos="8838"/>
          <w:tab w:val="left" w:pos="720"/>
        </w:tabs>
        <w:ind w:right="-90"/>
        <w:contextualSpacing/>
        <w:jc w:val="both"/>
        <w:rPr>
          <w:rFonts w:eastAsia="Cambria" w:cs="Times New Roman"/>
          <w:bCs/>
          <w:szCs w:val="20"/>
        </w:rPr>
      </w:pPr>
      <w:r w:rsidRPr="00470C7C">
        <w:rPr>
          <w:rFonts w:eastAsia="Cambria" w:cs="Times New Roman"/>
          <w:bCs/>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55E89AF0" w14:textId="77777777" w:rsidR="00702C18" w:rsidRPr="00470C7C" w:rsidRDefault="00702C18" w:rsidP="00702C18">
      <w:pPr>
        <w:tabs>
          <w:tab w:val="left" w:pos="720"/>
        </w:tabs>
        <w:ind w:right="-90"/>
        <w:contextualSpacing/>
        <w:rPr>
          <w:rFonts w:eastAsia="Cambria" w:cs="Times New Roman"/>
          <w:bCs/>
          <w:szCs w:val="20"/>
        </w:rPr>
      </w:pPr>
    </w:p>
    <w:p w14:paraId="578CD3A9" w14:textId="77777777" w:rsidR="00702C18" w:rsidRPr="00470C7C" w:rsidRDefault="00702C18" w:rsidP="00702C18">
      <w:pPr>
        <w:jc w:val="both"/>
        <w:rPr>
          <w:rFonts w:eastAsia="Cambria" w:cs="Times New Roman"/>
        </w:rPr>
      </w:pPr>
      <w:r w:rsidRPr="00470C7C">
        <w:rPr>
          <w:rFonts w:eastAsia="Cambria" w:cs="Times New Roman"/>
        </w:rPr>
        <w:t>Los Jueces Eduardo Ferre</w:t>
      </w:r>
      <w:r w:rsidR="00584AC9" w:rsidRPr="00470C7C">
        <w:rPr>
          <w:rFonts w:eastAsia="Cambria" w:cs="Times New Roman"/>
        </w:rPr>
        <w:t>r Mac-</w:t>
      </w:r>
      <w:proofErr w:type="spellStart"/>
      <w:r w:rsidR="00584AC9" w:rsidRPr="00470C7C">
        <w:rPr>
          <w:rFonts w:eastAsia="Cambria" w:cs="Times New Roman"/>
        </w:rPr>
        <w:t>Gregor</w:t>
      </w:r>
      <w:proofErr w:type="spellEnd"/>
      <w:r w:rsidR="00584AC9" w:rsidRPr="00470C7C">
        <w:rPr>
          <w:rFonts w:eastAsia="Cambria" w:cs="Times New Roman"/>
        </w:rPr>
        <w:t xml:space="preserve"> </w:t>
      </w:r>
      <w:proofErr w:type="spellStart"/>
      <w:r w:rsidR="00584AC9" w:rsidRPr="00470C7C">
        <w:rPr>
          <w:rFonts w:eastAsia="Cambria" w:cs="Times New Roman"/>
        </w:rPr>
        <w:t>Poisot</w:t>
      </w:r>
      <w:proofErr w:type="spellEnd"/>
      <w:r w:rsidR="00584AC9" w:rsidRPr="00470C7C">
        <w:rPr>
          <w:rFonts w:eastAsia="Cambria" w:cs="Times New Roman"/>
        </w:rPr>
        <w:t xml:space="preserve"> y Eduardo Vi</w:t>
      </w:r>
      <w:r w:rsidRPr="00470C7C">
        <w:rPr>
          <w:rFonts w:eastAsia="Cambria" w:cs="Times New Roman"/>
        </w:rPr>
        <w:t xml:space="preserve">o Grossi dieron a conocer a la Corte sus votos individuales concurrentes. El Juez Humberto </w:t>
      </w:r>
      <w:proofErr w:type="spellStart"/>
      <w:r w:rsidR="00D60654" w:rsidRPr="00470C7C">
        <w:rPr>
          <w:rFonts w:eastAsia="Cambria" w:cs="Times New Roman"/>
        </w:rPr>
        <w:t>Antônio</w:t>
      </w:r>
      <w:proofErr w:type="spellEnd"/>
      <w:r w:rsidR="00D60654" w:rsidRPr="00470C7C">
        <w:rPr>
          <w:rFonts w:eastAsia="Cambria" w:cs="Times New Roman"/>
        </w:rPr>
        <w:t xml:space="preserve"> </w:t>
      </w:r>
      <w:r w:rsidRPr="00470C7C">
        <w:rPr>
          <w:rFonts w:eastAsia="Cambria" w:cs="Times New Roman"/>
        </w:rPr>
        <w:t>Sierra Porto dio a conocer a la Corte su voto individual parcialmente disidente.</w:t>
      </w:r>
    </w:p>
    <w:p w14:paraId="50A0D881" w14:textId="77777777" w:rsidR="00702C18" w:rsidRPr="00470C7C" w:rsidRDefault="00702C18" w:rsidP="00702C18">
      <w:pPr>
        <w:tabs>
          <w:tab w:val="left" w:pos="720"/>
        </w:tabs>
        <w:ind w:right="-90"/>
        <w:contextualSpacing/>
        <w:rPr>
          <w:rFonts w:eastAsia="Cambria" w:cs="Times New Roman"/>
          <w:bCs/>
          <w:szCs w:val="20"/>
        </w:rPr>
      </w:pPr>
    </w:p>
    <w:p w14:paraId="459EAC19" w14:textId="77777777" w:rsidR="00702C18" w:rsidRPr="00470C7C" w:rsidRDefault="00702C18" w:rsidP="00702C18">
      <w:pPr>
        <w:tabs>
          <w:tab w:val="left" w:pos="720"/>
        </w:tabs>
        <w:ind w:right="-90"/>
        <w:contextualSpacing/>
        <w:jc w:val="both"/>
        <w:rPr>
          <w:rFonts w:eastAsia="Cambria" w:cs="Times New Roman"/>
          <w:bCs/>
          <w:szCs w:val="20"/>
        </w:rPr>
      </w:pPr>
      <w:r w:rsidRPr="00470C7C">
        <w:rPr>
          <w:rFonts w:eastAsia="Cambria" w:cs="Times New Roman"/>
          <w:bCs/>
          <w:szCs w:val="20"/>
        </w:rPr>
        <w:t>Redactada en español y en portugués, haciendo fe el texto en español, en San José, Costa Rica, el día 20 de octubre de 2016.</w:t>
      </w:r>
    </w:p>
    <w:p w14:paraId="733D0FC0" w14:textId="77777777" w:rsidR="00E12F06" w:rsidRPr="00470C7C" w:rsidRDefault="00E12F06" w:rsidP="00702C18">
      <w:pPr>
        <w:tabs>
          <w:tab w:val="left" w:pos="720"/>
        </w:tabs>
        <w:ind w:right="-90"/>
        <w:contextualSpacing/>
        <w:jc w:val="both"/>
        <w:rPr>
          <w:rFonts w:eastAsia="Cambria" w:cs="Times New Roman"/>
          <w:bCs/>
          <w:szCs w:val="20"/>
        </w:rPr>
      </w:pPr>
    </w:p>
    <w:p w14:paraId="08921C55" w14:textId="77777777" w:rsidR="00E12F06" w:rsidRPr="00470C7C" w:rsidRDefault="00E12F06" w:rsidP="00702C18">
      <w:pPr>
        <w:tabs>
          <w:tab w:val="left" w:pos="720"/>
        </w:tabs>
        <w:ind w:right="-90"/>
        <w:contextualSpacing/>
        <w:jc w:val="both"/>
        <w:rPr>
          <w:rFonts w:eastAsia="Cambria" w:cs="Times New Roman"/>
          <w:bCs/>
          <w:szCs w:val="20"/>
        </w:rPr>
      </w:pPr>
    </w:p>
    <w:p w14:paraId="6855ABCA" w14:textId="77777777" w:rsidR="00E12F06" w:rsidRPr="00470C7C" w:rsidRDefault="00E12F06" w:rsidP="00702C18">
      <w:pPr>
        <w:tabs>
          <w:tab w:val="left" w:pos="720"/>
        </w:tabs>
        <w:ind w:right="-90"/>
        <w:contextualSpacing/>
        <w:jc w:val="both"/>
        <w:rPr>
          <w:rFonts w:eastAsia="Cambria" w:cs="Times New Roman"/>
          <w:bCs/>
          <w:szCs w:val="20"/>
        </w:rPr>
      </w:pPr>
    </w:p>
    <w:p w14:paraId="39AC4617" w14:textId="77777777" w:rsidR="00E12F06" w:rsidRPr="00470C7C" w:rsidRDefault="00E12F06" w:rsidP="00702C18">
      <w:pPr>
        <w:tabs>
          <w:tab w:val="left" w:pos="720"/>
        </w:tabs>
        <w:ind w:right="-90"/>
        <w:contextualSpacing/>
        <w:jc w:val="both"/>
        <w:rPr>
          <w:rFonts w:eastAsia="Cambria" w:cs="Times New Roman"/>
          <w:bCs/>
          <w:szCs w:val="20"/>
        </w:rPr>
      </w:pPr>
    </w:p>
    <w:p w14:paraId="2109B4CD" w14:textId="77777777" w:rsidR="00E12F06" w:rsidRPr="00470C7C" w:rsidRDefault="00E12F06" w:rsidP="00702C18">
      <w:pPr>
        <w:tabs>
          <w:tab w:val="left" w:pos="720"/>
        </w:tabs>
        <w:ind w:right="-90"/>
        <w:contextualSpacing/>
        <w:jc w:val="both"/>
        <w:rPr>
          <w:rFonts w:eastAsia="Cambria" w:cs="Times New Roman"/>
          <w:bCs/>
          <w:szCs w:val="20"/>
        </w:rPr>
      </w:pPr>
    </w:p>
    <w:p w14:paraId="0C69EB27" w14:textId="77777777" w:rsidR="00E12F06" w:rsidRPr="00470C7C" w:rsidRDefault="00E12F06" w:rsidP="00702C18">
      <w:pPr>
        <w:tabs>
          <w:tab w:val="left" w:pos="720"/>
        </w:tabs>
        <w:ind w:right="-90"/>
        <w:contextualSpacing/>
        <w:jc w:val="both"/>
        <w:rPr>
          <w:rFonts w:eastAsia="Cambria" w:cs="Times New Roman"/>
          <w:bCs/>
          <w:szCs w:val="20"/>
        </w:rPr>
      </w:pPr>
    </w:p>
    <w:p w14:paraId="566EE001" w14:textId="77777777" w:rsidR="00E12F06" w:rsidRPr="00470C7C" w:rsidRDefault="00E12F06" w:rsidP="00702C18">
      <w:pPr>
        <w:tabs>
          <w:tab w:val="left" w:pos="720"/>
        </w:tabs>
        <w:ind w:right="-90"/>
        <w:contextualSpacing/>
        <w:jc w:val="both"/>
        <w:rPr>
          <w:rFonts w:eastAsia="Cambria" w:cs="Times New Roman"/>
          <w:bCs/>
          <w:szCs w:val="20"/>
        </w:rPr>
      </w:pPr>
    </w:p>
    <w:p w14:paraId="76945FF9" w14:textId="77777777" w:rsidR="00E12F06" w:rsidRPr="00470C7C" w:rsidRDefault="00E12F06" w:rsidP="00702C18">
      <w:pPr>
        <w:tabs>
          <w:tab w:val="left" w:pos="720"/>
        </w:tabs>
        <w:ind w:right="-90"/>
        <w:contextualSpacing/>
        <w:jc w:val="both"/>
        <w:rPr>
          <w:rFonts w:eastAsia="Cambria" w:cs="Times New Roman"/>
          <w:bCs/>
          <w:szCs w:val="20"/>
        </w:rPr>
      </w:pPr>
    </w:p>
    <w:p w14:paraId="3532DCF4" w14:textId="77777777" w:rsidR="00E12F06" w:rsidRPr="00470C7C" w:rsidRDefault="00E12F06" w:rsidP="00702C18">
      <w:pPr>
        <w:tabs>
          <w:tab w:val="left" w:pos="720"/>
        </w:tabs>
        <w:ind w:right="-90"/>
        <w:contextualSpacing/>
        <w:jc w:val="both"/>
        <w:rPr>
          <w:rFonts w:eastAsia="Cambria" w:cs="Times New Roman"/>
          <w:bCs/>
          <w:szCs w:val="20"/>
        </w:rPr>
      </w:pPr>
    </w:p>
    <w:p w14:paraId="7B533C1A" w14:textId="77777777" w:rsidR="00E12F06" w:rsidRPr="00470C7C" w:rsidRDefault="00E12F06" w:rsidP="00702C18">
      <w:pPr>
        <w:tabs>
          <w:tab w:val="left" w:pos="720"/>
        </w:tabs>
        <w:ind w:right="-90"/>
        <w:contextualSpacing/>
        <w:jc w:val="both"/>
        <w:rPr>
          <w:rFonts w:eastAsia="Cambria" w:cs="Times New Roman"/>
          <w:bCs/>
          <w:szCs w:val="20"/>
        </w:rPr>
      </w:pPr>
    </w:p>
    <w:p w14:paraId="4335ABE1" w14:textId="77777777" w:rsidR="00E12F06" w:rsidRPr="00470C7C" w:rsidRDefault="00E12F06" w:rsidP="00702C18">
      <w:pPr>
        <w:tabs>
          <w:tab w:val="left" w:pos="720"/>
        </w:tabs>
        <w:ind w:right="-90"/>
        <w:contextualSpacing/>
        <w:jc w:val="both"/>
        <w:rPr>
          <w:rFonts w:eastAsia="Cambria" w:cs="Times New Roman"/>
          <w:bCs/>
          <w:szCs w:val="20"/>
        </w:rPr>
      </w:pPr>
    </w:p>
    <w:p w14:paraId="7D0FA915" w14:textId="77777777" w:rsidR="00E12F06" w:rsidRPr="00470C7C" w:rsidRDefault="00E12F06" w:rsidP="00702C18">
      <w:pPr>
        <w:tabs>
          <w:tab w:val="left" w:pos="720"/>
        </w:tabs>
        <w:ind w:right="-90"/>
        <w:contextualSpacing/>
        <w:jc w:val="both"/>
        <w:rPr>
          <w:rFonts w:eastAsia="Cambria" w:cs="Times New Roman"/>
          <w:bCs/>
          <w:szCs w:val="20"/>
        </w:rPr>
      </w:pPr>
    </w:p>
    <w:p w14:paraId="5CD67C5E" w14:textId="77777777" w:rsidR="00E12F06" w:rsidRPr="00470C7C" w:rsidRDefault="00E12F06" w:rsidP="00E12F06">
      <w:pPr>
        <w:jc w:val="both"/>
        <w:rPr>
          <w:lang w:val="es-ES"/>
        </w:rPr>
      </w:pPr>
      <w:r w:rsidRPr="00470C7C">
        <w:t xml:space="preserve">Sentencia de la Corte Interamericana de Derechos Humanos. </w:t>
      </w:r>
      <w:r w:rsidRPr="00470C7C">
        <w:rPr>
          <w:lang w:val="es-ES"/>
        </w:rPr>
        <w:t>Caso Trabajadores de la Hacienda Brasil Verde Vs. Brasil. Excepciones Preliminares, Fondo, Reparaciones y Costas.</w:t>
      </w:r>
    </w:p>
    <w:p w14:paraId="2B6E1829" w14:textId="77777777" w:rsidR="00E12F06" w:rsidRPr="00470C7C" w:rsidRDefault="00E12F06" w:rsidP="00E12F06">
      <w:pPr>
        <w:jc w:val="center"/>
        <w:rPr>
          <w:lang w:val="es-ES"/>
        </w:rPr>
      </w:pPr>
    </w:p>
    <w:p w14:paraId="39A1B9F5" w14:textId="77777777" w:rsidR="00E12F06" w:rsidRPr="00470C7C" w:rsidRDefault="00E12F06" w:rsidP="00E12F06">
      <w:pPr>
        <w:rPr>
          <w:strike/>
        </w:rPr>
      </w:pPr>
    </w:p>
    <w:p w14:paraId="0C67B669" w14:textId="77777777" w:rsidR="00E12F06" w:rsidRPr="00470C7C" w:rsidRDefault="00E12F06" w:rsidP="00E12F06"/>
    <w:p w14:paraId="01CD9BC9" w14:textId="77777777" w:rsidR="00E12F06" w:rsidRPr="00470C7C" w:rsidRDefault="00E12F06" w:rsidP="00E12F06"/>
    <w:p w14:paraId="47DE25FE" w14:textId="77777777" w:rsidR="00E12F06" w:rsidRPr="00470C7C" w:rsidRDefault="00E12F06" w:rsidP="00E12F06">
      <w:pPr>
        <w:jc w:val="center"/>
        <w:rPr>
          <w:lang w:val="es-ES"/>
        </w:rPr>
      </w:pPr>
      <w:r w:rsidRPr="00470C7C">
        <w:rPr>
          <w:lang w:val="es-ES"/>
        </w:rPr>
        <w:t>Eduardo Ferrer Mac-</w:t>
      </w:r>
      <w:proofErr w:type="spellStart"/>
      <w:r w:rsidRPr="00470C7C">
        <w:rPr>
          <w:lang w:val="es-ES"/>
        </w:rPr>
        <w:t>Gregor</w:t>
      </w:r>
      <w:proofErr w:type="spellEnd"/>
      <w:r w:rsidRPr="00470C7C">
        <w:rPr>
          <w:lang w:val="es-ES"/>
        </w:rPr>
        <w:t xml:space="preserve"> </w:t>
      </w:r>
      <w:proofErr w:type="spellStart"/>
      <w:r w:rsidRPr="00470C7C">
        <w:rPr>
          <w:lang w:val="es-ES"/>
        </w:rPr>
        <w:t>Poisot</w:t>
      </w:r>
      <w:proofErr w:type="spellEnd"/>
    </w:p>
    <w:p w14:paraId="30644F0D" w14:textId="77777777" w:rsidR="00E12F06" w:rsidRPr="00470C7C" w:rsidRDefault="00E12F06" w:rsidP="00E12F06">
      <w:pPr>
        <w:jc w:val="center"/>
      </w:pPr>
      <w:r w:rsidRPr="00470C7C">
        <w:rPr>
          <w:lang w:val="es-ES"/>
        </w:rPr>
        <w:t>Presidente en ejercicio</w:t>
      </w:r>
    </w:p>
    <w:p w14:paraId="13398509" w14:textId="77777777" w:rsidR="00E12F06" w:rsidRPr="00470C7C" w:rsidRDefault="00E12F06" w:rsidP="00E12F06"/>
    <w:p w14:paraId="20B15F8C" w14:textId="77777777" w:rsidR="00E12F06" w:rsidRPr="00470C7C" w:rsidRDefault="00E12F06" w:rsidP="00E12F06"/>
    <w:p w14:paraId="4FAB36F4" w14:textId="77777777" w:rsidR="00E12F06" w:rsidRPr="00470C7C" w:rsidRDefault="00E12F06" w:rsidP="00E12F06"/>
    <w:p w14:paraId="76681836" w14:textId="77777777" w:rsidR="00E12F06" w:rsidRPr="00470C7C" w:rsidRDefault="00E12F06" w:rsidP="00E12F06"/>
    <w:p w14:paraId="1275CD33" w14:textId="77777777" w:rsidR="00E12F06" w:rsidRPr="00470C7C" w:rsidRDefault="00E12F06" w:rsidP="00E12F06"/>
    <w:p w14:paraId="4C4DE17D" w14:textId="77777777" w:rsidR="00E12F06" w:rsidRPr="00470C7C" w:rsidRDefault="00E12F06" w:rsidP="00E12F06">
      <w:pPr>
        <w:rPr>
          <w:lang w:val="es-ES"/>
        </w:rPr>
      </w:pPr>
      <w:r w:rsidRPr="00470C7C">
        <w:t xml:space="preserve"> Eduardo Vio Grossi</w:t>
      </w:r>
      <w:r w:rsidRPr="00470C7C">
        <w:tab/>
      </w:r>
      <w:r w:rsidRPr="00470C7C">
        <w:tab/>
      </w:r>
      <w:r w:rsidRPr="00470C7C">
        <w:rPr>
          <w:lang w:val="es-ES"/>
        </w:rPr>
        <w:t>Humberto Antonio Sierra Porto</w:t>
      </w:r>
    </w:p>
    <w:p w14:paraId="62D04895" w14:textId="77777777" w:rsidR="00E12F06" w:rsidRPr="00470C7C" w:rsidRDefault="00E12F06" w:rsidP="00E12F06">
      <w:pPr>
        <w:rPr>
          <w:lang w:val="es-ES"/>
        </w:rPr>
      </w:pPr>
      <w:r w:rsidRPr="00470C7C">
        <w:rPr>
          <w:lang w:val="es-ES"/>
        </w:rPr>
        <w:tab/>
      </w:r>
    </w:p>
    <w:p w14:paraId="6B7D639A" w14:textId="77777777" w:rsidR="00E12F06" w:rsidRPr="00470C7C" w:rsidRDefault="00E12F06" w:rsidP="00E12F06">
      <w:pPr>
        <w:rPr>
          <w:lang w:val="es-ES"/>
        </w:rPr>
      </w:pPr>
    </w:p>
    <w:p w14:paraId="4463053A" w14:textId="77777777" w:rsidR="00E12F06" w:rsidRPr="00470C7C" w:rsidRDefault="00E12F06" w:rsidP="00E12F06">
      <w:pPr>
        <w:rPr>
          <w:lang w:val="es-ES"/>
        </w:rPr>
      </w:pPr>
    </w:p>
    <w:p w14:paraId="25CC6CB2" w14:textId="77777777" w:rsidR="00E12F06" w:rsidRPr="00470C7C" w:rsidRDefault="00E12F06" w:rsidP="00E12F06">
      <w:pPr>
        <w:rPr>
          <w:lang w:val="es-ES"/>
        </w:rPr>
      </w:pPr>
    </w:p>
    <w:p w14:paraId="2E72AE59" w14:textId="77777777" w:rsidR="00E12F06" w:rsidRPr="00470C7C" w:rsidRDefault="00E12F06" w:rsidP="00E12F06">
      <w:pPr>
        <w:rPr>
          <w:lang w:val="es-ES"/>
        </w:rPr>
      </w:pPr>
    </w:p>
    <w:p w14:paraId="00976354" w14:textId="77777777" w:rsidR="00E12F06" w:rsidRPr="00470C7C" w:rsidRDefault="00E12F06" w:rsidP="00E12F06">
      <w:pPr>
        <w:rPr>
          <w:lang w:val="es-ES"/>
        </w:rPr>
      </w:pPr>
      <w:r w:rsidRPr="00470C7C">
        <w:rPr>
          <w:lang w:val="es-ES"/>
        </w:rPr>
        <w:t>Elizabeth Odio Benito</w:t>
      </w:r>
      <w:r w:rsidRPr="00470C7C">
        <w:rPr>
          <w:lang w:val="es-ES"/>
        </w:rPr>
        <w:tab/>
      </w:r>
      <w:r w:rsidRPr="00470C7C">
        <w:rPr>
          <w:lang w:val="es-ES"/>
        </w:rPr>
        <w:tab/>
      </w:r>
      <w:r w:rsidRPr="00470C7C">
        <w:rPr>
          <w:lang w:val="es-ES"/>
        </w:rPr>
        <w:tab/>
      </w:r>
      <w:r w:rsidRPr="00470C7C">
        <w:rPr>
          <w:lang w:val="es-ES"/>
        </w:rPr>
        <w:tab/>
      </w:r>
      <w:r w:rsidRPr="00470C7C">
        <w:rPr>
          <w:lang w:val="es-ES"/>
        </w:rPr>
        <w:tab/>
        <w:t xml:space="preserve">       Eugenio Raúl Zaffaroni</w:t>
      </w:r>
    </w:p>
    <w:p w14:paraId="4ACA3C92" w14:textId="77777777" w:rsidR="00E12F06" w:rsidRPr="00470C7C" w:rsidRDefault="00E12F06" w:rsidP="00E12F06">
      <w:pPr>
        <w:rPr>
          <w:lang w:val="es-ES"/>
        </w:rPr>
      </w:pPr>
    </w:p>
    <w:p w14:paraId="4B828994" w14:textId="77777777" w:rsidR="00E12F06" w:rsidRPr="00470C7C" w:rsidRDefault="00E12F06" w:rsidP="00E12F06">
      <w:pPr>
        <w:rPr>
          <w:lang w:val="es-ES"/>
        </w:rPr>
      </w:pPr>
    </w:p>
    <w:p w14:paraId="69E4BE37" w14:textId="77777777" w:rsidR="00E12F06" w:rsidRPr="00470C7C" w:rsidRDefault="00E12F06" w:rsidP="00E12F06">
      <w:pPr>
        <w:rPr>
          <w:lang w:val="es-ES"/>
        </w:rPr>
      </w:pPr>
    </w:p>
    <w:p w14:paraId="076240D1" w14:textId="77777777" w:rsidR="00E12F06" w:rsidRPr="00470C7C" w:rsidRDefault="00E12F06" w:rsidP="00E12F06">
      <w:pPr>
        <w:rPr>
          <w:lang w:val="es-ES"/>
        </w:rPr>
      </w:pPr>
    </w:p>
    <w:p w14:paraId="5F5D3690" w14:textId="77777777" w:rsidR="00E12F06" w:rsidRPr="00470C7C" w:rsidRDefault="00E12F06" w:rsidP="00E12F06">
      <w:pPr>
        <w:rPr>
          <w:lang w:val="es-ES"/>
        </w:rPr>
      </w:pPr>
    </w:p>
    <w:p w14:paraId="16032BB3" w14:textId="77777777" w:rsidR="00E12F06" w:rsidRPr="00470C7C" w:rsidRDefault="00E12F06" w:rsidP="00E12F06">
      <w:pPr>
        <w:jc w:val="center"/>
        <w:rPr>
          <w:lang w:val="es-ES"/>
        </w:rPr>
      </w:pPr>
      <w:r w:rsidRPr="00470C7C">
        <w:rPr>
          <w:lang w:val="es-ES"/>
        </w:rPr>
        <w:t>L. Patricio Pazmiño Freire</w:t>
      </w:r>
    </w:p>
    <w:p w14:paraId="12B02F66" w14:textId="77777777" w:rsidR="00E12F06" w:rsidRPr="00470C7C" w:rsidRDefault="00E12F06" w:rsidP="00E12F06">
      <w:pPr>
        <w:rPr>
          <w:lang w:val="es-ES"/>
        </w:rPr>
      </w:pPr>
    </w:p>
    <w:p w14:paraId="0C170678" w14:textId="77777777" w:rsidR="00E12F06" w:rsidRPr="00470C7C" w:rsidRDefault="00E12F06" w:rsidP="00E12F06"/>
    <w:p w14:paraId="6A5FD5B9" w14:textId="77777777" w:rsidR="00E12F06" w:rsidRPr="00470C7C" w:rsidRDefault="00E12F06" w:rsidP="00E12F06"/>
    <w:p w14:paraId="799719E2" w14:textId="77777777" w:rsidR="00E12F06" w:rsidRPr="00470C7C" w:rsidRDefault="00E12F06" w:rsidP="00E12F06">
      <w:pPr>
        <w:jc w:val="both"/>
      </w:pPr>
    </w:p>
    <w:p w14:paraId="34C8E0B9" w14:textId="77777777" w:rsidR="00E12F06" w:rsidRPr="00470C7C" w:rsidRDefault="00E12F06" w:rsidP="00E12F06">
      <w:pPr>
        <w:jc w:val="both"/>
      </w:pPr>
    </w:p>
    <w:p w14:paraId="1961E928" w14:textId="77777777" w:rsidR="00E12F06" w:rsidRPr="00470C7C" w:rsidRDefault="00E12F06" w:rsidP="00E12F06">
      <w:pPr>
        <w:jc w:val="both"/>
      </w:pPr>
    </w:p>
    <w:p w14:paraId="5C3A761A" w14:textId="77777777" w:rsidR="00E12F06" w:rsidRPr="00470C7C" w:rsidRDefault="00E12F06" w:rsidP="00E12F06">
      <w:pPr>
        <w:jc w:val="center"/>
      </w:pPr>
      <w:r w:rsidRPr="00470C7C">
        <w:t>Pablo Saavedra Alessandri</w:t>
      </w:r>
    </w:p>
    <w:p w14:paraId="49D1A3BA" w14:textId="77777777" w:rsidR="00E12F06" w:rsidRPr="00470C7C" w:rsidRDefault="00E12F06" w:rsidP="00E12F06">
      <w:pPr>
        <w:jc w:val="center"/>
      </w:pPr>
      <w:r w:rsidRPr="00470C7C">
        <w:t>Secretario</w:t>
      </w:r>
    </w:p>
    <w:p w14:paraId="0A830013" w14:textId="77777777" w:rsidR="00E12F06" w:rsidRPr="00470C7C" w:rsidRDefault="00E12F06" w:rsidP="00E12F06">
      <w:pPr>
        <w:pStyle w:val="Textonotapie"/>
        <w:rPr>
          <w:lang w:val="es-CR"/>
        </w:rPr>
      </w:pPr>
    </w:p>
    <w:p w14:paraId="5EA682C9" w14:textId="77777777" w:rsidR="00E12F06" w:rsidRPr="00470C7C" w:rsidRDefault="00E12F06" w:rsidP="00E12F06">
      <w:pPr>
        <w:pStyle w:val="Textonotapie"/>
        <w:rPr>
          <w:lang w:val="es-CR"/>
        </w:rPr>
      </w:pPr>
    </w:p>
    <w:p w14:paraId="34F44777" w14:textId="77777777" w:rsidR="00E12F06" w:rsidRPr="00470C7C" w:rsidRDefault="00E12F06" w:rsidP="00E12F06">
      <w:pPr>
        <w:pStyle w:val="Textonotapie"/>
        <w:rPr>
          <w:lang w:val="es-CR"/>
        </w:rPr>
      </w:pPr>
    </w:p>
    <w:p w14:paraId="1A667008" w14:textId="77777777" w:rsidR="00E12F06" w:rsidRPr="00470C7C" w:rsidRDefault="00E12F06" w:rsidP="00E12F06">
      <w:pPr>
        <w:pStyle w:val="Textonotapie"/>
        <w:rPr>
          <w:lang w:val="es-CR"/>
        </w:rPr>
      </w:pPr>
    </w:p>
    <w:p w14:paraId="66E4A78A" w14:textId="77777777" w:rsidR="00E12F06" w:rsidRPr="00470C7C" w:rsidRDefault="00E12F06" w:rsidP="00E12F06">
      <w:pPr>
        <w:jc w:val="both"/>
      </w:pPr>
      <w:r w:rsidRPr="00470C7C">
        <w:t>Comuníquese y ejecútese,</w:t>
      </w:r>
    </w:p>
    <w:p w14:paraId="6CFC41A8" w14:textId="77777777" w:rsidR="00E12F06" w:rsidRPr="00470C7C" w:rsidRDefault="00E12F06" w:rsidP="00E12F06"/>
    <w:p w14:paraId="246FB2C8" w14:textId="77777777" w:rsidR="00E12F06" w:rsidRPr="00470C7C" w:rsidRDefault="00E12F06" w:rsidP="00E12F06"/>
    <w:p w14:paraId="6C2A7A18" w14:textId="77777777" w:rsidR="00E12F06" w:rsidRPr="00470C7C" w:rsidRDefault="00E12F06" w:rsidP="00E12F06">
      <w:pPr>
        <w:jc w:val="right"/>
      </w:pPr>
    </w:p>
    <w:p w14:paraId="349AE9F3" w14:textId="77777777" w:rsidR="00E12F06" w:rsidRPr="00470C7C" w:rsidRDefault="00E12F06" w:rsidP="00E12F06">
      <w:pPr>
        <w:jc w:val="right"/>
      </w:pPr>
    </w:p>
    <w:p w14:paraId="360DD33D" w14:textId="77777777" w:rsidR="00E12F06" w:rsidRPr="00470C7C" w:rsidRDefault="00E12F06" w:rsidP="00E12F06">
      <w:pPr>
        <w:jc w:val="center"/>
      </w:pPr>
      <w:r w:rsidRPr="00470C7C">
        <w:t xml:space="preserve">                                                                                   </w:t>
      </w:r>
      <w:r w:rsidRPr="00470C7C">
        <w:rPr>
          <w:lang w:val="es-ES"/>
        </w:rPr>
        <w:t>Eduardo Ferrer Mac-</w:t>
      </w:r>
      <w:proofErr w:type="spellStart"/>
      <w:r w:rsidRPr="00470C7C">
        <w:rPr>
          <w:lang w:val="es-ES"/>
        </w:rPr>
        <w:t>Gregor</w:t>
      </w:r>
      <w:proofErr w:type="spellEnd"/>
      <w:r w:rsidRPr="00470C7C">
        <w:rPr>
          <w:lang w:val="es-ES"/>
        </w:rPr>
        <w:t xml:space="preserve"> </w:t>
      </w:r>
      <w:proofErr w:type="spellStart"/>
      <w:r w:rsidRPr="00470C7C">
        <w:rPr>
          <w:lang w:val="es-ES"/>
        </w:rPr>
        <w:t>Poisot</w:t>
      </w:r>
      <w:proofErr w:type="spellEnd"/>
    </w:p>
    <w:p w14:paraId="4B6D9B55" w14:textId="77777777" w:rsidR="00E12F06" w:rsidRPr="00470C7C" w:rsidRDefault="00E12F06" w:rsidP="00E12F06">
      <w:pPr>
        <w:ind w:left="6480"/>
      </w:pPr>
      <w:r w:rsidRPr="00470C7C">
        <w:rPr>
          <w:lang w:val="es-ES"/>
        </w:rPr>
        <w:t>Presidente en ejercicio</w:t>
      </w:r>
    </w:p>
    <w:p w14:paraId="46ECF35B" w14:textId="77777777" w:rsidR="00E12F06" w:rsidRPr="00470C7C" w:rsidRDefault="00E12F06" w:rsidP="00E12F06">
      <w:pPr>
        <w:ind w:left="5040" w:firstLine="720"/>
        <w:jc w:val="center"/>
      </w:pPr>
    </w:p>
    <w:p w14:paraId="0B40BDFB" w14:textId="77777777" w:rsidR="00E12F06" w:rsidRPr="00470C7C" w:rsidRDefault="00E12F06" w:rsidP="00E12F06">
      <w:pPr>
        <w:jc w:val="both"/>
      </w:pPr>
    </w:p>
    <w:p w14:paraId="4DC50A71" w14:textId="77777777" w:rsidR="00E12F06" w:rsidRPr="00470C7C" w:rsidRDefault="00E12F06" w:rsidP="00E12F06">
      <w:pPr>
        <w:jc w:val="both"/>
      </w:pPr>
    </w:p>
    <w:p w14:paraId="1B2E7D1A" w14:textId="77777777" w:rsidR="00E12F06" w:rsidRPr="00470C7C" w:rsidRDefault="00E12F06" w:rsidP="00E12F06">
      <w:pPr>
        <w:jc w:val="both"/>
        <w:rPr>
          <w:lang w:val="pt-BR"/>
        </w:rPr>
      </w:pPr>
      <w:r w:rsidRPr="00470C7C">
        <w:rPr>
          <w:lang w:val="pt-BR"/>
        </w:rPr>
        <w:t xml:space="preserve">Pablo Saavedra </w:t>
      </w:r>
      <w:proofErr w:type="spellStart"/>
      <w:r w:rsidRPr="00470C7C">
        <w:rPr>
          <w:lang w:val="pt-BR"/>
        </w:rPr>
        <w:t>Alessandri</w:t>
      </w:r>
      <w:proofErr w:type="spellEnd"/>
    </w:p>
    <w:p w14:paraId="6181FF12" w14:textId="77777777" w:rsidR="00E12F06" w:rsidRPr="00470C7C" w:rsidRDefault="00E12F06" w:rsidP="00E12F06">
      <w:pPr>
        <w:rPr>
          <w:lang w:val="pt-BR"/>
        </w:rPr>
      </w:pPr>
      <w:r w:rsidRPr="00470C7C">
        <w:rPr>
          <w:lang w:val="pt-BR"/>
        </w:rPr>
        <w:t xml:space="preserve">          Secretario</w:t>
      </w:r>
    </w:p>
    <w:p w14:paraId="53235152" w14:textId="77777777" w:rsidR="00E12F06" w:rsidRPr="00470C7C" w:rsidRDefault="00E12F06" w:rsidP="00E12F06">
      <w:pPr>
        <w:jc w:val="both"/>
      </w:pPr>
    </w:p>
    <w:p w14:paraId="0CF39354" w14:textId="77777777" w:rsidR="00E12F06" w:rsidRPr="00470C7C" w:rsidRDefault="00E12F06" w:rsidP="00E12F06">
      <w:pPr>
        <w:jc w:val="both"/>
      </w:pPr>
    </w:p>
    <w:p w14:paraId="7767BD80" w14:textId="77777777" w:rsidR="00130785" w:rsidRPr="00470C7C" w:rsidRDefault="00130785" w:rsidP="00F74CCF">
      <w:pPr>
        <w:tabs>
          <w:tab w:val="left" w:pos="720"/>
        </w:tabs>
        <w:ind w:right="-90"/>
        <w:contextualSpacing/>
        <w:rPr>
          <w:bCs/>
          <w:szCs w:val="20"/>
        </w:rPr>
        <w:sectPr w:rsidR="00130785" w:rsidRPr="00470C7C" w:rsidSect="00E12F06">
          <w:headerReference w:type="default" r:id="rId8"/>
          <w:footerReference w:type="default" r:id="rId9"/>
          <w:pgSz w:w="12240" w:h="15840" w:code="1"/>
          <w:pgMar w:top="1304" w:right="1474" w:bottom="1304" w:left="1474" w:header="709" w:footer="709" w:gutter="0"/>
          <w:cols w:space="708"/>
          <w:docGrid w:linePitch="360"/>
        </w:sectPr>
      </w:pPr>
    </w:p>
    <w:p w14:paraId="61DDDC59" w14:textId="77777777" w:rsidR="00130785" w:rsidRPr="00470C7C" w:rsidRDefault="00130785" w:rsidP="00130785">
      <w:pPr>
        <w:tabs>
          <w:tab w:val="clear" w:pos="4419"/>
          <w:tab w:val="clear" w:pos="8838"/>
        </w:tabs>
        <w:spacing w:line="360" w:lineRule="auto"/>
        <w:jc w:val="center"/>
        <w:rPr>
          <w:rFonts w:eastAsia="Cambria" w:cs="Times New Roman"/>
          <w:b/>
          <w:szCs w:val="20"/>
        </w:rPr>
      </w:pPr>
      <w:bookmarkStart w:id="442" w:name="_Toc462751118"/>
      <w:r w:rsidRPr="00470C7C">
        <w:rPr>
          <w:rFonts w:eastAsia="Cambria" w:cs="Times New Roman"/>
          <w:b/>
          <w:szCs w:val="20"/>
        </w:rPr>
        <w:t>VOTO RAZONADO DEL</w:t>
      </w:r>
    </w:p>
    <w:p w14:paraId="175B1E1F" w14:textId="77777777" w:rsidR="00130785" w:rsidRPr="00470C7C" w:rsidRDefault="00130785" w:rsidP="00130785">
      <w:pPr>
        <w:tabs>
          <w:tab w:val="clear" w:pos="4419"/>
          <w:tab w:val="clear" w:pos="8838"/>
        </w:tabs>
        <w:spacing w:line="360" w:lineRule="auto"/>
        <w:jc w:val="center"/>
        <w:rPr>
          <w:rFonts w:eastAsia="Cambria" w:cs="Times New Roman"/>
          <w:b/>
          <w:szCs w:val="20"/>
        </w:rPr>
      </w:pPr>
      <w:r w:rsidRPr="00470C7C">
        <w:rPr>
          <w:rFonts w:eastAsia="Cambria" w:cs="Times New Roman"/>
          <w:b/>
          <w:szCs w:val="20"/>
        </w:rPr>
        <w:t>JUEZ EDUARDO FERRER MAC-GREGOR POISOT</w:t>
      </w:r>
    </w:p>
    <w:p w14:paraId="1D9F524C" w14:textId="77777777" w:rsidR="00130785" w:rsidRPr="00470C7C" w:rsidRDefault="00130785" w:rsidP="00130785">
      <w:pPr>
        <w:tabs>
          <w:tab w:val="clear" w:pos="4419"/>
          <w:tab w:val="clear" w:pos="8838"/>
        </w:tabs>
        <w:jc w:val="center"/>
        <w:rPr>
          <w:rFonts w:eastAsia="Cambria" w:cs="Times New Roman"/>
          <w:b/>
          <w:szCs w:val="20"/>
        </w:rPr>
      </w:pPr>
    </w:p>
    <w:p w14:paraId="0424E895" w14:textId="77777777" w:rsidR="00130785" w:rsidRPr="00470C7C" w:rsidRDefault="00130785" w:rsidP="00130785">
      <w:pPr>
        <w:tabs>
          <w:tab w:val="clear" w:pos="4419"/>
          <w:tab w:val="clear" w:pos="8838"/>
        </w:tabs>
        <w:jc w:val="center"/>
        <w:rPr>
          <w:rFonts w:eastAsia="Cambria" w:cs="Times New Roman"/>
          <w:b/>
          <w:i/>
          <w:szCs w:val="20"/>
          <w:u w:val="single"/>
        </w:rPr>
      </w:pPr>
      <w:r w:rsidRPr="00470C7C">
        <w:rPr>
          <w:rFonts w:eastAsia="Cambria" w:cs="Times New Roman"/>
          <w:b/>
          <w:i/>
          <w:szCs w:val="20"/>
          <w:u w:val="single"/>
        </w:rPr>
        <w:t>CASO TRABAJADORES DE LA HACIENDA BRASIL VERDE VS. BRASIL</w:t>
      </w:r>
    </w:p>
    <w:p w14:paraId="16FB4DBC" w14:textId="77777777" w:rsidR="00130785" w:rsidRPr="00470C7C" w:rsidRDefault="00130785" w:rsidP="00130785">
      <w:pPr>
        <w:tabs>
          <w:tab w:val="clear" w:pos="4419"/>
          <w:tab w:val="clear" w:pos="8838"/>
        </w:tabs>
        <w:jc w:val="center"/>
        <w:rPr>
          <w:rFonts w:eastAsia="Cambria" w:cs="Times New Roman"/>
          <w:b/>
          <w:szCs w:val="20"/>
          <w:u w:val="single"/>
        </w:rPr>
      </w:pPr>
    </w:p>
    <w:p w14:paraId="41E1E237" w14:textId="77777777" w:rsidR="00130785" w:rsidRPr="00470C7C" w:rsidRDefault="00130785" w:rsidP="00130785">
      <w:pPr>
        <w:tabs>
          <w:tab w:val="clear" w:pos="4419"/>
          <w:tab w:val="clear" w:pos="8838"/>
        </w:tabs>
        <w:jc w:val="center"/>
        <w:rPr>
          <w:rFonts w:eastAsia="Cambria" w:cs="Times New Roman"/>
          <w:b/>
          <w:sz w:val="18"/>
          <w:szCs w:val="18"/>
        </w:rPr>
      </w:pPr>
      <w:r w:rsidRPr="00470C7C">
        <w:rPr>
          <w:rFonts w:eastAsia="Cambria" w:cs="Times New Roman"/>
          <w:b/>
          <w:sz w:val="18"/>
          <w:szCs w:val="18"/>
        </w:rPr>
        <w:t>SENTENCIA DE 20 DE OCTUBRE DE 2016</w:t>
      </w:r>
    </w:p>
    <w:p w14:paraId="11B0254F" w14:textId="77777777" w:rsidR="00130785" w:rsidRPr="00470C7C" w:rsidRDefault="00130785" w:rsidP="00130785">
      <w:pPr>
        <w:tabs>
          <w:tab w:val="clear" w:pos="4419"/>
          <w:tab w:val="clear" w:pos="8838"/>
        </w:tabs>
        <w:jc w:val="center"/>
        <w:rPr>
          <w:rFonts w:eastAsia="Cambria" w:cs="Times New Roman"/>
          <w:b/>
          <w:i/>
          <w:iCs/>
          <w:sz w:val="18"/>
          <w:szCs w:val="18"/>
        </w:rPr>
      </w:pPr>
      <w:r w:rsidRPr="00470C7C">
        <w:rPr>
          <w:rFonts w:eastAsia="Cambria" w:cs="Times New Roman"/>
          <w:b/>
          <w:i/>
          <w:iCs/>
          <w:sz w:val="18"/>
          <w:szCs w:val="18"/>
        </w:rPr>
        <w:t>(Excepciones Preliminares, Fondo, Reparaciones y Costas)</w:t>
      </w:r>
    </w:p>
    <w:p w14:paraId="2D940C8F" w14:textId="77777777" w:rsidR="00130785" w:rsidRPr="00470C7C" w:rsidRDefault="00130785" w:rsidP="00130785">
      <w:pPr>
        <w:tabs>
          <w:tab w:val="clear" w:pos="4419"/>
          <w:tab w:val="clear" w:pos="8838"/>
        </w:tabs>
        <w:rPr>
          <w:rFonts w:eastAsia="MS Mincho" w:cs="Tahoma"/>
          <w:szCs w:val="20"/>
          <w:lang w:val="es-ES_tradnl" w:eastAsia="es-ES"/>
        </w:rPr>
      </w:pPr>
    </w:p>
    <w:p w14:paraId="23B2A105" w14:textId="77777777" w:rsidR="00130785" w:rsidRPr="00470C7C" w:rsidRDefault="00130785" w:rsidP="00130785">
      <w:pPr>
        <w:tabs>
          <w:tab w:val="clear" w:pos="4419"/>
          <w:tab w:val="clear" w:pos="8838"/>
        </w:tabs>
        <w:jc w:val="center"/>
        <w:rPr>
          <w:rFonts w:eastAsia="MS Mincho" w:cs="Tahoma"/>
          <w:szCs w:val="20"/>
          <w:lang w:val="es-ES_tradnl" w:eastAsia="es-ES"/>
        </w:rPr>
      </w:pPr>
    </w:p>
    <w:p w14:paraId="16D7F2D8" w14:textId="77777777" w:rsidR="00130785" w:rsidRPr="00470C7C" w:rsidRDefault="00130785" w:rsidP="00130785">
      <w:pPr>
        <w:tabs>
          <w:tab w:val="clear" w:pos="4419"/>
          <w:tab w:val="clear" w:pos="8838"/>
        </w:tabs>
        <w:spacing w:after="120"/>
        <w:jc w:val="both"/>
        <w:rPr>
          <w:rFonts w:eastAsia="MS Mincho" w:cs="Times New Roman"/>
          <w:szCs w:val="20"/>
          <w:lang w:val="es-ES_tradnl" w:eastAsia="es-ES"/>
        </w:rPr>
      </w:pPr>
      <w:r w:rsidRPr="00470C7C">
        <w:rPr>
          <w:rFonts w:eastAsia="MS Mincho" w:cs="Times New Roman"/>
          <w:szCs w:val="20"/>
          <w:lang w:val="es-ES_tradnl" w:eastAsia="es-ES"/>
        </w:rPr>
        <w:t>La Jueza Elizabeth Odio Benito se adhirió al presente Voto del Juez Eduardo Ferrer Mac-</w:t>
      </w:r>
      <w:proofErr w:type="spellStart"/>
      <w:r w:rsidRPr="00470C7C">
        <w:rPr>
          <w:rFonts w:eastAsia="MS Mincho" w:cs="Times New Roman"/>
          <w:szCs w:val="20"/>
          <w:lang w:val="es-ES_tradnl" w:eastAsia="es-ES"/>
        </w:rPr>
        <w:t>Gregor</w:t>
      </w:r>
      <w:proofErr w:type="spellEnd"/>
      <w:r w:rsidRPr="00470C7C">
        <w:rPr>
          <w:rFonts w:eastAsia="MS Mincho" w:cs="Times New Roman"/>
          <w:szCs w:val="20"/>
          <w:lang w:val="es-ES_tradnl" w:eastAsia="es-ES"/>
        </w:rPr>
        <w:t xml:space="preserve"> </w:t>
      </w:r>
      <w:proofErr w:type="spellStart"/>
      <w:r w:rsidRPr="00470C7C">
        <w:rPr>
          <w:rFonts w:eastAsia="MS Mincho" w:cs="Times New Roman"/>
          <w:szCs w:val="20"/>
          <w:lang w:val="es-ES_tradnl" w:eastAsia="es-ES"/>
        </w:rPr>
        <w:t>Poisot</w:t>
      </w:r>
      <w:proofErr w:type="spellEnd"/>
      <w:r w:rsidRPr="00470C7C">
        <w:rPr>
          <w:rFonts w:eastAsia="MS Mincho" w:cs="Times New Roman"/>
          <w:szCs w:val="20"/>
          <w:lang w:val="es-ES_tradnl" w:eastAsia="es-ES"/>
        </w:rPr>
        <w:t>.</w:t>
      </w:r>
    </w:p>
    <w:p w14:paraId="758BFA85" w14:textId="77777777" w:rsidR="00130785" w:rsidRPr="00470C7C" w:rsidRDefault="00130785" w:rsidP="00130785">
      <w:pPr>
        <w:tabs>
          <w:tab w:val="clear" w:pos="4419"/>
          <w:tab w:val="clear" w:pos="8838"/>
        </w:tabs>
        <w:spacing w:after="120"/>
        <w:jc w:val="both"/>
        <w:rPr>
          <w:rFonts w:eastAsia="MS Mincho" w:cs="Tahoma"/>
          <w:szCs w:val="20"/>
          <w:lang w:val="es-ES_tradnl" w:eastAsia="es-ES"/>
        </w:rPr>
      </w:pPr>
    </w:p>
    <w:p w14:paraId="1616A70C" w14:textId="77777777" w:rsidR="00130785" w:rsidRPr="00470C7C" w:rsidRDefault="00130785" w:rsidP="00130785">
      <w:pPr>
        <w:tabs>
          <w:tab w:val="clear" w:pos="4419"/>
          <w:tab w:val="clear" w:pos="8838"/>
        </w:tabs>
        <w:spacing w:after="120"/>
        <w:jc w:val="center"/>
        <w:rPr>
          <w:rFonts w:eastAsia="MS Mincho" w:cs="Tahoma"/>
          <w:szCs w:val="20"/>
          <w:lang w:val="es-ES_tradnl" w:eastAsia="es-ES"/>
        </w:rPr>
      </w:pPr>
      <w:r w:rsidRPr="00470C7C">
        <w:rPr>
          <w:rFonts w:eastAsia="MS Mincho" w:cs="Tahoma"/>
          <w:szCs w:val="20"/>
          <w:lang w:val="es-ES_tradnl" w:eastAsia="es-ES"/>
        </w:rPr>
        <w:t>INTRODUCCIÓN:</w:t>
      </w:r>
    </w:p>
    <w:p w14:paraId="7E132C08" w14:textId="77777777" w:rsidR="00130785" w:rsidRPr="00470C7C" w:rsidRDefault="00130785" w:rsidP="00130785">
      <w:pPr>
        <w:tabs>
          <w:tab w:val="clear" w:pos="4419"/>
          <w:tab w:val="clear" w:pos="8838"/>
        </w:tabs>
        <w:spacing w:line="360" w:lineRule="auto"/>
        <w:jc w:val="center"/>
        <w:rPr>
          <w:rFonts w:eastAsia="MS Mincho" w:cs="Tahoma"/>
          <w:szCs w:val="20"/>
          <w:lang w:val="es-ES_tradnl" w:eastAsia="es-ES"/>
        </w:rPr>
      </w:pPr>
      <w:r w:rsidRPr="00470C7C">
        <w:rPr>
          <w:rFonts w:eastAsia="MS Mincho" w:cs="Tahoma"/>
          <w:szCs w:val="20"/>
          <w:lang w:val="es-ES_tradnl" w:eastAsia="es-ES"/>
        </w:rPr>
        <w:t>SOBRE LA “DISCRIMINACIÓN ESTRUCTURAL HISTÓRICA” EN RAZÓN DE LA POSICIÓN ECONÓMICA (POBREZA) DE LOS TRABAJADORES SOMETIDOS A TRABAJO ESCLAVO</w:t>
      </w:r>
    </w:p>
    <w:bookmarkEnd w:id="442"/>
    <w:p w14:paraId="408D2358" w14:textId="77777777" w:rsidR="00130785" w:rsidRPr="00470C7C" w:rsidRDefault="00130785" w:rsidP="00130785">
      <w:pPr>
        <w:tabs>
          <w:tab w:val="clear" w:pos="4419"/>
          <w:tab w:val="clear" w:pos="8838"/>
        </w:tabs>
        <w:contextualSpacing/>
        <w:jc w:val="both"/>
        <w:rPr>
          <w:rFonts w:eastAsia="Cambria" w:cs="System Font Regular"/>
          <w:szCs w:val="20"/>
          <w:lang w:val="es-ES_tradnl"/>
        </w:rPr>
      </w:pPr>
    </w:p>
    <w:p w14:paraId="0191CB4D"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Times New Roman"/>
          <w:szCs w:val="20"/>
          <w:lang w:val="es-ES_tradnl"/>
        </w:rPr>
        <w:t>Esta es la primera ocasión en la que la Corte Interamericana de Derechos Humanos  (en adelante “Corte IDH” o “Tribunal Interamericano”)</w:t>
      </w:r>
      <w:r w:rsidRPr="00470C7C">
        <w:rPr>
          <w:rFonts w:eastAsia="Cambria" w:cs="System Font Regular"/>
          <w:szCs w:val="20"/>
          <w:lang w:val="es-ES_tradnl"/>
        </w:rPr>
        <w:t xml:space="preserve"> ha tenido la oportunidad de pronunciarse respecto al fenómeno del trabajo esclavo —que en este caso involucra trabajos forzosos, servidumbre por deudas y trata de personas—;  declarando responsable al Estado por infringir el artículo 6.1 de la Convención Americana sobre Derechos Humanos </w:t>
      </w:r>
      <w:r w:rsidRPr="00470C7C">
        <w:rPr>
          <w:rFonts w:eastAsia="Cambria" w:cs="Times New Roman"/>
          <w:szCs w:val="20"/>
          <w:lang w:val="es-ES_tradnl"/>
        </w:rPr>
        <w:t xml:space="preserve">(en adelante “Convención Americana” o “Pacto de San José”), </w:t>
      </w:r>
      <w:r w:rsidRPr="00470C7C">
        <w:rPr>
          <w:rFonts w:eastAsia="Cambria" w:cs="System Font Regular"/>
          <w:szCs w:val="20"/>
          <w:lang w:val="es-ES_tradnl"/>
        </w:rPr>
        <w:t>respecto de los 85 trabajadores –</w:t>
      </w:r>
      <w:r w:rsidRPr="00470C7C">
        <w:rPr>
          <w:rFonts w:eastAsia="Cambria" w:cs="System Font Regular"/>
          <w:bCs/>
          <w:szCs w:val="20"/>
          <w:lang w:val="es-ES_tradnl"/>
        </w:rPr>
        <w:t>principalmente varones y una sola mujer</w:t>
      </w:r>
      <w:r w:rsidRPr="00470C7C">
        <w:rPr>
          <w:rFonts w:eastAsia="Cambria" w:cs="System Font Regular"/>
          <w:szCs w:val="20"/>
          <w:lang w:val="es-ES_tradnl"/>
        </w:rPr>
        <w:t xml:space="preserve">–, víctimas del presente caso, rescatados de la Hacienda Brasil Verde. </w:t>
      </w:r>
    </w:p>
    <w:p w14:paraId="513104C4" w14:textId="77777777" w:rsidR="00130785" w:rsidRPr="00470C7C" w:rsidRDefault="00130785" w:rsidP="00130785">
      <w:pPr>
        <w:tabs>
          <w:tab w:val="clear" w:pos="4419"/>
          <w:tab w:val="clear" w:pos="8838"/>
          <w:tab w:val="left" w:pos="709"/>
          <w:tab w:val="left" w:pos="1464"/>
        </w:tabs>
        <w:rPr>
          <w:rFonts w:eastAsia="MS Mincho" w:cs="System Font Regular"/>
          <w:sz w:val="24"/>
          <w:szCs w:val="20"/>
          <w:lang w:val="es-ES_tradnl" w:eastAsia="es-ES"/>
        </w:rPr>
      </w:pPr>
    </w:p>
    <w:p w14:paraId="6090AB18" w14:textId="77777777" w:rsidR="00130785" w:rsidRPr="00470C7C" w:rsidRDefault="00130785" w:rsidP="008B0BCC">
      <w:pPr>
        <w:numPr>
          <w:ilvl w:val="0"/>
          <w:numId w:val="26"/>
        </w:numPr>
        <w:tabs>
          <w:tab w:val="clear" w:pos="4419"/>
          <w:tab w:val="clear" w:pos="8838"/>
          <w:tab w:val="left" w:pos="709"/>
          <w:tab w:val="left" w:pos="1464"/>
        </w:tabs>
        <w:contextualSpacing/>
        <w:jc w:val="both"/>
        <w:rPr>
          <w:rFonts w:eastAsia="Cambria" w:cs="Times New Roman"/>
          <w:szCs w:val="20"/>
          <w:lang w:val="es-ES_tradnl"/>
        </w:rPr>
      </w:pPr>
      <w:r w:rsidRPr="00470C7C">
        <w:rPr>
          <w:rFonts w:eastAsia="Cambria" w:cs="System Font Regular"/>
          <w:szCs w:val="20"/>
          <w:lang w:val="es-ES_tradnl"/>
        </w:rPr>
        <w:t>El Tribunal Interamericano analizó el contexto de discriminación basado en pobreza dentro del fenómeno de trabajo esclavo en Brasil (que data desde la mitad del Siglo XVIII), y que de manera sistemática permitió que las víctimas fueran objeto de trata de personas. Así, el reconocimiento que hace la Corte Interamericana de la “pobreza” como parte de prohibición de la discriminación por “posición económica”, resulta de particular relevancia para la jurisprudencia interamericana —y en general para el contexto latinoamericano—</w:t>
      </w:r>
      <w:r w:rsidRPr="00470C7C">
        <w:rPr>
          <w:rFonts w:eastAsia="Cambria" w:cs="Times New Roman"/>
          <w:szCs w:val="20"/>
          <w:vertAlign w:val="superscript"/>
          <w:lang w:val="es-ES_tradnl"/>
        </w:rPr>
        <w:footnoteReference w:id="538"/>
      </w:r>
      <w:r w:rsidRPr="00470C7C">
        <w:rPr>
          <w:rFonts w:eastAsia="Cambria" w:cs="System Font Regular"/>
          <w:szCs w:val="20"/>
          <w:lang w:val="es-ES_tradnl"/>
        </w:rPr>
        <w:t xml:space="preserve">, al ser la primera vez que se considera a </w:t>
      </w:r>
      <w:r w:rsidRPr="00470C7C">
        <w:rPr>
          <w:rFonts w:eastAsia="Cambria" w:cs="Times New Roman"/>
          <w:szCs w:val="20"/>
          <w:lang w:val="es-ES_tradnl"/>
        </w:rPr>
        <w:t>la pobreza como un componente de la prohibición de discriminación por “</w:t>
      </w:r>
      <w:r w:rsidRPr="00470C7C">
        <w:rPr>
          <w:rFonts w:eastAsia="Cambria" w:cs="Times New Roman"/>
          <w:i/>
          <w:szCs w:val="20"/>
          <w:lang w:val="es-ES_tradnl"/>
        </w:rPr>
        <w:t xml:space="preserve">posición económica” </w:t>
      </w:r>
      <w:r w:rsidRPr="00470C7C">
        <w:rPr>
          <w:rFonts w:eastAsia="Cambria" w:cs="Times New Roman"/>
          <w:szCs w:val="20"/>
          <w:lang w:val="es-ES_tradnl"/>
        </w:rPr>
        <w:t xml:space="preserve">(categoría que se encuentra contemplada de manera expresa en el artículo 1.1 de la Convención Americana, a diferencia de otros tratados internacionales); teniendo especial relevancia que las violaciones declaradas fueron “en el marco de una situación de </w:t>
      </w:r>
      <w:r w:rsidRPr="00470C7C">
        <w:rPr>
          <w:rFonts w:eastAsia="Cambria" w:cs="Times New Roman"/>
          <w:i/>
          <w:szCs w:val="20"/>
          <w:lang w:val="es-ES_tradnl"/>
        </w:rPr>
        <w:t>discriminación estructural histórica</w:t>
      </w:r>
      <w:r w:rsidRPr="00470C7C">
        <w:rPr>
          <w:rFonts w:eastAsia="Cambria" w:cs="Times New Roman"/>
          <w:szCs w:val="20"/>
          <w:lang w:val="es-ES_tradnl"/>
        </w:rPr>
        <w:t xml:space="preserve"> en razón de la posición económica de los 85 trabajadores” en el caso particular</w:t>
      </w:r>
      <w:r w:rsidRPr="00470C7C">
        <w:rPr>
          <w:rFonts w:eastAsia="Cambria" w:cs="Times New Roman"/>
          <w:szCs w:val="20"/>
          <w:vertAlign w:val="superscript"/>
          <w:lang w:val="es-ES_tradnl"/>
        </w:rPr>
        <w:footnoteReference w:id="539"/>
      </w:r>
      <w:r w:rsidRPr="00470C7C">
        <w:rPr>
          <w:rFonts w:eastAsia="Cambria" w:cs="Times New Roman"/>
          <w:szCs w:val="20"/>
          <w:lang w:val="es-ES_tradnl"/>
        </w:rPr>
        <w:t>.</w:t>
      </w:r>
      <w:r w:rsidRPr="00470C7C">
        <w:rPr>
          <w:rFonts w:eastAsia="Cambria" w:cs="Times New Roman"/>
          <w:i/>
          <w:szCs w:val="20"/>
          <w:lang w:val="es-ES_tradnl"/>
        </w:rPr>
        <w:t xml:space="preserve"> </w:t>
      </w:r>
    </w:p>
    <w:p w14:paraId="29009F7F" w14:textId="77777777" w:rsidR="00130785" w:rsidRPr="00470C7C" w:rsidRDefault="00130785" w:rsidP="00130785">
      <w:pPr>
        <w:tabs>
          <w:tab w:val="clear" w:pos="4419"/>
          <w:tab w:val="clear" w:pos="8838"/>
          <w:tab w:val="left" w:pos="709"/>
          <w:tab w:val="left" w:pos="1464"/>
        </w:tabs>
        <w:rPr>
          <w:rFonts w:eastAsia="MS Mincho" w:cs="Times New Roman"/>
          <w:sz w:val="24"/>
          <w:szCs w:val="20"/>
          <w:lang w:val="es-ES_tradnl" w:eastAsia="es-ES"/>
        </w:rPr>
      </w:pPr>
    </w:p>
    <w:p w14:paraId="17F39492" w14:textId="77777777" w:rsidR="00130785" w:rsidRPr="00470C7C" w:rsidRDefault="00130785" w:rsidP="008B0BCC">
      <w:pPr>
        <w:numPr>
          <w:ilvl w:val="0"/>
          <w:numId w:val="26"/>
        </w:numPr>
        <w:tabs>
          <w:tab w:val="clear" w:pos="4419"/>
          <w:tab w:val="clear" w:pos="8838"/>
          <w:tab w:val="left" w:pos="709"/>
          <w:tab w:val="left" w:pos="1464"/>
        </w:tabs>
        <w:contextualSpacing/>
        <w:jc w:val="both"/>
        <w:rPr>
          <w:rFonts w:eastAsia="Cambria" w:cs="Times New Roman"/>
          <w:szCs w:val="20"/>
          <w:lang w:val="es-ES_tradnl"/>
        </w:rPr>
      </w:pPr>
      <w:r w:rsidRPr="00470C7C">
        <w:rPr>
          <w:rFonts w:eastAsia="Cambria" w:cs="Times New Roman"/>
          <w:szCs w:val="20"/>
          <w:lang w:val="es-ES_tradnl"/>
        </w:rPr>
        <w:t xml:space="preserve">Por ese motivo emito el presente voto razonado, al considerar la necesidad de enfatizar y profundizar algunos elementos del caso en relación con el reconocimiento de la pobreza como parte la prohibición de discriminación por la posición económica reconocido en el artículo 1.1 y la identificación de las circunstancias de </w:t>
      </w:r>
      <w:r w:rsidRPr="00470C7C">
        <w:rPr>
          <w:rFonts w:eastAsia="Cambria" w:cs="Times New Roman"/>
          <w:i/>
          <w:szCs w:val="20"/>
          <w:lang w:val="es-ES_tradnl"/>
        </w:rPr>
        <w:t>discriminación estructural histórica</w:t>
      </w:r>
      <w:r w:rsidRPr="00470C7C">
        <w:rPr>
          <w:rFonts w:eastAsia="Cambria" w:cs="Times New Roman"/>
          <w:szCs w:val="20"/>
          <w:lang w:val="es-ES_tradnl"/>
        </w:rPr>
        <w:t xml:space="preserve"> que se evidenciaron en la Sentencia. Para una mayor claridad, se expondrán a continuación:</w:t>
      </w:r>
      <w:r w:rsidRPr="00470C7C">
        <w:rPr>
          <w:rFonts w:eastAsia="Cambria" w:cs="Times New Roman"/>
          <w:i/>
          <w:szCs w:val="20"/>
          <w:lang w:val="es-ES_tradnl"/>
        </w:rPr>
        <w:t xml:space="preserve"> I) </w:t>
      </w:r>
      <w:r w:rsidRPr="00470C7C">
        <w:rPr>
          <w:rFonts w:eastAsia="Cambria" w:cs="Times New Roman"/>
          <w:szCs w:val="20"/>
          <w:lang w:val="es-ES_tradnl"/>
        </w:rPr>
        <w:t xml:space="preserve">La pobreza como parte de la prohibición de discriminar por la “posición económica” en los sistemas de protección de derechos humanos </w:t>
      </w:r>
      <w:r w:rsidRPr="00470C7C">
        <w:rPr>
          <w:rFonts w:eastAsia="Cambria" w:cs="Times New Roman"/>
          <w:i/>
          <w:szCs w:val="20"/>
          <w:lang w:val="es-ES_tradnl"/>
        </w:rPr>
        <w:t>(</w:t>
      </w:r>
      <w:proofErr w:type="spellStart"/>
      <w:r w:rsidRPr="00470C7C">
        <w:rPr>
          <w:rFonts w:eastAsia="Cambria" w:cs="Times New Roman"/>
          <w:i/>
          <w:szCs w:val="20"/>
          <w:lang w:val="es-ES_tradnl"/>
        </w:rPr>
        <w:t>párrs</w:t>
      </w:r>
      <w:proofErr w:type="spellEnd"/>
      <w:r w:rsidRPr="00470C7C">
        <w:rPr>
          <w:rFonts w:eastAsia="Cambria" w:cs="Times New Roman"/>
          <w:i/>
          <w:szCs w:val="20"/>
          <w:lang w:val="es-ES_tradnl"/>
        </w:rPr>
        <w:t>. 4-25);</w:t>
      </w:r>
      <w:r w:rsidRPr="00470C7C">
        <w:rPr>
          <w:rFonts w:eastAsia="Cambria" w:cs="Times New Roman"/>
          <w:szCs w:val="20"/>
          <w:lang w:val="es-ES_tradnl"/>
        </w:rPr>
        <w:t xml:space="preserve"> </w:t>
      </w:r>
      <w:r w:rsidRPr="00470C7C">
        <w:rPr>
          <w:rFonts w:eastAsia="Cambria" w:cs="Times New Roman"/>
          <w:i/>
          <w:szCs w:val="20"/>
          <w:lang w:val="es-ES_tradnl"/>
        </w:rPr>
        <w:t>II)</w:t>
      </w:r>
      <w:r w:rsidRPr="00470C7C">
        <w:rPr>
          <w:rFonts w:eastAsia="Cambria" w:cs="Times New Roman"/>
          <w:szCs w:val="20"/>
          <w:lang w:val="es-ES_tradnl"/>
        </w:rPr>
        <w:t xml:space="preserve"> La pobreza y la posición económica en la jurisprudencia interamericana </w:t>
      </w:r>
      <w:r w:rsidRPr="00470C7C">
        <w:rPr>
          <w:rFonts w:eastAsia="Cambria" w:cs="Times New Roman"/>
          <w:i/>
          <w:szCs w:val="20"/>
          <w:lang w:val="es-ES_tradnl"/>
        </w:rPr>
        <w:t>(</w:t>
      </w:r>
      <w:proofErr w:type="spellStart"/>
      <w:r w:rsidRPr="00470C7C">
        <w:rPr>
          <w:rFonts w:eastAsia="Cambria" w:cs="Times New Roman"/>
          <w:i/>
          <w:szCs w:val="20"/>
          <w:lang w:val="es-ES_tradnl"/>
        </w:rPr>
        <w:t>párrs</w:t>
      </w:r>
      <w:proofErr w:type="spellEnd"/>
      <w:r w:rsidRPr="00470C7C">
        <w:rPr>
          <w:rFonts w:eastAsia="Cambria" w:cs="Times New Roman"/>
          <w:i/>
          <w:szCs w:val="20"/>
          <w:lang w:val="es-ES_tradnl"/>
        </w:rPr>
        <w:t>. 26-44)</w:t>
      </w:r>
      <w:r w:rsidRPr="00470C7C">
        <w:rPr>
          <w:rFonts w:eastAsia="Cambria" w:cs="Times New Roman"/>
          <w:szCs w:val="20"/>
          <w:lang w:val="es-ES_tradnl"/>
        </w:rPr>
        <w:t xml:space="preserve">; </w:t>
      </w:r>
      <w:r w:rsidRPr="00470C7C">
        <w:rPr>
          <w:rFonts w:eastAsia="Cambria" w:cs="Times New Roman"/>
          <w:i/>
          <w:szCs w:val="20"/>
          <w:lang w:val="es-ES_tradnl"/>
        </w:rPr>
        <w:t>III)</w:t>
      </w:r>
      <w:r w:rsidRPr="00470C7C">
        <w:rPr>
          <w:rFonts w:eastAsia="Cambria" w:cs="Times New Roman"/>
          <w:szCs w:val="20"/>
          <w:lang w:val="es-ES_tradnl"/>
        </w:rPr>
        <w:t xml:space="preserve"> La pobreza como parte de la “posición económica” contemplada en la Convención Americana en el presente caso </w:t>
      </w:r>
      <w:r w:rsidRPr="00470C7C">
        <w:rPr>
          <w:rFonts w:eastAsia="Cambria" w:cs="Times New Roman"/>
          <w:i/>
          <w:szCs w:val="20"/>
          <w:lang w:val="es-ES_tradnl"/>
        </w:rPr>
        <w:t>(</w:t>
      </w:r>
      <w:proofErr w:type="spellStart"/>
      <w:r w:rsidRPr="00470C7C">
        <w:rPr>
          <w:rFonts w:eastAsia="Cambria" w:cs="Times New Roman"/>
          <w:i/>
          <w:szCs w:val="20"/>
          <w:lang w:val="es-ES_tradnl"/>
        </w:rPr>
        <w:t>párrs</w:t>
      </w:r>
      <w:proofErr w:type="spellEnd"/>
      <w:r w:rsidRPr="00470C7C">
        <w:rPr>
          <w:rFonts w:eastAsia="Cambria" w:cs="Times New Roman"/>
          <w:i/>
          <w:szCs w:val="20"/>
          <w:lang w:val="es-ES_tradnl"/>
        </w:rPr>
        <w:t>. 45-55);</w:t>
      </w:r>
      <w:r w:rsidRPr="00470C7C">
        <w:rPr>
          <w:rFonts w:eastAsia="Cambria" w:cs="Times New Roman"/>
          <w:szCs w:val="20"/>
          <w:lang w:val="es-ES_tradnl"/>
        </w:rPr>
        <w:t xml:space="preserve"> </w:t>
      </w:r>
      <w:r w:rsidRPr="00470C7C">
        <w:rPr>
          <w:rFonts w:eastAsia="Cambria" w:cs="System Font Regular"/>
          <w:i/>
          <w:szCs w:val="20"/>
          <w:lang w:val="es-ES_tradnl"/>
        </w:rPr>
        <w:t>IV)</w:t>
      </w:r>
      <w:r w:rsidRPr="00470C7C">
        <w:rPr>
          <w:rFonts w:eastAsia="Cambria" w:cs="System Font Regular"/>
          <w:szCs w:val="20"/>
          <w:lang w:val="es-ES_tradnl"/>
        </w:rPr>
        <w:t xml:space="preserve"> Las violaciones estructurales en el derecho internacional </w:t>
      </w:r>
      <w:r w:rsidRPr="00470C7C">
        <w:rPr>
          <w:rFonts w:eastAsia="Cambria" w:cs="System Font Regular"/>
          <w:i/>
          <w:szCs w:val="20"/>
          <w:lang w:val="es-ES_tradnl"/>
        </w:rPr>
        <w:t>(</w:t>
      </w:r>
      <w:proofErr w:type="spellStart"/>
      <w:r w:rsidRPr="00470C7C">
        <w:rPr>
          <w:rFonts w:eastAsia="Cambria" w:cs="System Font Regular"/>
          <w:i/>
          <w:szCs w:val="20"/>
          <w:lang w:val="es-ES_tradnl"/>
        </w:rPr>
        <w:t>párrs</w:t>
      </w:r>
      <w:proofErr w:type="spellEnd"/>
      <w:r w:rsidRPr="00470C7C">
        <w:rPr>
          <w:rFonts w:eastAsia="Cambria" w:cs="System Font Regular"/>
          <w:i/>
          <w:szCs w:val="20"/>
          <w:lang w:val="es-ES_tradnl"/>
        </w:rPr>
        <w:t>. 56-71)</w:t>
      </w:r>
      <w:r w:rsidRPr="00470C7C">
        <w:rPr>
          <w:rFonts w:eastAsia="Cambria" w:cs="System Font Regular"/>
          <w:szCs w:val="20"/>
          <w:lang w:val="es-ES_tradnl"/>
        </w:rPr>
        <w:t xml:space="preserve">; </w:t>
      </w:r>
      <w:r w:rsidRPr="00470C7C">
        <w:rPr>
          <w:rFonts w:eastAsia="Cambria" w:cs="System Font Regular"/>
          <w:i/>
          <w:szCs w:val="20"/>
          <w:lang w:val="es-ES_tradnl"/>
        </w:rPr>
        <w:t xml:space="preserve">V) </w:t>
      </w:r>
      <w:r w:rsidRPr="00470C7C">
        <w:rPr>
          <w:rFonts w:eastAsia="Cambria" w:cs="System Font Regular"/>
          <w:szCs w:val="20"/>
          <w:lang w:val="es-ES_tradnl"/>
        </w:rPr>
        <w:t>Discriminación estructural, indirecta y de hecho en la jurisprudencia de la Corte Interamericana (</w:t>
      </w:r>
      <w:proofErr w:type="spellStart"/>
      <w:r w:rsidRPr="00470C7C">
        <w:rPr>
          <w:rFonts w:eastAsia="Cambria" w:cs="System Font Regular"/>
          <w:szCs w:val="20"/>
          <w:lang w:val="es-ES_tradnl"/>
        </w:rPr>
        <w:t>párrs</w:t>
      </w:r>
      <w:proofErr w:type="spellEnd"/>
      <w:r w:rsidRPr="00470C7C">
        <w:rPr>
          <w:rFonts w:eastAsia="Cambria" w:cs="System Font Regular"/>
          <w:szCs w:val="20"/>
          <w:lang w:val="es-ES_tradnl"/>
        </w:rPr>
        <w:t xml:space="preserve">. 72-80); </w:t>
      </w:r>
      <w:r w:rsidRPr="00470C7C">
        <w:rPr>
          <w:rFonts w:eastAsia="Cambria" w:cs="System Font Regular"/>
          <w:i/>
          <w:szCs w:val="20"/>
          <w:lang w:val="es-ES_tradnl"/>
        </w:rPr>
        <w:t>VI)</w:t>
      </w:r>
      <w:r w:rsidRPr="00470C7C">
        <w:rPr>
          <w:rFonts w:eastAsia="Cambria" w:cs="System Font Regular"/>
          <w:szCs w:val="20"/>
          <w:lang w:val="es-ES_tradnl"/>
        </w:rPr>
        <w:t xml:space="preserve"> El alcance de la discriminación estructural histórica en el caso de los Trabajadores de la Hacienda Brasil Verde </w:t>
      </w:r>
      <w:r w:rsidRPr="00470C7C">
        <w:rPr>
          <w:rFonts w:eastAsia="Cambria" w:cs="Times New Roman"/>
          <w:i/>
          <w:szCs w:val="20"/>
          <w:lang w:val="es-ES_tradnl"/>
        </w:rPr>
        <w:t>(</w:t>
      </w:r>
      <w:proofErr w:type="spellStart"/>
      <w:r w:rsidRPr="00470C7C">
        <w:rPr>
          <w:rFonts w:eastAsia="Cambria" w:cs="Times New Roman"/>
          <w:i/>
          <w:szCs w:val="20"/>
          <w:lang w:val="es-ES_tradnl"/>
        </w:rPr>
        <w:t>párrs</w:t>
      </w:r>
      <w:proofErr w:type="spellEnd"/>
      <w:r w:rsidRPr="00470C7C">
        <w:rPr>
          <w:rFonts w:eastAsia="Cambria" w:cs="Times New Roman"/>
          <w:i/>
          <w:szCs w:val="20"/>
          <w:lang w:val="es-ES_tradnl"/>
        </w:rPr>
        <w:t>. 81-96)</w:t>
      </w:r>
      <w:r w:rsidRPr="00470C7C">
        <w:rPr>
          <w:rFonts w:eastAsia="Cambria" w:cs="System Font Regular"/>
          <w:i/>
          <w:szCs w:val="20"/>
          <w:lang w:val="es-ES_tradnl"/>
        </w:rPr>
        <w:t xml:space="preserve">, </w:t>
      </w:r>
      <w:r w:rsidRPr="00470C7C">
        <w:rPr>
          <w:rFonts w:eastAsia="Cambria" w:cs="System Font Regular"/>
          <w:szCs w:val="20"/>
          <w:lang w:val="es-ES_tradnl"/>
        </w:rPr>
        <w:t xml:space="preserve">y </w:t>
      </w:r>
      <w:r w:rsidRPr="00470C7C">
        <w:rPr>
          <w:rFonts w:eastAsia="Cambria" w:cs="Times New Roman"/>
          <w:i/>
          <w:szCs w:val="20"/>
          <w:lang w:val="es-ES_tradnl"/>
        </w:rPr>
        <w:t>VII)</w:t>
      </w:r>
      <w:r w:rsidRPr="00470C7C">
        <w:rPr>
          <w:rFonts w:eastAsia="Cambria" w:cs="Times New Roman"/>
          <w:szCs w:val="20"/>
          <w:lang w:val="es-ES_tradnl"/>
        </w:rPr>
        <w:t xml:space="preserve"> Conclusiones (</w:t>
      </w:r>
      <w:proofErr w:type="spellStart"/>
      <w:r w:rsidRPr="00470C7C">
        <w:rPr>
          <w:rFonts w:eastAsia="Cambria" w:cs="Times New Roman"/>
          <w:i/>
          <w:szCs w:val="20"/>
          <w:lang w:val="es-ES_tradnl"/>
        </w:rPr>
        <w:t>párrs</w:t>
      </w:r>
      <w:proofErr w:type="spellEnd"/>
      <w:r w:rsidRPr="00470C7C">
        <w:rPr>
          <w:rFonts w:eastAsia="Cambria" w:cs="Times New Roman"/>
          <w:i/>
          <w:szCs w:val="20"/>
          <w:lang w:val="es-ES_tradnl"/>
        </w:rPr>
        <w:t>. 97-100</w:t>
      </w:r>
      <w:r w:rsidRPr="00470C7C">
        <w:rPr>
          <w:rFonts w:eastAsia="Cambria" w:cs="Times New Roman"/>
          <w:szCs w:val="20"/>
          <w:lang w:val="es-ES_tradnl"/>
        </w:rPr>
        <w:t xml:space="preserve">). </w:t>
      </w:r>
    </w:p>
    <w:p w14:paraId="769758D0" w14:textId="77777777" w:rsidR="00130785" w:rsidRPr="00470C7C" w:rsidRDefault="00130785" w:rsidP="00130785">
      <w:pPr>
        <w:tabs>
          <w:tab w:val="clear" w:pos="4419"/>
          <w:tab w:val="clear" w:pos="8838"/>
        </w:tabs>
        <w:contextualSpacing/>
        <w:jc w:val="both"/>
        <w:rPr>
          <w:rFonts w:eastAsia="Cambria" w:cs="Times New Roman"/>
          <w:b/>
          <w:i/>
          <w:szCs w:val="20"/>
          <w:lang w:val="es-ES_tradnl"/>
        </w:rPr>
      </w:pPr>
    </w:p>
    <w:p w14:paraId="2737111C" w14:textId="77777777" w:rsidR="00130785" w:rsidRPr="00470C7C" w:rsidRDefault="00130785" w:rsidP="00130785">
      <w:pPr>
        <w:tabs>
          <w:tab w:val="clear" w:pos="4419"/>
          <w:tab w:val="clear" w:pos="8838"/>
        </w:tabs>
        <w:spacing w:line="360" w:lineRule="auto"/>
        <w:contextualSpacing/>
        <w:jc w:val="center"/>
        <w:rPr>
          <w:rFonts w:eastAsia="Cambria" w:cs="Times New Roman"/>
          <w:szCs w:val="20"/>
          <w:lang w:val="es-ES_tradnl"/>
        </w:rPr>
      </w:pPr>
      <w:r w:rsidRPr="00470C7C">
        <w:rPr>
          <w:rFonts w:eastAsia="Cambria" w:cs="Times New Roman"/>
          <w:szCs w:val="20"/>
          <w:lang w:val="es-ES_tradnl"/>
        </w:rPr>
        <w:t xml:space="preserve">I. LA POBREZA COMO PARTE DE LA PROHIBICIÓN DE DISCRIMINAR POR LA “POSICIÓN ECONÓMICA” EN LOS SISTEMAS DE PROTECCIÓN </w:t>
      </w:r>
    </w:p>
    <w:p w14:paraId="0698283B" w14:textId="77777777" w:rsidR="00130785" w:rsidRPr="00470C7C" w:rsidRDefault="00130785" w:rsidP="00130785">
      <w:pPr>
        <w:tabs>
          <w:tab w:val="clear" w:pos="4419"/>
          <w:tab w:val="clear" w:pos="8838"/>
        </w:tabs>
        <w:spacing w:line="360" w:lineRule="auto"/>
        <w:contextualSpacing/>
        <w:jc w:val="center"/>
        <w:rPr>
          <w:rFonts w:eastAsia="Cambria" w:cs="Times New Roman"/>
          <w:szCs w:val="20"/>
          <w:lang w:val="es-ES_tradnl"/>
        </w:rPr>
      </w:pPr>
      <w:r w:rsidRPr="00470C7C">
        <w:rPr>
          <w:rFonts w:eastAsia="Cambria" w:cs="Times New Roman"/>
          <w:szCs w:val="20"/>
          <w:lang w:val="es-ES_tradnl"/>
        </w:rPr>
        <w:t>DE DERECHOS HUMANOS</w:t>
      </w:r>
    </w:p>
    <w:p w14:paraId="164C16BC" w14:textId="77777777" w:rsidR="00130785" w:rsidRPr="00470C7C" w:rsidRDefault="00130785" w:rsidP="00130785">
      <w:pPr>
        <w:tabs>
          <w:tab w:val="clear" w:pos="4419"/>
          <w:tab w:val="clear" w:pos="8838"/>
        </w:tabs>
        <w:contextualSpacing/>
        <w:jc w:val="both"/>
        <w:rPr>
          <w:rFonts w:eastAsia="Cambria" w:cs="System Font Regular"/>
          <w:szCs w:val="20"/>
          <w:lang w:val="es-ES_tradnl"/>
        </w:rPr>
      </w:pPr>
    </w:p>
    <w:p w14:paraId="0010DFBA"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System Font Regular"/>
          <w:szCs w:val="20"/>
          <w:lang w:val="es-ES_tradnl"/>
        </w:rPr>
        <w:t>Tanto e</w:t>
      </w:r>
      <w:r w:rsidRPr="00470C7C">
        <w:rPr>
          <w:rFonts w:eastAsia="Cambria" w:cs="System Font Regular"/>
          <w:lang w:val="es-ES_tradnl"/>
        </w:rPr>
        <w:t>ste Tribunal Interamericano, como el Tribunal Europeo de Derechos Humanos (en adelante “TEDH” o “Tribunal Europeo”), han coincidido en que los tratados de derechos humanos son instrumentos vivos cuya interpretación tiene que acompañar la evolución de los tiempos y las reglas generales de interpretación consagradas en el artículo 29 de la Convención Americana, así como las establecidas por la Convención de Viena sobre el Derecho de los Tratados. Esta interpretación evolutiva no sólo debe aplicarse a la interpretación de los derechos establecidos en los numerales 3 al 26 de la Convención Americana, sino también debe tenerse en consideración para configurar categorías especiales de protección a la luz del artículo 1.1</w:t>
      </w:r>
      <w:r w:rsidRPr="00470C7C">
        <w:rPr>
          <w:rFonts w:eastAsia="Cambria" w:cs="Times New Roman"/>
          <w:szCs w:val="20"/>
          <w:vertAlign w:val="superscript"/>
          <w:lang w:val="es-ES_tradnl"/>
        </w:rPr>
        <w:footnoteReference w:id="540"/>
      </w:r>
      <w:r w:rsidRPr="00470C7C">
        <w:rPr>
          <w:rFonts w:eastAsia="Cambria" w:cs="System Font Regular"/>
          <w:lang w:val="es-ES_tradnl"/>
        </w:rPr>
        <w:t xml:space="preserve">. </w:t>
      </w:r>
    </w:p>
    <w:p w14:paraId="2263833E" w14:textId="77777777" w:rsidR="00130785" w:rsidRPr="00470C7C" w:rsidRDefault="00130785" w:rsidP="00130785">
      <w:pPr>
        <w:tabs>
          <w:tab w:val="clear" w:pos="4419"/>
          <w:tab w:val="clear" w:pos="8838"/>
        </w:tabs>
        <w:rPr>
          <w:rFonts w:eastAsia="MS Mincho" w:cs="Times New Roman"/>
          <w:sz w:val="24"/>
          <w:szCs w:val="24"/>
          <w:lang w:val="es-ES_tradnl" w:eastAsia="es-ES"/>
        </w:rPr>
      </w:pPr>
    </w:p>
    <w:p w14:paraId="5EAE9C7E"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Times New Roman"/>
          <w:lang w:val="es-ES_tradnl"/>
        </w:rPr>
        <w:t>Así, al interpretar el Pacto de San José debe siempre elegirse la alternativa más favorable para la tutela de los derechos protegidos por dicho tratado, según el principio de la norma más favorable al ser humano</w:t>
      </w:r>
      <w:r w:rsidRPr="00470C7C">
        <w:rPr>
          <w:rFonts w:eastAsia="Cambria" w:cs="Times New Roman"/>
          <w:szCs w:val="20"/>
          <w:vertAlign w:val="superscript"/>
          <w:lang w:val="es-ES_tradnl"/>
        </w:rPr>
        <w:footnoteReference w:id="541"/>
      </w:r>
      <w:r w:rsidRPr="00470C7C">
        <w:rPr>
          <w:rFonts w:eastAsia="Cambria" w:cs="Times New Roman"/>
          <w:lang w:val="es-ES_tradnl"/>
        </w:rPr>
        <w:t xml:space="preserve">.  </w:t>
      </w:r>
      <w:r w:rsidRPr="00470C7C">
        <w:rPr>
          <w:rFonts w:eastAsia="Cambria" w:cs="Tahoma"/>
          <w:lang w:val="es-ES_tradnl"/>
        </w:rPr>
        <w:t xml:space="preserve">En su labor interpretativa, la Corte IDH, ha expresado que </w:t>
      </w:r>
      <w:r w:rsidRPr="00470C7C">
        <w:rPr>
          <w:rFonts w:eastAsia="Cambria" w:cs="Times New Roman"/>
          <w:szCs w:val="20"/>
          <w:lang w:val="es-ES_tradnl"/>
        </w:rPr>
        <w:t xml:space="preserve">la Convención Americana no contiene una definición explícita del concepto de “discriminación” ni de qué grupos “son sometidos a discriminación”; sin embargo, a partir de diversas referencias en el </w:t>
      </w:r>
      <w:r w:rsidRPr="00470C7C">
        <w:rPr>
          <w:rFonts w:eastAsia="Cambria" w:cs="Times New Roman"/>
          <w:i/>
          <w:iCs/>
          <w:szCs w:val="20"/>
          <w:lang w:val="es-ES_tradnl"/>
        </w:rPr>
        <w:t xml:space="preserve">corpus iuris </w:t>
      </w:r>
      <w:r w:rsidRPr="00470C7C">
        <w:rPr>
          <w:rFonts w:eastAsia="Cambria" w:cs="Times New Roman"/>
          <w:szCs w:val="20"/>
          <w:lang w:val="es-ES_tradnl"/>
        </w:rPr>
        <w:t>en la materia, el Tribunal Interamericano ha señalado que la discriminación se relaciona con:</w:t>
      </w:r>
      <w:r w:rsidRPr="00470C7C">
        <w:rPr>
          <w:rFonts w:eastAsia="Cambria" w:cs="Times New Roman"/>
          <w:b/>
          <w:szCs w:val="20"/>
          <w:lang w:val="es-ES_tradnl"/>
        </w:rPr>
        <w:t xml:space="preserve"> </w:t>
      </w:r>
    </w:p>
    <w:p w14:paraId="6BB67360" w14:textId="77777777" w:rsidR="00130785" w:rsidRPr="00470C7C" w:rsidRDefault="00130785" w:rsidP="00130785">
      <w:pPr>
        <w:tabs>
          <w:tab w:val="clear" w:pos="4419"/>
          <w:tab w:val="clear" w:pos="8838"/>
        </w:tabs>
        <w:contextualSpacing/>
        <w:jc w:val="both"/>
        <w:rPr>
          <w:rFonts w:eastAsia="Cambria" w:cs="System Font Regular"/>
          <w:i/>
          <w:szCs w:val="20"/>
          <w:lang w:val="es-ES_tradnl"/>
        </w:rPr>
      </w:pPr>
    </w:p>
    <w:p w14:paraId="51750F67" w14:textId="77777777" w:rsidR="00130785" w:rsidRPr="00470C7C" w:rsidRDefault="00130785" w:rsidP="00130785">
      <w:pPr>
        <w:tabs>
          <w:tab w:val="clear" w:pos="4419"/>
          <w:tab w:val="clear" w:pos="8838"/>
        </w:tabs>
        <w:spacing w:before="100" w:beforeAutospacing="1" w:after="100" w:afterAutospacing="1"/>
        <w:ind w:left="708" w:right="758"/>
        <w:contextualSpacing/>
        <w:jc w:val="both"/>
        <w:rPr>
          <w:rFonts w:eastAsia="Cambria" w:cs="Times New Roman"/>
          <w:i/>
          <w:sz w:val="16"/>
          <w:szCs w:val="16"/>
          <w:lang w:val="es-ES_tradnl"/>
        </w:rPr>
      </w:pPr>
      <w:r w:rsidRPr="00470C7C">
        <w:rPr>
          <w:rFonts w:eastAsia="Cambria" w:cs="Times New Roman"/>
          <w:i/>
          <w:sz w:val="16"/>
          <w:szCs w:val="16"/>
          <w:lang w:val="es-ES_tradnl"/>
        </w:rPr>
        <w:t>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r w:rsidRPr="00470C7C">
        <w:rPr>
          <w:rFonts w:eastAsia="Cambria" w:cs="Times New Roman"/>
          <w:i/>
          <w:sz w:val="16"/>
          <w:szCs w:val="20"/>
          <w:vertAlign w:val="superscript"/>
          <w:lang w:val="es-ES_tradnl"/>
        </w:rPr>
        <w:footnoteReference w:id="542"/>
      </w:r>
      <w:r w:rsidRPr="00470C7C">
        <w:rPr>
          <w:rFonts w:eastAsia="Cambria" w:cs="Times New Roman"/>
          <w:i/>
          <w:sz w:val="16"/>
          <w:szCs w:val="16"/>
          <w:lang w:val="es-ES_tradnl"/>
        </w:rPr>
        <w:t xml:space="preserve">. </w:t>
      </w:r>
    </w:p>
    <w:p w14:paraId="12DCC10E" w14:textId="77777777" w:rsidR="00130785" w:rsidRPr="00470C7C" w:rsidRDefault="00130785" w:rsidP="00130785">
      <w:pPr>
        <w:tabs>
          <w:tab w:val="clear" w:pos="4419"/>
          <w:tab w:val="clear" w:pos="8838"/>
        </w:tabs>
        <w:spacing w:before="100" w:beforeAutospacing="1" w:after="100" w:afterAutospacing="1"/>
        <w:ind w:left="708" w:right="758"/>
        <w:contextualSpacing/>
        <w:jc w:val="both"/>
        <w:rPr>
          <w:rFonts w:eastAsia="Cambria" w:cs="Times New Roman"/>
          <w:i/>
          <w:sz w:val="16"/>
          <w:szCs w:val="16"/>
          <w:lang w:val="es-ES_tradnl"/>
        </w:rPr>
      </w:pPr>
    </w:p>
    <w:p w14:paraId="39E6F95F" w14:textId="77777777" w:rsidR="00130785" w:rsidRPr="00470C7C" w:rsidRDefault="00130785" w:rsidP="008B0BCC">
      <w:pPr>
        <w:numPr>
          <w:ilvl w:val="0"/>
          <w:numId w:val="26"/>
        </w:numPr>
        <w:tabs>
          <w:tab w:val="clear" w:pos="4419"/>
          <w:tab w:val="clear" w:pos="8838"/>
        </w:tabs>
        <w:spacing w:before="100" w:beforeAutospacing="1" w:after="100" w:afterAutospacing="1"/>
        <w:ind w:right="49"/>
        <w:contextualSpacing/>
        <w:jc w:val="both"/>
        <w:rPr>
          <w:rFonts w:eastAsia="Cambria" w:cs="Times New Roman"/>
          <w:i/>
          <w:szCs w:val="20"/>
          <w:lang w:val="es-ES_tradnl"/>
        </w:rPr>
      </w:pPr>
      <w:r w:rsidRPr="00470C7C">
        <w:rPr>
          <w:rFonts w:eastAsia="Cambria" w:cs="Times New Roman"/>
          <w:szCs w:val="20"/>
          <w:lang w:val="es-ES_tradnl"/>
        </w:rPr>
        <w:t xml:space="preserve">Bajo este panorama, generalmente, el derecho internacional y el derecho constitucional han identificado un conjunto determinado de grupos por los cuales la discriminación, con base en esos motivos, tendría que ser justificada de manera objetiva y razonable para considerar que no se viola el derecho a la igualdad en cuanto al disfrute y garantía de los derechos humanos reconocidos en los tratados internacionales o en las constituciones. No obstante, lo cierto es que este listado no es absoluto ni literal, por lo que en muchos casos —como en el que nos ocupa— será necesario delimitar el contenido de esas categorías para ser aplicadas en el caso concreto. </w:t>
      </w:r>
    </w:p>
    <w:p w14:paraId="6CF98FB2" w14:textId="77777777" w:rsidR="00130785" w:rsidRPr="00470C7C" w:rsidRDefault="00130785" w:rsidP="00130785">
      <w:pPr>
        <w:tabs>
          <w:tab w:val="clear" w:pos="4419"/>
          <w:tab w:val="clear" w:pos="8838"/>
        </w:tabs>
        <w:spacing w:before="100" w:beforeAutospacing="1" w:after="100" w:afterAutospacing="1"/>
        <w:ind w:right="49"/>
        <w:contextualSpacing/>
        <w:jc w:val="both"/>
        <w:rPr>
          <w:rFonts w:eastAsia="Cambria" w:cs="Times New Roman"/>
          <w:i/>
          <w:szCs w:val="20"/>
          <w:lang w:val="es-ES_tradnl"/>
        </w:rPr>
      </w:pPr>
    </w:p>
    <w:p w14:paraId="3D0A85DE" w14:textId="77777777" w:rsidR="00130785" w:rsidRPr="00470C7C" w:rsidRDefault="00130785" w:rsidP="008B0BCC">
      <w:pPr>
        <w:numPr>
          <w:ilvl w:val="0"/>
          <w:numId w:val="26"/>
        </w:numPr>
        <w:tabs>
          <w:tab w:val="clear" w:pos="4419"/>
          <w:tab w:val="clear" w:pos="8838"/>
        </w:tabs>
        <w:spacing w:before="100" w:beforeAutospacing="1" w:after="100" w:afterAutospacing="1"/>
        <w:ind w:right="49"/>
        <w:contextualSpacing/>
        <w:jc w:val="both"/>
        <w:rPr>
          <w:rFonts w:eastAsia="Cambria" w:cs="Times New Roman"/>
          <w:i/>
          <w:szCs w:val="20"/>
          <w:lang w:val="es-ES_tradnl"/>
        </w:rPr>
      </w:pPr>
      <w:r w:rsidRPr="00470C7C">
        <w:rPr>
          <w:rFonts w:eastAsia="Cambria" w:cs="Times New Roman"/>
          <w:szCs w:val="20"/>
          <w:lang w:val="es-ES_tradnl"/>
        </w:rPr>
        <w:t xml:space="preserve">Así, por ejemplo, la “pobreza” no ha sido reconocida de manera expresa como una categoría de especial protección; ello no significa, sin embargo, que la pobreza no pueda ser valorada como parte de alguna categoría que sí se encuentre reconocida de manera expresa o bien que se incorpore como parte de “otra condición social”. En esta tesitura, los diversos sistemas protección de derechos humanos (regionales y universal) tienen sus particularidades en cuanto al reconocimiento de la pobreza como parte de la categoría de prohibición de discriminación “por posición económica”; lo anterior, no ha sido impedimento para que se permeen obligaciones en cuanto a la erradicación de la pobreza, si bien no como parte de una categoría de especial protección, sí como una situación agravante de las condiciones sociales en las que viven las personas, y que pueden variar caso a caso. </w:t>
      </w:r>
    </w:p>
    <w:p w14:paraId="57BE6632"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
    <w:p w14:paraId="3E63701E"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r w:rsidRPr="00470C7C">
        <w:rPr>
          <w:rFonts w:eastAsia="Cambria" w:cs="Times New Roman"/>
          <w:i/>
          <w:szCs w:val="20"/>
          <w:lang w:val="es-ES_tradnl"/>
        </w:rPr>
        <w:t>i) Sistema Europeo de Derechos Humanos</w:t>
      </w:r>
    </w:p>
    <w:p w14:paraId="07D11494" w14:textId="77777777" w:rsidR="00130785" w:rsidRPr="00470C7C" w:rsidRDefault="00130785" w:rsidP="00130785">
      <w:pPr>
        <w:tabs>
          <w:tab w:val="clear" w:pos="4419"/>
          <w:tab w:val="clear" w:pos="8838"/>
        </w:tabs>
        <w:rPr>
          <w:rFonts w:eastAsia="MS Mincho" w:cs="System Font Regular"/>
          <w:b/>
          <w:i/>
          <w:sz w:val="24"/>
          <w:szCs w:val="20"/>
          <w:lang w:val="es-ES_tradnl" w:eastAsia="es-ES"/>
        </w:rPr>
      </w:pPr>
    </w:p>
    <w:p w14:paraId="7B0F37E5"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cuanto al Sistema Europeo de Derechos Humanos, en el artículo 14 del Convenio Europeo de Derechos Humanos (en adelante “el Convenio Europeo” o “el CEDH”) y en el artículo 1º del Protocolo 12 al CEDH, se establecen las cláusulas de igual protección (subordinada y autónoma, respetivamente). Dichas disposiciones establecen: </w:t>
      </w:r>
    </w:p>
    <w:p w14:paraId="11E04CFF" w14:textId="77777777" w:rsidR="00130785" w:rsidRPr="00470C7C" w:rsidRDefault="00130785" w:rsidP="00130785">
      <w:pPr>
        <w:tabs>
          <w:tab w:val="clear" w:pos="4419"/>
          <w:tab w:val="clear" w:pos="8838"/>
        </w:tabs>
        <w:spacing w:before="100" w:beforeAutospacing="1" w:after="100" w:afterAutospacing="1"/>
        <w:ind w:left="360"/>
        <w:jc w:val="both"/>
        <w:rPr>
          <w:rFonts w:eastAsia="MS Mincho" w:cs="Times New Roman"/>
          <w:i/>
          <w:sz w:val="16"/>
          <w:szCs w:val="16"/>
          <w:lang w:val="es-ES_tradnl" w:eastAsia="es-ES"/>
        </w:rPr>
      </w:pPr>
      <w:r w:rsidRPr="00470C7C">
        <w:rPr>
          <w:rFonts w:eastAsia="MS Mincho" w:cs="Times New Roman"/>
          <w:bCs/>
          <w:i/>
          <w:sz w:val="16"/>
          <w:szCs w:val="16"/>
          <w:lang w:val="es-ES_tradnl" w:eastAsia="es-ES"/>
        </w:rPr>
        <w:t xml:space="preserve">ARTÍCULO 14. Prohibición de discriminación. </w:t>
      </w:r>
      <w:r w:rsidRPr="00470C7C">
        <w:rPr>
          <w:rFonts w:eastAsia="MS Mincho" w:cs="Times New Roman"/>
          <w:i/>
          <w:sz w:val="16"/>
          <w:szCs w:val="16"/>
          <w:lang w:val="es-ES_tradnl" w:eastAsia="es-ES"/>
        </w:rPr>
        <w:t>El goce de los derechos y libertades reconocidos en el presente Convenio ha de ser asegurado sin distinción alguna, especialmente por razones de sexo, raza, color, lengua, religión, opiniones políticas u otras, origen nacional o social, pertenencia a una minoría nacional, fortuna, nacimiento o cualquier otra situación</w:t>
      </w:r>
      <w:r w:rsidRPr="00470C7C">
        <w:rPr>
          <w:rFonts w:eastAsia="MS Mincho" w:cs="Times New Roman"/>
          <w:i/>
          <w:sz w:val="16"/>
          <w:szCs w:val="20"/>
          <w:vertAlign w:val="superscript"/>
          <w:lang w:val="es-ES_tradnl" w:eastAsia="es-ES"/>
        </w:rPr>
        <w:footnoteReference w:id="543"/>
      </w:r>
      <w:r w:rsidRPr="00470C7C">
        <w:rPr>
          <w:rFonts w:eastAsia="MS Mincho" w:cs="Times New Roman"/>
          <w:i/>
          <w:sz w:val="16"/>
          <w:szCs w:val="16"/>
          <w:lang w:val="es-ES_tradnl" w:eastAsia="es-ES"/>
        </w:rPr>
        <w:t xml:space="preserve">. </w:t>
      </w:r>
    </w:p>
    <w:p w14:paraId="64F68F67" w14:textId="77777777" w:rsidR="00130785" w:rsidRPr="00470C7C" w:rsidRDefault="00130785" w:rsidP="00130785">
      <w:pPr>
        <w:tabs>
          <w:tab w:val="clear" w:pos="4419"/>
          <w:tab w:val="clear" w:pos="8838"/>
        </w:tabs>
        <w:spacing w:before="100" w:beforeAutospacing="1" w:after="100" w:afterAutospacing="1"/>
        <w:ind w:left="360"/>
        <w:jc w:val="both"/>
        <w:rPr>
          <w:rFonts w:eastAsia="MS Mincho" w:cs="Times New Roman"/>
          <w:i/>
          <w:sz w:val="16"/>
          <w:szCs w:val="16"/>
          <w:lang w:val="es-ES_tradnl" w:eastAsia="es-ES"/>
        </w:rPr>
      </w:pPr>
      <w:r w:rsidRPr="00470C7C">
        <w:rPr>
          <w:rFonts w:eastAsia="MS Mincho" w:cs="Times New Roman"/>
          <w:bCs/>
          <w:i/>
          <w:sz w:val="16"/>
          <w:szCs w:val="16"/>
          <w:lang w:val="es-ES_tradnl" w:eastAsia="es-ES"/>
        </w:rPr>
        <w:t xml:space="preserve">ARTÍCULO 1 del Protocolo 12. Prohibición general de la discriminación. </w:t>
      </w:r>
      <w:r w:rsidRPr="00470C7C">
        <w:rPr>
          <w:rFonts w:eastAsia="MS Mincho" w:cs="Times New Roman"/>
          <w:i/>
          <w:sz w:val="16"/>
          <w:szCs w:val="16"/>
          <w:lang w:val="es-ES_tradnl" w:eastAsia="es-ES"/>
        </w:rPr>
        <w:t>1. El goce de los derechos reconocidos por la ley ha de ser asegurado sin discriminación alguna, especialmente por razones de sexo, raza, color, lengua, religión, opiniones políticas o de otro carácter, origen nacional o social, pertenencia a una minoría nacional, fortuna, nacimiento o cualquier otra situación</w:t>
      </w:r>
      <w:r w:rsidRPr="00470C7C">
        <w:rPr>
          <w:rFonts w:eastAsia="MS Mincho" w:cs="Times New Roman"/>
          <w:i/>
          <w:sz w:val="16"/>
          <w:szCs w:val="20"/>
          <w:vertAlign w:val="superscript"/>
          <w:lang w:val="es-ES_tradnl" w:eastAsia="es-ES"/>
        </w:rPr>
        <w:footnoteReference w:id="544"/>
      </w:r>
      <w:r w:rsidRPr="00470C7C">
        <w:rPr>
          <w:rFonts w:eastAsia="MS Mincho" w:cs="Times New Roman"/>
          <w:i/>
          <w:sz w:val="16"/>
          <w:szCs w:val="16"/>
          <w:lang w:val="es-ES_tradnl" w:eastAsia="es-ES"/>
        </w:rPr>
        <w:t xml:space="preserve">. </w:t>
      </w:r>
    </w:p>
    <w:p w14:paraId="61E8482B" w14:textId="77777777" w:rsidR="00130785" w:rsidRPr="00470C7C" w:rsidRDefault="00130785" w:rsidP="008B0BCC">
      <w:pPr>
        <w:numPr>
          <w:ilvl w:val="0"/>
          <w:numId w:val="26"/>
        </w:numPr>
        <w:tabs>
          <w:tab w:val="clear" w:pos="4419"/>
          <w:tab w:val="clear" w:pos="8838"/>
        </w:tabs>
        <w:contextualSpacing/>
        <w:jc w:val="both"/>
        <w:rPr>
          <w:rFonts w:eastAsia="Cambria" w:cs="Arial"/>
          <w:szCs w:val="20"/>
          <w:lang w:val="es-ES_tradnl"/>
        </w:rPr>
      </w:pPr>
      <w:r w:rsidRPr="00470C7C">
        <w:rPr>
          <w:rFonts w:eastAsia="Cambria" w:cs="Arial"/>
          <w:szCs w:val="20"/>
          <w:lang w:val="es-ES_tradnl"/>
        </w:rPr>
        <w:t>En relación al alcance del artículo 14 del Convenio Europeo (Prohibición de discriminación a la luz de las disposiciones de la Convención) y del artículo 1 del Protocolo No. 12 (Prohibición de discriminación a la luz de la normativa interna), el Tribunal Europeo ha precisado que a pesar de la “diferencia” de alcance entre las mismas (disposiciones de la Convención y la ley interna), la interpretación de “prohibición de discriminación” es idéntica entre ambas disposiciones; así, el Tribunal Europeo aplica la misma interpretación sobre la prohibición de discriminación que ha desarrollado a la luz del artículo 14 del Convenio Europeo para el artículo 1 del Protocolo No. 12</w:t>
      </w:r>
      <w:r w:rsidRPr="00470C7C">
        <w:rPr>
          <w:rFonts w:eastAsia="Cambria" w:cs="Arial"/>
          <w:szCs w:val="20"/>
          <w:vertAlign w:val="superscript"/>
          <w:lang w:val="es-ES_tradnl"/>
        </w:rPr>
        <w:footnoteReference w:id="545"/>
      </w:r>
      <w:r w:rsidRPr="00470C7C">
        <w:rPr>
          <w:rFonts w:eastAsia="Cambria" w:cs="Arial"/>
          <w:szCs w:val="20"/>
          <w:lang w:val="es-ES_tradnl"/>
        </w:rPr>
        <w:t>.</w:t>
      </w:r>
    </w:p>
    <w:p w14:paraId="27258D16" w14:textId="77777777" w:rsidR="00130785" w:rsidRPr="00470C7C" w:rsidRDefault="00130785" w:rsidP="00130785">
      <w:pPr>
        <w:tabs>
          <w:tab w:val="clear" w:pos="4419"/>
          <w:tab w:val="clear" w:pos="8838"/>
        </w:tabs>
        <w:contextualSpacing/>
        <w:jc w:val="both"/>
        <w:rPr>
          <w:rFonts w:eastAsia="Cambria" w:cs="System Font Regular"/>
          <w:b/>
          <w:i/>
          <w:szCs w:val="20"/>
          <w:lang w:val="es-ES_tradnl"/>
        </w:rPr>
      </w:pPr>
    </w:p>
    <w:p w14:paraId="66A25B4F"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i/>
          <w:szCs w:val="20"/>
          <w:lang w:val="es-ES_tradnl"/>
        </w:rPr>
      </w:pPr>
      <w:r w:rsidRPr="00470C7C">
        <w:rPr>
          <w:rFonts w:eastAsia="Cambria" w:cs="Times New Roman"/>
          <w:szCs w:val="20"/>
          <w:lang w:val="es-ES_tradnl"/>
        </w:rPr>
        <w:t xml:space="preserve">Con independencia de lo anterior, el Convenio Europeo no contiene la discriminación por posición económica o por pobreza de manera expresa. Lo anterior no ha sido obstáculo para que el Tribunal Europeo haya desarrollado jurisprudencia respecto a las condiciones económicas que muchas de las víctimas han enfrentado. </w:t>
      </w:r>
    </w:p>
    <w:p w14:paraId="7D95C920" w14:textId="77777777" w:rsidR="00130785" w:rsidRPr="00470C7C" w:rsidRDefault="00130785" w:rsidP="00130785">
      <w:pPr>
        <w:tabs>
          <w:tab w:val="clear" w:pos="4419"/>
          <w:tab w:val="clear" w:pos="8838"/>
        </w:tabs>
        <w:contextualSpacing/>
        <w:jc w:val="both"/>
        <w:rPr>
          <w:rFonts w:eastAsia="Cambria" w:cs="System Font Regular"/>
          <w:b/>
          <w:i/>
          <w:szCs w:val="20"/>
          <w:lang w:val="es-ES_tradnl"/>
        </w:rPr>
      </w:pPr>
    </w:p>
    <w:p w14:paraId="7651D23F"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i/>
          <w:szCs w:val="20"/>
          <w:lang w:val="es-ES_tradnl"/>
        </w:rPr>
      </w:pPr>
      <w:r w:rsidRPr="00470C7C">
        <w:rPr>
          <w:rFonts w:eastAsia="Cambria" w:cs="System Font Regular"/>
          <w:szCs w:val="20"/>
          <w:lang w:val="es-ES_tradnl"/>
        </w:rPr>
        <w:t>En este sentido, el artículo 14 del CEDH, ha sido asociado de manera implícita, accesoria e indirecta respecto de derechos y libertades protegidos por el CEDH. Así, la prohibición de discriminación contemplada en el Convenio Europeo se ha relacionado con el derecho a la vida (art. 2 del CEDH) por las condiciones de vida o asistencia</w:t>
      </w:r>
      <w:r w:rsidRPr="00470C7C">
        <w:rPr>
          <w:rFonts w:eastAsia="Cambria" w:cs="Times New Roman"/>
          <w:szCs w:val="20"/>
          <w:vertAlign w:val="superscript"/>
          <w:lang w:val="es-ES_tradnl"/>
        </w:rPr>
        <w:footnoteReference w:id="546"/>
      </w:r>
      <w:r w:rsidRPr="00470C7C">
        <w:rPr>
          <w:rFonts w:eastAsia="Cambria" w:cs="System Font Regular"/>
          <w:szCs w:val="20"/>
          <w:lang w:val="es-ES_tradnl"/>
        </w:rPr>
        <w:t>; la prohibición de tratos crueles, inhumanos o degradantes o el respeto a la vida privada y familiar (arts. 3 y 8 del CEDH) relacionándolo con un nivel de vida digna</w:t>
      </w:r>
      <w:r w:rsidRPr="00470C7C">
        <w:rPr>
          <w:rFonts w:eastAsia="Cambria" w:cs="Times New Roman"/>
          <w:szCs w:val="20"/>
          <w:vertAlign w:val="superscript"/>
          <w:lang w:val="es-ES_tradnl"/>
        </w:rPr>
        <w:footnoteReference w:id="547"/>
      </w:r>
      <w:r w:rsidRPr="00470C7C">
        <w:rPr>
          <w:rFonts w:eastAsia="Cambria" w:cs="System Font Regular"/>
          <w:szCs w:val="20"/>
          <w:lang w:val="es-ES_tradnl"/>
        </w:rPr>
        <w:t>,</w:t>
      </w:r>
      <w:r w:rsidRPr="00470C7C">
        <w:rPr>
          <w:rFonts w:eastAsia="Cambria" w:cs="Times New Roman"/>
          <w:lang w:val="es-ES_tradnl"/>
        </w:rPr>
        <w:t xml:space="preserve"> o el derecho a la protección de la vida privada y familiar (art. 8 del CEDH) respecto de la privación de los derechos custodia de niñas y niños y su colocación en una institución estatal</w:t>
      </w:r>
      <w:r w:rsidRPr="00470C7C">
        <w:rPr>
          <w:rFonts w:eastAsia="Cambria" w:cs="Times New Roman"/>
          <w:szCs w:val="20"/>
          <w:vertAlign w:val="superscript"/>
          <w:lang w:val="es-ES_tradnl"/>
        </w:rPr>
        <w:footnoteReference w:id="548"/>
      </w:r>
      <w:r w:rsidRPr="00470C7C">
        <w:rPr>
          <w:rFonts w:eastAsia="Cambria" w:cs="Times New Roman"/>
          <w:lang w:val="es-ES_tradnl"/>
        </w:rPr>
        <w:t xml:space="preserve">  y el derecho de propiedad (art. 1 del Protocolo No. 1 del CEDH)</w:t>
      </w:r>
      <w:r w:rsidRPr="00470C7C">
        <w:rPr>
          <w:rFonts w:eastAsia="Cambria" w:cs="Times New Roman"/>
          <w:szCs w:val="20"/>
          <w:vertAlign w:val="superscript"/>
          <w:lang w:val="es-ES_tradnl"/>
        </w:rPr>
        <w:footnoteReference w:id="549"/>
      </w:r>
      <w:r w:rsidRPr="00470C7C">
        <w:rPr>
          <w:rFonts w:eastAsia="Cambria" w:cs="Times New Roman"/>
          <w:lang w:val="es-ES_tradnl"/>
        </w:rPr>
        <w:t>.</w:t>
      </w:r>
    </w:p>
    <w:p w14:paraId="3BFBC461" w14:textId="77777777" w:rsidR="00130785" w:rsidRPr="00470C7C" w:rsidRDefault="00130785" w:rsidP="00130785">
      <w:pPr>
        <w:tabs>
          <w:tab w:val="clear" w:pos="4419"/>
          <w:tab w:val="clear" w:pos="8838"/>
        </w:tabs>
        <w:rPr>
          <w:rFonts w:eastAsia="MS Mincho" w:cs="System Font Regular"/>
          <w:b/>
          <w:i/>
          <w:sz w:val="24"/>
          <w:szCs w:val="20"/>
          <w:lang w:val="es-ES_tradnl" w:eastAsia="es-ES"/>
        </w:rPr>
      </w:pPr>
    </w:p>
    <w:p w14:paraId="44A9A311"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i/>
          <w:szCs w:val="20"/>
          <w:lang w:val="es-ES_tradnl"/>
        </w:rPr>
      </w:pPr>
      <w:r w:rsidRPr="00470C7C">
        <w:rPr>
          <w:rFonts w:eastAsia="Cambria" w:cs="System Font Regular"/>
          <w:szCs w:val="20"/>
          <w:lang w:val="es-ES_tradnl"/>
        </w:rPr>
        <w:t xml:space="preserve">De igual manera, en el seno del Sistema Europeo, un dato sobresaliente lo encontramos en la Carta Social Europea, </w:t>
      </w:r>
      <w:r w:rsidRPr="00470C7C">
        <w:rPr>
          <w:rFonts w:eastAsia="Cambria" w:cs="Times New Roman"/>
          <w:lang w:val="es-ES_tradnl"/>
        </w:rPr>
        <w:t xml:space="preserve">en el artículo 30, que protege </w:t>
      </w:r>
      <w:r w:rsidRPr="00470C7C">
        <w:rPr>
          <w:rFonts w:eastAsia="Cambria" w:cs="Times New Roman"/>
          <w:i/>
          <w:lang w:val="es-ES_tradnl"/>
        </w:rPr>
        <w:t xml:space="preserve">a las personas contra la pobreza y la exclusión social, </w:t>
      </w:r>
      <w:r w:rsidRPr="00470C7C">
        <w:rPr>
          <w:rFonts w:eastAsia="Cambria" w:cs="Times New Roman"/>
          <w:lang w:val="es-ES_tradnl"/>
        </w:rPr>
        <w:t xml:space="preserve">por lo que los Estados se comprometen “a adoptar medidas en el marco de un planteamiento global y coordinado para promover el acceso efectivo, en particular al empleo, a la vivienda, a la formación, a la enseñanza, a la cultura, a la asistencia social y médica, </w:t>
      </w:r>
      <w:r w:rsidRPr="00470C7C">
        <w:rPr>
          <w:rFonts w:eastAsia="Cambria" w:cs="Times New Roman"/>
          <w:i/>
          <w:lang w:val="es-ES_tradnl"/>
        </w:rPr>
        <w:t>de las personas que se encuentren o corran el riesgo de encontrarse en una situación de exclusión social o de pobreza, así como de sus familias</w:t>
      </w:r>
      <w:r w:rsidRPr="00470C7C">
        <w:rPr>
          <w:rFonts w:eastAsia="Cambria" w:cs="Times New Roman"/>
          <w:lang w:val="es-ES_tradnl"/>
        </w:rPr>
        <w:t>”</w:t>
      </w:r>
      <w:r w:rsidRPr="00470C7C">
        <w:rPr>
          <w:rFonts w:eastAsia="Cambria" w:cs="Times New Roman"/>
          <w:szCs w:val="20"/>
          <w:vertAlign w:val="superscript"/>
          <w:lang w:val="es-ES_tradnl"/>
        </w:rPr>
        <w:footnoteReference w:id="550"/>
      </w:r>
      <w:r w:rsidRPr="00470C7C">
        <w:rPr>
          <w:rFonts w:eastAsia="Cambria" w:cs="Times New Roman"/>
          <w:lang w:val="es-ES_tradnl"/>
        </w:rPr>
        <w:t xml:space="preserve">. </w:t>
      </w:r>
    </w:p>
    <w:p w14:paraId="3AE1973F" w14:textId="77777777" w:rsidR="00130785" w:rsidRPr="00470C7C" w:rsidRDefault="00130785" w:rsidP="00130785">
      <w:pPr>
        <w:tabs>
          <w:tab w:val="clear" w:pos="4419"/>
          <w:tab w:val="clear" w:pos="8838"/>
        </w:tabs>
        <w:rPr>
          <w:rFonts w:eastAsia="MS Mincho" w:cs="Times New Roman"/>
          <w:sz w:val="24"/>
          <w:szCs w:val="24"/>
          <w:lang w:val="es-ES_tradnl" w:eastAsia="es-ES"/>
        </w:rPr>
      </w:pPr>
    </w:p>
    <w:p w14:paraId="7B741E14"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i/>
          <w:szCs w:val="20"/>
          <w:lang w:val="es-ES_tradnl"/>
        </w:rPr>
      </w:pPr>
      <w:r w:rsidRPr="00470C7C">
        <w:rPr>
          <w:rFonts w:eastAsia="Cambria" w:cs="Times New Roman"/>
          <w:lang w:val="es-ES_tradnl"/>
        </w:rPr>
        <w:t xml:space="preserve">Este precepto de la </w:t>
      </w:r>
      <w:r w:rsidRPr="00470C7C">
        <w:rPr>
          <w:rFonts w:eastAsia="Cambria" w:cs="Times New Roman"/>
          <w:i/>
          <w:lang w:val="es-ES_tradnl"/>
        </w:rPr>
        <w:t>Carta Social Europea</w:t>
      </w:r>
      <w:r w:rsidRPr="00470C7C">
        <w:rPr>
          <w:rFonts w:eastAsia="Cambria" w:cs="Times New Roman"/>
          <w:lang w:val="es-ES_tradnl"/>
        </w:rPr>
        <w:t xml:space="preserve"> tiene explícitamente como finalidad aliviar la pobreza y la exclusión social obligando a los Estados a tener un enfoque integral con respecto de esas cuestiones. Así, se entiende </w:t>
      </w:r>
      <w:r w:rsidRPr="00470C7C">
        <w:rPr>
          <w:rFonts w:eastAsia="Cambria" w:cs="Times New Roman"/>
          <w:i/>
          <w:lang w:val="es-ES_tradnl"/>
        </w:rPr>
        <w:t>pobreza</w:t>
      </w:r>
      <w:r w:rsidRPr="00470C7C">
        <w:rPr>
          <w:rFonts w:eastAsia="Cambria" w:cs="Times New Roman"/>
          <w:lang w:val="es-ES_tradnl"/>
        </w:rPr>
        <w:t xml:space="preserve"> como aquella que cubre a personas que se encuentran en situaciones que van de la pobreza extrema por varias generaciones en esas familias, a aquellos que están expuestos provisionalmente al riesgo de sufrirla. Por su parte, la expresión </w:t>
      </w:r>
      <w:r w:rsidRPr="00470C7C">
        <w:rPr>
          <w:rFonts w:eastAsia="Cambria" w:cs="Times New Roman"/>
          <w:i/>
          <w:lang w:val="es-ES_tradnl"/>
        </w:rPr>
        <w:t>exclusión social</w:t>
      </w:r>
      <w:r w:rsidRPr="00470C7C">
        <w:rPr>
          <w:rFonts w:eastAsia="Cambria" w:cs="Times New Roman"/>
          <w:lang w:val="es-ES_tradnl"/>
        </w:rPr>
        <w:t>, se entiende como la situación de las personas que se encuentran en una posición de pobreza extrema debido a una acumulación de desventajas, que sufren situaciones o acontecimientos degradantes o marginalización, cuyos derechos a recibir ciertos beneficios (brindados por el Estado) pueden haber expirado hace tiempo o cuyas situaciones es producto de circunstancias concurrentes</w:t>
      </w:r>
      <w:r w:rsidRPr="00470C7C">
        <w:rPr>
          <w:rFonts w:eastAsia="Cambria" w:cs="Times New Roman"/>
          <w:szCs w:val="20"/>
          <w:vertAlign w:val="superscript"/>
          <w:lang w:val="es-ES_tradnl"/>
        </w:rPr>
        <w:footnoteReference w:id="551"/>
      </w:r>
      <w:r w:rsidRPr="00470C7C">
        <w:rPr>
          <w:rFonts w:eastAsia="Cambria" w:cs="Times New Roman"/>
          <w:lang w:val="es-ES_tradnl"/>
        </w:rPr>
        <w:t xml:space="preserve">. </w:t>
      </w:r>
    </w:p>
    <w:p w14:paraId="30B2EF6F" w14:textId="77777777" w:rsidR="00130785" w:rsidRPr="00470C7C" w:rsidRDefault="00130785" w:rsidP="00130785">
      <w:pPr>
        <w:tabs>
          <w:tab w:val="clear" w:pos="4419"/>
          <w:tab w:val="clear" w:pos="8838"/>
        </w:tabs>
        <w:contextualSpacing/>
        <w:jc w:val="both"/>
        <w:rPr>
          <w:rFonts w:eastAsia="Cambria" w:cs="System Font Regular"/>
          <w:b/>
          <w:i/>
          <w:szCs w:val="20"/>
          <w:lang w:val="es-ES_tradnl"/>
        </w:rPr>
      </w:pPr>
    </w:p>
    <w:p w14:paraId="5B984D10"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roofErr w:type="spellStart"/>
      <w:r w:rsidRPr="00470C7C">
        <w:rPr>
          <w:rFonts w:eastAsia="Cambria" w:cs="Times New Roman"/>
          <w:i/>
          <w:szCs w:val="20"/>
          <w:lang w:val="es-ES_tradnl"/>
        </w:rPr>
        <w:t>ii</w:t>
      </w:r>
      <w:proofErr w:type="spellEnd"/>
      <w:r w:rsidRPr="00470C7C">
        <w:rPr>
          <w:rFonts w:eastAsia="Cambria" w:cs="Times New Roman"/>
          <w:i/>
          <w:szCs w:val="20"/>
          <w:lang w:val="es-ES_tradnl"/>
        </w:rPr>
        <w:t>) Sistema Africano de Derechos Humanos</w:t>
      </w:r>
    </w:p>
    <w:p w14:paraId="7CD1538C" w14:textId="77777777" w:rsidR="00130785" w:rsidRPr="00470C7C" w:rsidRDefault="00130785" w:rsidP="00130785">
      <w:pPr>
        <w:tabs>
          <w:tab w:val="clear" w:pos="4419"/>
          <w:tab w:val="clear" w:pos="8838"/>
        </w:tabs>
        <w:contextualSpacing/>
        <w:jc w:val="both"/>
        <w:rPr>
          <w:rFonts w:eastAsia="Cambria" w:cs="Times New Roman"/>
          <w:b/>
          <w:i/>
          <w:szCs w:val="20"/>
          <w:lang w:val="es-ES_tradnl"/>
        </w:rPr>
      </w:pPr>
    </w:p>
    <w:p w14:paraId="057F21EA"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i/>
          <w:szCs w:val="20"/>
          <w:lang w:val="es-ES_tradnl"/>
        </w:rPr>
      </w:pPr>
      <w:r w:rsidRPr="00470C7C">
        <w:rPr>
          <w:rFonts w:eastAsia="Cambria" w:cs="System Font Regular"/>
          <w:szCs w:val="20"/>
          <w:lang w:val="es-ES_tradnl"/>
        </w:rPr>
        <w:t>La Carta Africana de Derechos Humanos y de los Pueblos —o Carta de Banjul— dispone en su artículo 2 que “[t]</w:t>
      </w:r>
      <w:proofErr w:type="spellStart"/>
      <w:r w:rsidRPr="00470C7C">
        <w:rPr>
          <w:rFonts w:eastAsia="Cambria" w:cs="System Font Regular"/>
          <w:szCs w:val="20"/>
          <w:lang w:val="es-ES_tradnl"/>
        </w:rPr>
        <w:t>odo</w:t>
      </w:r>
      <w:proofErr w:type="spellEnd"/>
      <w:r w:rsidRPr="00470C7C">
        <w:rPr>
          <w:rFonts w:eastAsia="Cambria" w:cs="System Font Regular"/>
          <w:szCs w:val="20"/>
          <w:lang w:val="es-ES_tradnl"/>
        </w:rPr>
        <w:t xml:space="preserve"> individuo tendrá derecho al disfrute de los </w:t>
      </w:r>
      <w:proofErr w:type="gramStart"/>
      <w:r w:rsidRPr="00470C7C">
        <w:rPr>
          <w:rFonts w:eastAsia="Cambria" w:cs="System Font Regular"/>
          <w:szCs w:val="20"/>
          <w:lang w:val="es-ES_tradnl"/>
        </w:rPr>
        <w:t>derechos  reconocidos</w:t>
      </w:r>
      <w:proofErr w:type="gramEnd"/>
      <w:r w:rsidRPr="00470C7C">
        <w:rPr>
          <w:rFonts w:eastAsia="Cambria" w:cs="System Font Regular"/>
          <w:szCs w:val="20"/>
          <w:lang w:val="es-ES_tradnl"/>
        </w:rPr>
        <w:t xml:space="preserve"> y garantizados en la presente Carta sin distinción de ningún tipo como raza, grupo étnico, color, sexo, lengua, religión, opinión política o de otra índole, origen social o nacional, fortuna, nacimiento u otro status”. En este sentido ni la posición económica ni la pobreza son categorías de protección especial de manera expresa, lo que no impide que sean incorporadas mediante “</w:t>
      </w:r>
      <w:r w:rsidRPr="00470C7C">
        <w:rPr>
          <w:rFonts w:eastAsia="Cambria" w:cs="System Font Regular"/>
          <w:i/>
          <w:szCs w:val="20"/>
          <w:lang w:val="es-ES_tradnl"/>
        </w:rPr>
        <w:t>u otro status</w:t>
      </w:r>
      <w:r w:rsidRPr="00470C7C">
        <w:rPr>
          <w:rFonts w:eastAsia="Cambria" w:cs="System Font Regular"/>
          <w:szCs w:val="20"/>
          <w:lang w:val="es-ES_tradnl"/>
        </w:rPr>
        <w:t>”.</w:t>
      </w:r>
    </w:p>
    <w:p w14:paraId="7944D1D1" w14:textId="77777777" w:rsidR="00130785" w:rsidRPr="00470C7C" w:rsidRDefault="00130785" w:rsidP="00130785">
      <w:pPr>
        <w:tabs>
          <w:tab w:val="clear" w:pos="4419"/>
          <w:tab w:val="clear" w:pos="8838"/>
        </w:tabs>
        <w:contextualSpacing/>
        <w:jc w:val="both"/>
        <w:rPr>
          <w:rFonts w:eastAsia="Cambria" w:cs="System Font Regular"/>
          <w:b/>
          <w:i/>
          <w:szCs w:val="20"/>
          <w:lang w:val="es-ES_tradnl"/>
        </w:rPr>
      </w:pPr>
    </w:p>
    <w:p w14:paraId="60322786"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i/>
          <w:szCs w:val="20"/>
          <w:lang w:val="es-ES_tradnl"/>
        </w:rPr>
      </w:pPr>
      <w:r w:rsidRPr="00470C7C">
        <w:rPr>
          <w:rFonts w:eastAsia="Cambria" w:cs="System Font Regular"/>
          <w:szCs w:val="20"/>
          <w:lang w:val="es-ES_tradnl"/>
        </w:rPr>
        <w:t xml:space="preserve">En el caso </w:t>
      </w:r>
      <w:proofErr w:type="spellStart"/>
      <w:r w:rsidRPr="00470C7C">
        <w:rPr>
          <w:rFonts w:eastAsia="Cambria" w:cs="System Font Regular"/>
          <w:i/>
          <w:szCs w:val="20"/>
          <w:lang w:val="es-ES_tradnl"/>
        </w:rPr>
        <w:t>Endorois</w:t>
      </w:r>
      <w:proofErr w:type="spellEnd"/>
      <w:r w:rsidRPr="00470C7C">
        <w:rPr>
          <w:rFonts w:eastAsia="Cambria" w:cs="System Font Regular"/>
          <w:i/>
          <w:szCs w:val="20"/>
          <w:lang w:val="es-ES_tradnl"/>
        </w:rPr>
        <w:t xml:space="preserve"> Vs. Keni</w:t>
      </w:r>
      <w:r w:rsidRPr="00470C7C">
        <w:rPr>
          <w:rFonts w:eastAsia="Cambria" w:cs="System Font Regular"/>
          <w:szCs w:val="20"/>
          <w:lang w:val="es-ES_tradnl"/>
        </w:rPr>
        <w:t xml:space="preserve">a, la Comisión Africana de Derechos Humanos y de los Pueblos, consideró dentro de la violación del artículo 17.2 (participación en la vida cultural de la comunidad) y 17.3 (protección de los valores culturales) que el Estado debía tomar acciones positivas para erradicar las dificultades que enfrentaban las comunidades indígenas, entre ellas, la pobreza extrema. Así, estableció que: </w:t>
      </w:r>
    </w:p>
    <w:p w14:paraId="7F232F65" w14:textId="77777777" w:rsidR="00130785" w:rsidRPr="00470C7C" w:rsidRDefault="00130785" w:rsidP="00130785">
      <w:pPr>
        <w:tabs>
          <w:tab w:val="clear" w:pos="4419"/>
          <w:tab w:val="clear" w:pos="8838"/>
        </w:tabs>
        <w:rPr>
          <w:rFonts w:eastAsia="MS Mincho" w:cs="System Font Regular"/>
          <w:sz w:val="24"/>
          <w:szCs w:val="20"/>
          <w:lang w:val="es-ES_tradnl" w:eastAsia="es-ES"/>
        </w:rPr>
      </w:pPr>
    </w:p>
    <w:p w14:paraId="03DE2F3B" w14:textId="77777777" w:rsidR="00130785" w:rsidRPr="00470C7C" w:rsidRDefault="00130785" w:rsidP="00130785">
      <w:pPr>
        <w:tabs>
          <w:tab w:val="clear" w:pos="4419"/>
          <w:tab w:val="clear" w:pos="8838"/>
        </w:tabs>
        <w:ind w:left="708"/>
        <w:contextualSpacing/>
        <w:jc w:val="both"/>
        <w:rPr>
          <w:rFonts w:eastAsia="Cambria" w:cs="System Font Regular"/>
          <w:b/>
          <w:i/>
          <w:sz w:val="16"/>
          <w:szCs w:val="16"/>
          <w:u w:val="single"/>
          <w:lang w:val="es-ES_tradnl"/>
        </w:rPr>
      </w:pPr>
      <w:r w:rsidRPr="00470C7C">
        <w:rPr>
          <w:rFonts w:eastAsia="Cambria" w:cs="System Font Regular"/>
          <w:i/>
          <w:sz w:val="16"/>
          <w:szCs w:val="16"/>
          <w:lang w:val="es-ES_tradnl"/>
        </w:rPr>
        <w:t xml:space="preserve">48. […] el Estado demandado tiene una obligación reforzada en los términos de no sólo tomar medidas positivas para proteger a los grupos y comunidades, como los </w:t>
      </w:r>
      <w:proofErr w:type="spellStart"/>
      <w:r w:rsidRPr="00470C7C">
        <w:rPr>
          <w:rFonts w:eastAsia="Cambria" w:cs="System Font Regular"/>
          <w:i/>
          <w:sz w:val="16"/>
          <w:szCs w:val="16"/>
          <w:lang w:val="es-ES_tradnl"/>
        </w:rPr>
        <w:t>Endorois</w:t>
      </w:r>
      <w:proofErr w:type="spellEnd"/>
      <w:r w:rsidRPr="00470C7C">
        <w:rPr>
          <w:rFonts w:eastAsia="Cambria" w:cs="System Font Regular"/>
          <w:i/>
          <w:sz w:val="16"/>
          <w:szCs w:val="16"/>
          <w:lang w:val="es-ES_tradnl"/>
        </w:rPr>
        <w:t xml:space="preserve">, sino que también debe promover los derechos culturales, incluyendo la creación de políticas, instituciones u otros mecanismos que den oportunidades que permitan a las diferentes culturas y formas de vida su existencia, esto debido a los desafíos que enfrentan las comunidades indígenas. </w:t>
      </w:r>
      <w:r w:rsidRPr="00470C7C">
        <w:rPr>
          <w:rFonts w:eastAsia="Cambria" w:cs="System Font Regular"/>
          <w:i/>
          <w:sz w:val="16"/>
          <w:szCs w:val="16"/>
          <w:u w:val="single"/>
          <w:lang w:val="es-ES_tradnl"/>
        </w:rPr>
        <w:t xml:space="preserve">Estos desafíos incluyen la exclusión, la explotación, la discriminación y la pobreza extrema </w:t>
      </w:r>
      <w:r w:rsidRPr="00470C7C">
        <w:rPr>
          <w:rFonts w:eastAsia="Cambria" w:cs="System Font Regular"/>
          <w:i/>
          <w:sz w:val="16"/>
          <w:szCs w:val="16"/>
          <w:lang w:val="es-ES_tradnl"/>
        </w:rPr>
        <w:t>[…]</w:t>
      </w:r>
      <w:r w:rsidRPr="00470C7C">
        <w:rPr>
          <w:rFonts w:eastAsia="Cambria" w:cs="Times New Roman"/>
          <w:i/>
          <w:sz w:val="16"/>
          <w:szCs w:val="16"/>
          <w:vertAlign w:val="superscript"/>
          <w:lang w:val="es-ES_tradnl"/>
        </w:rPr>
        <w:footnoteReference w:id="552"/>
      </w:r>
      <w:r w:rsidRPr="00470C7C">
        <w:rPr>
          <w:rFonts w:eastAsia="Cambria" w:cs="System Font Regular"/>
          <w:i/>
          <w:sz w:val="16"/>
          <w:szCs w:val="16"/>
          <w:lang w:val="es-ES_tradnl"/>
        </w:rPr>
        <w:t>.</w:t>
      </w:r>
    </w:p>
    <w:p w14:paraId="7DC68F85" w14:textId="77777777" w:rsidR="00130785" w:rsidRPr="00470C7C" w:rsidRDefault="00130785" w:rsidP="00130785">
      <w:pPr>
        <w:tabs>
          <w:tab w:val="clear" w:pos="4419"/>
          <w:tab w:val="clear" w:pos="8838"/>
        </w:tabs>
        <w:rPr>
          <w:rFonts w:eastAsia="MS Mincho" w:cs="System Font Regular"/>
          <w:b/>
          <w:i/>
          <w:sz w:val="24"/>
          <w:szCs w:val="20"/>
          <w:lang w:val="es-ES_tradnl" w:eastAsia="es-ES"/>
        </w:rPr>
      </w:pPr>
    </w:p>
    <w:p w14:paraId="457CDE26" w14:textId="77777777" w:rsidR="00130785" w:rsidRPr="00470C7C" w:rsidRDefault="00130785" w:rsidP="008B0BCC">
      <w:pPr>
        <w:numPr>
          <w:ilvl w:val="0"/>
          <w:numId w:val="26"/>
        </w:numPr>
        <w:tabs>
          <w:tab w:val="clear" w:pos="4419"/>
          <w:tab w:val="clear" w:pos="8838"/>
        </w:tabs>
        <w:contextualSpacing/>
        <w:jc w:val="both"/>
        <w:rPr>
          <w:rFonts w:eastAsia="Cambria" w:cs="System Font Regular"/>
          <w:b/>
          <w:szCs w:val="20"/>
          <w:lang w:val="es-ES_tradnl"/>
        </w:rPr>
      </w:pPr>
      <w:r w:rsidRPr="00470C7C">
        <w:rPr>
          <w:rFonts w:eastAsia="Cambria" w:cs="System Font Regular"/>
          <w:szCs w:val="20"/>
          <w:lang w:val="es-ES_tradnl"/>
        </w:rPr>
        <w:t xml:space="preserve">Si bien la Carta de Banjul constituye uno de los instrumentos más progresistas en cuanto a la incorporación de derechos —al reconocer expresamente el </w:t>
      </w:r>
      <w:r w:rsidRPr="00470C7C">
        <w:rPr>
          <w:rFonts w:eastAsia="Cambria" w:cs="System Font Regular"/>
          <w:i/>
          <w:szCs w:val="20"/>
          <w:lang w:val="es-ES_tradnl"/>
        </w:rPr>
        <w:t>Derecho al Desarrollo</w:t>
      </w:r>
      <w:r w:rsidRPr="00470C7C">
        <w:rPr>
          <w:rFonts w:eastAsia="Cambria" w:cs="System Font Regular"/>
          <w:szCs w:val="20"/>
          <w:lang w:val="es-ES_tradnl"/>
        </w:rPr>
        <w:t xml:space="preserve"> en su artículo 22— lo cierto es que el Sistema Africano no cuenta con grandes desarrollos jurisprudenciales sobre las condiciones de pobreza o la posición económica</w:t>
      </w:r>
      <w:r w:rsidRPr="00470C7C">
        <w:rPr>
          <w:rFonts w:eastAsia="Cambria" w:cs="Times New Roman"/>
          <w:szCs w:val="20"/>
          <w:vertAlign w:val="superscript"/>
          <w:lang w:val="es-ES_tradnl"/>
        </w:rPr>
        <w:footnoteReference w:id="553"/>
      </w:r>
      <w:r w:rsidRPr="00470C7C">
        <w:rPr>
          <w:rFonts w:eastAsia="Cambria" w:cs="System Font Regular"/>
          <w:szCs w:val="20"/>
          <w:lang w:val="es-ES_tradnl"/>
        </w:rPr>
        <w:t xml:space="preserve">, en gran medida dado el contexto del continente africano.  </w:t>
      </w:r>
    </w:p>
    <w:p w14:paraId="626322F5"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
    <w:p w14:paraId="1040F1F7"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roofErr w:type="spellStart"/>
      <w:r w:rsidRPr="00470C7C">
        <w:rPr>
          <w:rFonts w:eastAsia="Cambria" w:cs="Times New Roman"/>
          <w:i/>
          <w:szCs w:val="20"/>
          <w:lang w:val="es-ES_tradnl"/>
        </w:rPr>
        <w:t>iii</w:t>
      </w:r>
      <w:proofErr w:type="spellEnd"/>
      <w:r w:rsidRPr="00470C7C">
        <w:rPr>
          <w:rFonts w:eastAsia="Cambria" w:cs="Times New Roman"/>
          <w:i/>
          <w:szCs w:val="20"/>
          <w:lang w:val="es-ES_tradnl"/>
        </w:rPr>
        <w:t xml:space="preserve">) Sistema Universal de Derechos Humanos  </w:t>
      </w:r>
    </w:p>
    <w:p w14:paraId="268F45DB"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
    <w:p w14:paraId="6177B414"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En cuanto al Sistema Universal de Derechos Humanos, cuatro instrumentos son los que han definido lo que debe entenderse por el término “discriminación”: i) el Convenio 111 de la Organización Internacional del Trabajo relativo a la discriminación en materia de empleo y ocupación (1958)</w:t>
      </w:r>
      <w:r w:rsidRPr="00470C7C">
        <w:rPr>
          <w:rFonts w:eastAsia="Cambria" w:cs="Times New Roman"/>
          <w:szCs w:val="20"/>
          <w:vertAlign w:val="superscript"/>
          <w:lang w:val="es-ES_tradnl"/>
        </w:rPr>
        <w:footnoteReference w:id="554"/>
      </w:r>
      <w:r w:rsidRPr="00470C7C">
        <w:rPr>
          <w:rFonts w:eastAsia="Cambria" w:cs="Times New Roman"/>
          <w:szCs w:val="20"/>
          <w:lang w:val="es-ES_tradnl"/>
        </w:rPr>
        <w:t xml:space="preserve">; </w:t>
      </w:r>
      <w:proofErr w:type="spellStart"/>
      <w:r w:rsidRPr="00470C7C">
        <w:rPr>
          <w:rFonts w:eastAsia="Cambria" w:cs="Times New Roman"/>
          <w:szCs w:val="20"/>
          <w:lang w:val="es-ES_tradnl"/>
        </w:rPr>
        <w:t>ii</w:t>
      </w:r>
      <w:proofErr w:type="spellEnd"/>
      <w:r w:rsidRPr="00470C7C">
        <w:rPr>
          <w:rFonts w:eastAsia="Cambria" w:cs="Times New Roman"/>
          <w:szCs w:val="20"/>
          <w:lang w:val="es-ES_tradnl"/>
        </w:rPr>
        <w:t xml:space="preserve">) </w:t>
      </w:r>
      <w:r w:rsidRPr="00470C7C">
        <w:rPr>
          <w:rFonts w:eastAsia="Cambria" w:cs="Georgia"/>
          <w:szCs w:val="20"/>
          <w:lang w:val="es-ES_tradnl"/>
        </w:rPr>
        <w:t>la Convención de la UNESCO relativa a la lucha contra las discriminaciones en la esfera de la enseñanza (1960)</w:t>
      </w:r>
      <w:r w:rsidRPr="00470C7C">
        <w:rPr>
          <w:rFonts w:eastAsia="Cambria" w:cs="Georgia"/>
          <w:szCs w:val="20"/>
          <w:vertAlign w:val="superscript"/>
          <w:lang w:val="es-ES_tradnl"/>
        </w:rPr>
        <w:footnoteReference w:id="555"/>
      </w:r>
      <w:r w:rsidRPr="00470C7C">
        <w:rPr>
          <w:rFonts w:eastAsia="Cambria" w:cs="Times New Roman"/>
          <w:szCs w:val="20"/>
          <w:lang w:val="es-ES_tradnl"/>
        </w:rPr>
        <w:t xml:space="preserve">; </w:t>
      </w:r>
      <w:proofErr w:type="spellStart"/>
      <w:r w:rsidRPr="00470C7C">
        <w:rPr>
          <w:rFonts w:eastAsia="Cambria" w:cs="Times New Roman"/>
          <w:szCs w:val="20"/>
          <w:lang w:val="es-ES_tradnl"/>
        </w:rPr>
        <w:t>iii</w:t>
      </w:r>
      <w:proofErr w:type="spellEnd"/>
      <w:r w:rsidRPr="00470C7C">
        <w:rPr>
          <w:rFonts w:eastAsia="Cambria" w:cs="Times New Roman"/>
          <w:szCs w:val="20"/>
          <w:lang w:val="es-ES_tradnl"/>
        </w:rPr>
        <w:t>) la Convención sobre la eliminación de todas las formas de discriminación racial (1965)</w:t>
      </w:r>
      <w:r w:rsidRPr="00470C7C">
        <w:rPr>
          <w:rFonts w:eastAsia="Cambria" w:cs="Times New Roman"/>
          <w:szCs w:val="20"/>
          <w:vertAlign w:val="superscript"/>
          <w:lang w:val="es-ES_tradnl"/>
        </w:rPr>
        <w:footnoteReference w:id="556"/>
      </w:r>
      <w:r w:rsidRPr="00470C7C">
        <w:rPr>
          <w:rFonts w:eastAsia="Cambria" w:cs="Times New Roman"/>
          <w:szCs w:val="20"/>
          <w:lang w:val="es-ES_tradnl"/>
        </w:rPr>
        <w:t xml:space="preserve">, </w:t>
      </w:r>
      <w:r w:rsidRPr="00470C7C">
        <w:rPr>
          <w:rFonts w:eastAsia="Cambria" w:cs="Georgia"/>
          <w:szCs w:val="20"/>
          <w:lang w:val="es-ES_tradnl"/>
        </w:rPr>
        <w:t xml:space="preserve">y </w:t>
      </w:r>
      <w:proofErr w:type="spellStart"/>
      <w:r w:rsidRPr="00470C7C">
        <w:rPr>
          <w:rFonts w:eastAsia="Cambria" w:cs="Georgia"/>
          <w:szCs w:val="20"/>
          <w:lang w:val="es-ES_tradnl"/>
        </w:rPr>
        <w:t>iv</w:t>
      </w:r>
      <w:proofErr w:type="spellEnd"/>
      <w:r w:rsidRPr="00470C7C">
        <w:rPr>
          <w:rFonts w:eastAsia="Cambria" w:cs="Georgia"/>
          <w:szCs w:val="20"/>
          <w:lang w:val="es-ES_tradnl"/>
        </w:rPr>
        <w:t xml:space="preserve">) </w:t>
      </w:r>
      <w:r w:rsidRPr="00470C7C">
        <w:rPr>
          <w:rFonts w:eastAsia="Cambria" w:cs="Times New Roman"/>
          <w:szCs w:val="20"/>
          <w:lang w:val="es-ES_tradnl"/>
        </w:rPr>
        <w:t>la Convención sobre la eliminación de todas las formas de discriminación contra la mujer (1979)</w:t>
      </w:r>
      <w:r w:rsidRPr="00470C7C">
        <w:rPr>
          <w:rFonts w:eastAsia="Cambria" w:cs="Times New Roman"/>
          <w:szCs w:val="20"/>
          <w:vertAlign w:val="superscript"/>
          <w:lang w:val="es-ES_tradnl"/>
        </w:rPr>
        <w:footnoteReference w:id="557"/>
      </w:r>
      <w:r w:rsidRPr="00470C7C">
        <w:rPr>
          <w:rFonts w:eastAsia="Cambria" w:cs="Times New Roman"/>
          <w:szCs w:val="20"/>
          <w:lang w:val="es-ES_tradnl"/>
        </w:rPr>
        <w:t xml:space="preserve">. Es decir, estas definiciones reconocen como categorías expresas </w:t>
      </w:r>
      <w:r w:rsidRPr="00470C7C">
        <w:rPr>
          <w:rFonts w:eastAsia="Cambria" w:cs="Verdana"/>
          <w:szCs w:val="20"/>
          <w:lang w:val="es-ES_tradnl"/>
        </w:rPr>
        <w:t xml:space="preserve">la prohibición de discriminación centrada por raza, color, linaje u origen nacional, origen étnico, origen social, sexo, religión, idioma, opinión política o de cualquier otra índole, de nacimiento, ascendencia nacional u origen social. En cuanto a la “posición económica” sólo la </w:t>
      </w:r>
      <w:r w:rsidRPr="00470C7C">
        <w:rPr>
          <w:rFonts w:eastAsia="Cambria" w:cs="Georgia"/>
          <w:szCs w:val="20"/>
          <w:lang w:val="es-ES_tradnl"/>
        </w:rPr>
        <w:t xml:space="preserve">Convención de la UNESCO relativa a la lucha contra las discriminaciones en la esfera de la enseñanza, reconoce este motivo de discriminación. </w:t>
      </w:r>
    </w:p>
    <w:p w14:paraId="48445515"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0080DD1A"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En cuanto al Pacto Internacional de Derechos Civiles y Políticos y el Pacto Internacional de Derechos Económicos Sociales y Culturales (1966), ambos pactos contemplan la prohibición de discriminación por “posición económica”</w:t>
      </w:r>
      <w:r w:rsidRPr="00470C7C">
        <w:rPr>
          <w:rFonts w:eastAsia="Cambria" w:cs="Times New Roman"/>
          <w:szCs w:val="20"/>
          <w:vertAlign w:val="superscript"/>
          <w:lang w:val="es-ES_tradnl"/>
        </w:rPr>
        <w:footnoteReference w:id="558"/>
      </w:r>
      <w:r w:rsidRPr="00470C7C">
        <w:rPr>
          <w:rFonts w:eastAsia="Cambria" w:cs="Times New Roman"/>
          <w:szCs w:val="20"/>
          <w:lang w:val="es-ES_tradnl"/>
        </w:rPr>
        <w:t>. E</w:t>
      </w:r>
      <w:r w:rsidRPr="00470C7C">
        <w:rPr>
          <w:rFonts w:eastAsia="Cambria" w:cs="Times"/>
          <w:szCs w:val="20"/>
          <w:lang w:val="es-ES_tradnl"/>
        </w:rPr>
        <w:t>l Comité de Derechos Económicos, Sociales y Culturales (en adelante “el Comité DESC”)</w:t>
      </w:r>
      <w:r w:rsidRPr="00470C7C">
        <w:rPr>
          <w:rFonts w:eastAsia="Cambria" w:cs="Times New Roman"/>
          <w:szCs w:val="20"/>
          <w:lang w:val="es-ES_tradnl"/>
        </w:rPr>
        <w:t>, en su Observación General No. 20, ha señalado que el crecimiento económico no ha conducido por sí mismo a un desarrollo sostenible y hay personas y grupos de personas que siguen enfrentando desigualdades socioeconómicas, a menudo como consecuencia de arraigados patrones históricos y formas contemporáneas de discriminación</w:t>
      </w:r>
      <w:r w:rsidRPr="00470C7C">
        <w:rPr>
          <w:rFonts w:eastAsia="Cambria" w:cs="Times New Roman"/>
          <w:szCs w:val="20"/>
          <w:vertAlign w:val="superscript"/>
          <w:lang w:val="es-ES_tradnl"/>
        </w:rPr>
        <w:footnoteReference w:id="559"/>
      </w:r>
      <w:r w:rsidRPr="00470C7C">
        <w:rPr>
          <w:rFonts w:eastAsia="Cambria" w:cs="Times New Roman"/>
          <w:szCs w:val="20"/>
          <w:lang w:val="es-ES_tradnl"/>
        </w:rPr>
        <w:t xml:space="preserve">. </w:t>
      </w:r>
    </w:p>
    <w:p w14:paraId="6AAED315"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4FE4C603"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Además, el Comité DESC ha constatado que la discriminación contra algunos grupos subsiste, es omnipresente, está frecuentemente arraigada al comportamiento y a la organización de la sociedad y a menudo implica actos de discriminación indirecta o no cuestionada. </w:t>
      </w:r>
      <w:r w:rsidRPr="00470C7C">
        <w:rPr>
          <w:rFonts w:eastAsia="Cambria" w:cs="Times New Roman"/>
          <w:szCs w:val="20"/>
          <w:u w:val="single"/>
          <w:lang w:val="es-ES_tradnl"/>
        </w:rPr>
        <w:t>Esta discriminación sistémica (e histórica en algunos casos), puede consistir en normas legales, políticas, prácticas o actitudes culturales predominantes en el sector público o privado que generan desventajas comparativas para algunos grupos sociales y privilegios para otros</w:t>
      </w:r>
      <w:r w:rsidRPr="00470C7C">
        <w:rPr>
          <w:rFonts w:eastAsia="Cambria" w:cs="Times New Roman"/>
          <w:szCs w:val="20"/>
          <w:vertAlign w:val="superscript"/>
          <w:lang w:val="es-ES_tradnl"/>
        </w:rPr>
        <w:footnoteReference w:id="560"/>
      </w:r>
      <w:r w:rsidRPr="00470C7C">
        <w:rPr>
          <w:rFonts w:eastAsia="Cambria" w:cs="Times New Roman"/>
          <w:szCs w:val="20"/>
          <w:lang w:val="es-ES_tradnl"/>
        </w:rPr>
        <w:t xml:space="preserve">. </w:t>
      </w:r>
    </w:p>
    <w:p w14:paraId="168D5049"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464DC946"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En</w:t>
      </w:r>
      <w:r w:rsidRPr="00470C7C">
        <w:rPr>
          <w:rFonts w:eastAsia="Cambria" w:cs="Times New Roman"/>
          <w:b/>
          <w:szCs w:val="20"/>
          <w:lang w:val="es-ES_tradnl"/>
        </w:rPr>
        <w:t xml:space="preserve"> </w:t>
      </w:r>
      <w:r w:rsidRPr="00470C7C">
        <w:rPr>
          <w:rFonts w:eastAsia="Cambria" w:cs="Times New Roman"/>
          <w:szCs w:val="20"/>
          <w:lang w:val="es-ES_tradnl"/>
        </w:rPr>
        <w:t>cuanto a la posición económica como categoría de especial protección, el Comité DESC ha señalado que, como motivo prohibido de discriminación, es un concepto amplio que incluye los bienes raíces y los bienes personales o la carencia de ellos</w:t>
      </w:r>
      <w:r w:rsidRPr="00470C7C">
        <w:rPr>
          <w:rFonts w:eastAsia="Cambria" w:cs="Times New Roman"/>
          <w:szCs w:val="20"/>
          <w:vertAlign w:val="superscript"/>
          <w:lang w:val="es-ES_tradnl"/>
        </w:rPr>
        <w:footnoteReference w:id="561"/>
      </w:r>
      <w:r w:rsidRPr="00470C7C">
        <w:rPr>
          <w:rFonts w:eastAsia="Cambria" w:cs="Times New Roman"/>
          <w:szCs w:val="20"/>
          <w:lang w:val="es-ES_tradnl"/>
        </w:rPr>
        <w:t xml:space="preserve">, es decir, una de las facetas de la pobreza. Sobre este punto, </w:t>
      </w:r>
      <w:r w:rsidRPr="00470C7C">
        <w:rPr>
          <w:rFonts w:eastAsia="Cambria" w:cs="Times"/>
          <w:szCs w:val="20"/>
          <w:lang w:val="es-ES_tradnl"/>
        </w:rPr>
        <w:t xml:space="preserve">el Comité DESC ha considerado que la </w:t>
      </w:r>
      <w:r w:rsidRPr="00470C7C">
        <w:rPr>
          <w:rFonts w:eastAsia="Cambria" w:cs="Times"/>
          <w:i/>
          <w:szCs w:val="20"/>
          <w:lang w:val="es-ES_tradnl"/>
        </w:rPr>
        <w:t>pobreza</w:t>
      </w:r>
      <w:r w:rsidRPr="00470C7C">
        <w:rPr>
          <w:rFonts w:eastAsia="Cambria" w:cs="Times"/>
          <w:szCs w:val="20"/>
          <w:lang w:val="es-ES_tradnl"/>
        </w:rPr>
        <w:t xml:space="preserve"> es una </w:t>
      </w:r>
      <w:r w:rsidRPr="00470C7C">
        <w:rPr>
          <w:rFonts w:eastAsia="Cambria" w:cs="Times"/>
          <w:i/>
          <w:szCs w:val="20"/>
          <w:lang w:val="es-ES_tradnl"/>
        </w:rPr>
        <w:t>condición humana que se caracteriza por la privación continua o crónica de los recursos</w:t>
      </w:r>
      <w:r w:rsidRPr="00470C7C">
        <w:rPr>
          <w:rFonts w:eastAsia="Cambria" w:cs="Times"/>
          <w:szCs w:val="20"/>
          <w:lang w:val="es-ES_tradnl"/>
        </w:rPr>
        <w:t xml:space="preserve">, </w:t>
      </w:r>
      <w:r w:rsidRPr="00470C7C">
        <w:rPr>
          <w:rFonts w:eastAsia="Cambria" w:cs="Times"/>
          <w:i/>
          <w:szCs w:val="20"/>
          <w:lang w:val="es-ES_tradnl"/>
        </w:rPr>
        <w:t xml:space="preserve">la capacidad, las opciones, la seguridad y el poder necesarios para disfrutar de un </w:t>
      </w:r>
      <w:proofErr w:type="gramStart"/>
      <w:r w:rsidRPr="00470C7C">
        <w:rPr>
          <w:rFonts w:eastAsia="Cambria" w:cs="Times"/>
          <w:i/>
          <w:szCs w:val="20"/>
          <w:lang w:val="es-ES_tradnl"/>
        </w:rPr>
        <w:t>nivel  de</w:t>
      </w:r>
      <w:proofErr w:type="gramEnd"/>
      <w:r w:rsidRPr="00470C7C">
        <w:rPr>
          <w:rFonts w:eastAsia="Cambria" w:cs="Times"/>
          <w:i/>
          <w:szCs w:val="20"/>
          <w:lang w:val="es-ES_tradnl"/>
        </w:rPr>
        <w:t xml:space="preserve"> vida adecuado y de otros derechos civiles, culturales, económicos, políticos y sociales</w:t>
      </w:r>
      <w:r w:rsidRPr="00470C7C">
        <w:rPr>
          <w:rFonts w:eastAsia="Cambria" w:cs="Times New Roman"/>
          <w:szCs w:val="20"/>
          <w:vertAlign w:val="superscript"/>
          <w:lang w:val="es-ES_tradnl"/>
        </w:rPr>
        <w:footnoteReference w:id="562"/>
      </w:r>
      <w:r w:rsidRPr="00470C7C">
        <w:rPr>
          <w:rFonts w:eastAsia="Cambria" w:cs="Times"/>
          <w:szCs w:val="20"/>
          <w:lang w:val="es-ES_tradnl"/>
        </w:rPr>
        <w:t xml:space="preserve">. </w:t>
      </w:r>
    </w:p>
    <w:p w14:paraId="312F6A95" w14:textId="77777777" w:rsidR="00130785" w:rsidRPr="00470C7C" w:rsidRDefault="00130785" w:rsidP="00130785">
      <w:pPr>
        <w:tabs>
          <w:tab w:val="clear" w:pos="4419"/>
          <w:tab w:val="clear" w:pos="8838"/>
        </w:tabs>
        <w:rPr>
          <w:rFonts w:eastAsia="MS Mincho" w:cs="Times"/>
          <w:sz w:val="24"/>
          <w:szCs w:val="20"/>
          <w:lang w:val="es-ES_tradnl" w:eastAsia="es-ES"/>
        </w:rPr>
      </w:pPr>
    </w:p>
    <w:p w14:paraId="03189C0B"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w:szCs w:val="20"/>
          <w:lang w:val="es-ES_tradnl"/>
        </w:rPr>
        <w:t xml:space="preserve">Por su parte, los </w:t>
      </w:r>
      <w:r w:rsidRPr="00470C7C">
        <w:rPr>
          <w:rFonts w:eastAsia="Cambria" w:cs="Times New Roman"/>
          <w:lang w:val="es-ES_tradnl"/>
        </w:rPr>
        <w:t>Principios Rectores sobre Extrema Pobreza y Derechos Humanos (en adelante “los PREPDH”)</w:t>
      </w:r>
      <w:r w:rsidRPr="00470C7C">
        <w:rPr>
          <w:rFonts w:eastAsia="Cambria" w:cs="Times"/>
          <w:szCs w:val="20"/>
          <w:lang w:val="es-ES_tradnl"/>
        </w:rPr>
        <w:t xml:space="preserve">, definen a </w:t>
      </w:r>
      <w:r w:rsidRPr="00470C7C">
        <w:rPr>
          <w:rFonts w:eastAsia="Cambria" w:cs="Times"/>
          <w:i/>
          <w:szCs w:val="20"/>
          <w:lang w:val="es-ES_tradnl"/>
        </w:rPr>
        <w:t>la extrema pobreza</w:t>
      </w:r>
      <w:r w:rsidRPr="00470C7C">
        <w:rPr>
          <w:rFonts w:eastAsia="Cambria" w:cs="Times"/>
          <w:szCs w:val="20"/>
          <w:lang w:val="es-ES_tradnl"/>
        </w:rPr>
        <w:t xml:space="preserve">, como </w:t>
      </w:r>
      <w:r w:rsidRPr="00470C7C">
        <w:rPr>
          <w:rFonts w:eastAsia="Cambria" w:cs="Times"/>
          <w:i/>
          <w:szCs w:val="20"/>
          <w:lang w:val="es-ES_tradnl"/>
        </w:rPr>
        <w:t>“una combinación de escasez de ingresos</w:t>
      </w:r>
      <w:r w:rsidRPr="00470C7C">
        <w:rPr>
          <w:rFonts w:eastAsia="Cambria" w:cs="Times"/>
          <w:szCs w:val="20"/>
          <w:lang w:val="es-ES_tradnl"/>
        </w:rPr>
        <w:t xml:space="preserve">, </w:t>
      </w:r>
      <w:r w:rsidRPr="00470C7C">
        <w:rPr>
          <w:rFonts w:eastAsia="Cambria" w:cs="Times"/>
          <w:i/>
          <w:szCs w:val="20"/>
          <w:lang w:val="es-ES_tradnl"/>
        </w:rPr>
        <w:t>falta de desarrollo humano y exclusión social</w:t>
      </w:r>
      <w:r w:rsidRPr="00470C7C">
        <w:rPr>
          <w:rFonts w:eastAsia="Cambria" w:cs="Times"/>
          <w:szCs w:val="20"/>
          <w:lang w:val="es-ES_tradnl"/>
        </w:rPr>
        <w:t>”</w:t>
      </w:r>
      <w:r w:rsidRPr="00470C7C">
        <w:rPr>
          <w:rFonts w:eastAsia="Cambria" w:cs="Times New Roman"/>
          <w:szCs w:val="20"/>
          <w:vertAlign w:val="superscript"/>
          <w:lang w:val="es-ES_tradnl"/>
        </w:rPr>
        <w:footnoteReference w:id="563"/>
      </w:r>
      <w:r w:rsidRPr="00470C7C">
        <w:rPr>
          <w:rFonts w:eastAsia="Cambria" w:cs="Times"/>
          <w:szCs w:val="20"/>
          <w:lang w:val="es-ES_tradnl"/>
        </w:rPr>
        <w:t>, en que una falta prolongada de seguridad básica afecta a varios ámbitos de la existencia al mismo tiempo, comprometiendo gravemente las posibilidades de las personas de ejercer o recobrar sus derechos en un futuro previsible</w:t>
      </w:r>
      <w:r w:rsidRPr="00470C7C">
        <w:rPr>
          <w:rFonts w:eastAsia="Cambria" w:cs="Times New Roman"/>
          <w:szCs w:val="20"/>
          <w:vertAlign w:val="superscript"/>
          <w:lang w:val="es-ES_tradnl"/>
        </w:rPr>
        <w:footnoteReference w:id="564"/>
      </w:r>
      <w:r w:rsidRPr="00470C7C">
        <w:rPr>
          <w:rFonts w:eastAsia="Cambria" w:cs="Times"/>
          <w:szCs w:val="20"/>
          <w:lang w:val="es-ES_tradnl"/>
        </w:rPr>
        <w:t xml:space="preserve">. </w:t>
      </w:r>
    </w:p>
    <w:p w14:paraId="6226F12A"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0AFEC7AF"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 Adicionalmente, en </w:t>
      </w:r>
      <w:r w:rsidRPr="00470C7C">
        <w:rPr>
          <w:rFonts w:eastAsia="Cambria" w:cs="Times New Roman"/>
          <w:lang w:val="es-ES_tradnl"/>
        </w:rPr>
        <w:t>los PREPDH</w:t>
      </w:r>
      <w:r w:rsidRPr="00470C7C">
        <w:rPr>
          <w:rFonts w:eastAsia="Cambria" w:cs="Times New Roman"/>
          <w:szCs w:val="20"/>
          <w:lang w:val="es-ES_tradnl"/>
        </w:rPr>
        <w:t xml:space="preserve"> se considera que: </w:t>
      </w:r>
    </w:p>
    <w:p w14:paraId="6B3F2C82" w14:textId="77777777" w:rsidR="00130785" w:rsidRPr="00470C7C" w:rsidRDefault="00130785" w:rsidP="00130785">
      <w:pPr>
        <w:tabs>
          <w:tab w:val="clear" w:pos="4419"/>
          <w:tab w:val="clear" w:pos="8838"/>
        </w:tabs>
        <w:rPr>
          <w:rFonts w:eastAsia="MS Mincho" w:cs="Times New Roman"/>
          <w:b/>
          <w:sz w:val="24"/>
          <w:szCs w:val="20"/>
          <w:lang w:val="es-ES_tradnl" w:eastAsia="es-ES"/>
        </w:rPr>
      </w:pPr>
    </w:p>
    <w:p w14:paraId="719B704F" w14:textId="77777777" w:rsidR="00130785" w:rsidRPr="00470C7C" w:rsidRDefault="00130785" w:rsidP="00130785">
      <w:pPr>
        <w:widowControl w:val="0"/>
        <w:tabs>
          <w:tab w:val="clear" w:pos="4419"/>
          <w:tab w:val="clear" w:pos="8838"/>
        </w:tabs>
        <w:autoSpaceDE w:val="0"/>
        <w:autoSpaceDN w:val="0"/>
        <w:adjustRightInd w:val="0"/>
        <w:ind w:left="709"/>
        <w:contextualSpacing/>
        <w:jc w:val="both"/>
        <w:rPr>
          <w:rFonts w:eastAsia="Cambria" w:cs="Times"/>
          <w:sz w:val="16"/>
          <w:szCs w:val="16"/>
          <w:lang w:val="es-ES_tradnl"/>
        </w:rPr>
      </w:pPr>
      <w:r w:rsidRPr="00470C7C">
        <w:rPr>
          <w:rFonts w:eastAsia="Cambria" w:cs="Times"/>
          <w:sz w:val="16"/>
          <w:szCs w:val="16"/>
          <w:lang w:val="es-ES_tradnl"/>
        </w:rPr>
        <w:t xml:space="preserve">3. La pobreza es en sí misma un problema de derechos humanos urgente. A la vez causa y consecuencia de violaciones de los derechos humanos, es una condición que conduce a otras violaciones. </w:t>
      </w:r>
      <w:r w:rsidRPr="00470C7C">
        <w:rPr>
          <w:rFonts w:eastAsia="Cambria" w:cs="Times"/>
          <w:i/>
          <w:sz w:val="16"/>
          <w:szCs w:val="16"/>
          <w:u w:val="single"/>
          <w:lang w:val="es-ES_tradnl"/>
        </w:rPr>
        <w:t xml:space="preserve">La extrema pobreza se caracteriza por vulneraciones múltiples e </w:t>
      </w:r>
      <w:proofErr w:type="spellStart"/>
      <w:r w:rsidRPr="00470C7C">
        <w:rPr>
          <w:rFonts w:eastAsia="Cambria" w:cs="Times"/>
          <w:i/>
          <w:sz w:val="16"/>
          <w:szCs w:val="16"/>
          <w:u w:val="single"/>
          <w:lang w:val="es-ES_tradnl"/>
        </w:rPr>
        <w:t>interconexas</w:t>
      </w:r>
      <w:proofErr w:type="spellEnd"/>
      <w:r w:rsidRPr="00470C7C">
        <w:rPr>
          <w:rFonts w:eastAsia="Cambria" w:cs="Times"/>
          <w:i/>
          <w:sz w:val="16"/>
          <w:szCs w:val="16"/>
          <w:u w:val="single"/>
          <w:lang w:val="es-ES_tradnl"/>
        </w:rPr>
        <w:t xml:space="preserve"> de los derechos civiles, políticos, económicos, sociales y culturales, y las personas que viven en la pobreza se ven expuestas regularmente a la denegación de su dignidad e igualdad</w:t>
      </w:r>
      <w:r w:rsidRPr="00470C7C">
        <w:rPr>
          <w:rFonts w:eastAsia="Cambria" w:cs="Times"/>
          <w:sz w:val="16"/>
          <w:szCs w:val="16"/>
          <w:lang w:val="es-ES_tradnl"/>
        </w:rPr>
        <w:t xml:space="preserve">. </w:t>
      </w:r>
    </w:p>
    <w:p w14:paraId="733074EA" w14:textId="77777777" w:rsidR="00130785" w:rsidRPr="00470C7C" w:rsidRDefault="00130785" w:rsidP="00130785">
      <w:pPr>
        <w:widowControl w:val="0"/>
        <w:tabs>
          <w:tab w:val="clear" w:pos="4419"/>
          <w:tab w:val="clear" w:pos="8838"/>
        </w:tabs>
        <w:autoSpaceDE w:val="0"/>
        <w:autoSpaceDN w:val="0"/>
        <w:adjustRightInd w:val="0"/>
        <w:ind w:left="709"/>
        <w:contextualSpacing/>
        <w:jc w:val="both"/>
        <w:rPr>
          <w:rFonts w:eastAsia="Cambria" w:cs="Times"/>
          <w:sz w:val="16"/>
          <w:szCs w:val="16"/>
          <w:lang w:val="es-ES_tradnl"/>
        </w:rPr>
      </w:pPr>
    </w:p>
    <w:p w14:paraId="25023CB4" w14:textId="77777777" w:rsidR="00130785" w:rsidRPr="00470C7C" w:rsidRDefault="00130785" w:rsidP="00130785">
      <w:pPr>
        <w:widowControl w:val="0"/>
        <w:tabs>
          <w:tab w:val="clear" w:pos="4419"/>
          <w:tab w:val="clear" w:pos="8838"/>
        </w:tabs>
        <w:autoSpaceDE w:val="0"/>
        <w:autoSpaceDN w:val="0"/>
        <w:adjustRightInd w:val="0"/>
        <w:ind w:left="709"/>
        <w:contextualSpacing/>
        <w:jc w:val="both"/>
        <w:rPr>
          <w:rFonts w:eastAsia="Cambria" w:cs="Times"/>
          <w:sz w:val="16"/>
          <w:szCs w:val="16"/>
          <w:lang w:val="es-ES_tradnl"/>
        </w:rPr>
      </w:pPr>
      <w:r w:rsidRPr="00470C7C">
        <w:rPr>
          <w:rFonts w:eastAsia="Cambria" w:cs="Times"/>
          <w:sz w:val="16"/>
          <w:szCs w:val="16"/>
          <w:lang w:val="es-ES_tradnl"/>
        </w:rPr>
        <w:t xml:space="preserve">4. Las personas que viven en la pobreza tropiezan con enormes obstáculos, de índole física, económica, cultural y social, para ejercer sus derechos. En consecuencia, sufren muchas privaciones que se relacionan entre sí y se refuerzan mutuamente —como las condiciones de trabajo peligrosas, la insalubridad de la vivienda, la falta de alimentos nutritivos, el acceso desigual a la justicia, la falta de poder político y el limitado acceso a la atención de salud—, que les impiden hacer realidad sus derechos y perpetúan su pobreza. </w:t>
      </w:r>
      <w:r w:rsidRPr="00470C7C">
        <w:rPr>
          <w:rFonts w:eastAsia="Cambria" w:cs="Times"/>
          <w:i/>
          <w:sz w:val="16"/>
          <w:szCs w:val="16"/>
          <w:u w:val="single"/>
          <w:lang w:val="es-ES_tradnl"/>
        </w:rPr>
        <w:t>Las personas sumidas en la extrema pobreza viven en un círculo vicioso de impotencia, estigmatización, discriminación, exclusión y privación material que se alimentan mutuamente</w:t>
      </w:r>
      <w:r w:rsidRPr="00470C7C">
        <w:rPr>
          <w:rFonts w:eastAsia="Cambria" w:cs="Times New Roman"/>
          <w:i/>
          <w:sz w:val="16"/>
          <w:szCs w:val="20"/>
          <w:u w:val="single"/>
          <w:vertAlign w:val="superscript"/>
          <w:lang w:val="es-ES_tradnl"/>
        </w:rPr>
        <w:footnoteReference w:id="565"/>
      </w:r>
      <w:r w:rsidRPr="00470C7C">
        <w:rPr>
          <w:rFonts w:eastAsia="Cambria" w:cs="Times"/>
          <w:i/>
          <w:sz w:val="16"/>
          <w:szCs w:val="16"/>
          <w:lang w:val="es-ES_tradnl"/>
        </w:rPr>
        <w:t>.</w:t>
      </w:r>
      <w:r w:rsidRPr="00470C7C">
        <w:rPr>
          <w:rFonts w:eastAsia="Cambria" w:cs="Times"/>
          <w:sz w:val="16"/>
          <w:szCs w:val="16"/>
          <w:lang w:val="es-ES_tradnl"/>
        </w:rPr>
        <w:t xml:space="preserve"> (Énfasis añadido).</w:t>
      </w:r>
    </w:p>
    <w:p w14:paraId="61DF9D6E" w14:textId="77777777" w:rsidR="00130785" w:rsidRPr="00470C7C" w:rsidRDefault="00130785" w:rsidP="00130785">
      <w:pPr>
        <w:widowControl w:val="0"/>
        <w:tabs>
          <w:tab w:val="clear" w:pos="4419"/>
          <w:tab w:val="clear" w:pos="8838"/>
        </w:tabs>
        <w:autoSpaceDE w:val="0"/>
        <w:autoSpaceDN w:val="0"/>
        <w:adjustRightInd w:val="0"/>
        <w:rPr>
          <w:rFonts w:eastAsia="MS Mincho" w:cs="Times"/>
          <w:szCs w:val="20"/>
          <w:lang w:val="es-ES_tradnl" w:eastAsia="es-ES"/>
        </w:rPr>
      </w:pPr>
    </w:p>
    <w:p w14:paraId="5AA76F35" w14:textId="77777777" w:rsidR="00130785" w:rsidRPr="00470C7C" w:rsidRDefault="00130785" w:rsidP="008B0BCC">
      <w:pPr>
        <w:widowControl w:val="0"/>
        <w:numPr>
          <w:ilvl w:val="0"/>
          <w:numId w:val="26"/>
        </w:numPr>
        <w:tabs>
          <w:tab w:val="clear" w:pos="4419"/>
          <w:tab w:val="clear" w:pos="8838"/>
        </w:tabs>
        <w:autoSpaceDE w:val="0"/>
        <w:autoSpaceDN w:val="0"/>
        <w:adjustRightInd w:val="0"/>
        <w:contextualSpacing/>
        <w:jc w:val="both"/>
        <w:rPr>
          <w:rFonts w:eastAsia="Cambria" w:cs="Times New Roman"/>
          <w:szCs w:val="20"/>
          <w:lang w:val="es-ES_tradnl"/>
        </w:rPr>
      </w:pPr>
      <w:r w:rsidRPr="00470C7C">
        <w:rPr>
          <w:rFonts w:eastAsia="Cambria" w:cs="Times New Roman"/>
          <w:szCs w:val="20"/>
          <w:lang w:val="es-ES_tradnl"/>
        </w:rPr>
        <w:t xml:space="preserve">La Relatora Especial para la Extrema Pobreza y los Derechos Humanos ha considerado que </w:t>
      </w:r>
      <w:r w:rsidRPr="00470C7C">
        <w:rPr>
          <w:rFonts w:eastAsia="Cambria" w:cs="Times"/>
          <w:szCs w:val="20"/>
          <w:u w:val="single"/>
          <w:lang w:val="es-ES_tradnl"/>
        </w:rPr>
        <w:t>las personas que viven en la pobreza son objeto de discriminación por la propia pobreza;</w:t>
      </w:r>
      <w:r w:rsidRPr="00470C7C">
        <w:rPr>
          <w:rFonts w:eastAsia="Cambria" w:cs="Times"/>
          <w:szCs w:val="20"/>
          <w:lang w:val="es-ES_tradnl"/>
        </w:rPr>
        <w:t xml:space="preserve"> y muchas veces también porque pertenecen a otros sectores desfavorecidos de la población, como los pueblos indígenas, las personas con discapacidad, las minorías étnicas y las personas que viven con el VIH/SIDA, entre otros</w:t>
      </w:r>
      <w:r w:rsidRPr="00470C7C">
        <w:rPr>
          <w:rFonts w:eastAsia="Cambria" w:cs="Times New Roman"/>
          <w:szCs w:val="20"/>
          <w:vertAlign w:val="superscript"/>
          <w:lang w:val="es-ES_tradnl"/>
        </w:rPr>
        <w:footnoteReference w:id="566"/>
      </w:r>
      <w:r w:rsidRPr="00470C7C">
        <w:rPr>
          <w:rFonts w:eastAsia="Cambria" w:cs="Times"/>
          <w:szCs w:val="20"/>
          <w:lang w:val="es-ES_tradnl"/>
        </w:rPr>
        <w:t xml:space="preserve">. Es decir, si bien generalmente las personas que se encuentran en condiciones de pobreza coincidentemente pueden pertenecer a otros sectores vulnerables (mujeres, niños, personas con discapacidad, indígenas, afrodescendientes, personas adultas, etc.), no excluye que las personas en situación de pobreza no se vinculen con otra categoría.  </w:t>
      </w:r>
    </w:p>
    <w:p w14:paraId="646233D2" w14:textId="77777777" w:rsidR="00130785" w:rsidRPr="00470C7C" w:rsidRDefault="00130785" w:rsidP="00130785">
      <w:pPr>
        <w:widowControl w:val="0"/>
        <w:tabs>
          <w:tab w:val="clear" w:pos="4419"/>
          <w:tab w:val="clear" w:pos="8838"/>
        </w:tabs>
        <w:autoSpaceDE w:val="0"/>
        <w:autoSpaceDN w:val="0"/>
        <w:adjustRightInd w:val="0"/>
        <w:contextualSpacing/>
        <w:jc w:val="both"/>
        <w:rPr>
          <w:rFonts w:eastAsia="Cambria" w:cs="Times New Roman"/>
          <w:szCs w:val="20"/>
          <w:lang w:val="es-ES_tradnl"/>
        </w:rPr>
      </w:pPr>
    </w:p>
    <w:p w14:paraId="266AEAE3"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Esta tendencia también ha sido recogida por otros Relatores de Naciones Unidas que hacen una diferenciación entre los grupos tradicionalmente reconocidos y las personas que viven en situación de pobreza, reconociéndolas como personas que merecen especial protección en el respeto y la garantía de los derechos humanos internacionalmente reconocidos. </w:t>
      </w:r>
    </w:p>
    <w:p w14:paraId="6EC1DA02"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1DD56CE0"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De este modo encontramos pronunciamientos de las Relatorías Especiales de Naciones Unidas sobre: i) la trata de personas, especialmente las mujeres y niños</w:t>
      </w:r>
      <w:r w:rsidRPr="00470C7C">
        <w:rPr>
          <w:rFonts w:eastAsia="Cambria" w:cs="Times New Roman"/>
          <w:szCs w:val="20"/>
          <w:vertAlign w:val="superscript"/>
          <w:lang w:val="es-ES_tradnl"/>
        </w:rPr>
        <w:footnoteReference w:id="567"/>
      </w:r>
      <w:r w:rsidRPr="00470C7C">
        <w:rPr>
          <w:rFonts w:eastAsia="Cambria" w:cs="Times New Roman"/>
          <w:szCs w:val="20"/>
          <w:lang w:val="es-ES_tradnl"/>
        </w:rPr>
        <w:t xml:space="preserve">; </w:t>
      </w:r>
      <w:proofErr w:type="spellStart"/>
      <w:r w:rsidRPr="00470C7C">
        <w:rPr>
          <w:rFonts w:eastAsia="Cambria" w:cs="Times New Roman"/>
          <w:szCs w:val="20"/>
          <w:lang w:val="es-ES_tradnl"/>
        </w:rPr>
        <w:t>ii</w:t>
      </w:r>
      <w:proofErr w:type="spellEnd"/>
      <w:r w:rsidRPr="00470C7C">
        <w:rPr>
          <w:rFonts w:eastAsia="Cambria" w:cs="Times New Roman"/>
          <w:szCs w:val="20"/>
          <w:lang w:val="es-ES_tradnl"/>
        </w:rPr>
        <w:t>) el derecho al agua</w:t>
      </w:r>
      <w:r w:rsidRPr="00470C7C">
        <w:rPr>
          <w:rFonts w:eastAsia="Cambria" w:cs="Times New Roman"/>
          <w:szCs w:val="20"/>
          <w:vertAlign w:val="superscript"/>
          <w:lang w:val="es-ES_tradnl"/>
        </w:rPr>
        <w:footnoteReference w:id="568"/>
      </w:r>
      <w:r w:rsidRPr="00470C7C">
        <w:rPr>
          <w:rFonts w:eastAsia="Cambria" w:cs="Times New Roman"/>
          <w:szCs w:val="20"/>
          <w:lang w:val="es-ES_tradnl"/>
        </w:rPr>
        <w:t xml:space="preserve">; </w:t>
      </w:r>
      <w:proofErr w:type="spellStart"/>
      <w:r w:rsidRPr="00470C7C">
        <w:rPr>
          <w:rFonts w:eastAsia="Cambria" w:cs="Times New Roman"/>
          <w:szCs w:val="20"/>
          <w:lang w:val="es-ES_tradnl"/>
        </w:rPr>
        <w:t>iii</w:t>
      </w:r>
      <w:proofErr w:type="spellEnd"/>
      <w:r w:rsidRPr="00470C7C">
        <w:rPr>
          <w:rFonts w:eastAsia="Cambria" w:cs="Times New Roman"/>
          <w:szCs w:val="20"/>
          <w:lang w:val="es-ES_tradnl"/>
        </w:rPr>
        <w:t>) defensoras y defensores de derechos humanos</w:t>
      </w:r>
      <w:r w:rsidRPr="00470C7C">
        <w:rPr>
          <w:rFonts w:eastAsia="Cambria" w:cs="Times New Roman"/>
          <w:szCs w:val="20"/>
          <w:vertAlign w:val="superscript"/>
          <w:lang w:val="es-ES_tradnl"/>
        </w:rPr>
        <w:footnoteReference w:id="569"/>
      </w:r>
      <w:r w:rsidRPr="00470C7C">
        <w:rPr>
          <w:rFonts w:eastAsia="Cambria" w:cs="Times New Roman"/>
          <w:szCs w:val="20"/>
          <w:lang w:val="es-ES_tradnl"/>
        </w:rPr>
        <w:t xml:space="preserve">; </w:t>
      </w:r>
      <w:proofErr w:type="spellStart"/>
      <w:r w:rsidRPr="00470C7C">
        <w:rPr>
          <w:rFonts w:eastAsia="Cambria" w:cs="Times New Roman"/>
          <w:szCs w:val="20"/>
          <w:lang w:val="es-ES_tradnl"/>
        </w:rPr>
        <w:t>iv</w:t>
      </w:r>
      <w:proofErr w:type="spellEnd"/>
      <w:r w:rsidRPr="00470C7C">
        <w:rPr>
          <w:rFonts w:eastAsia="Cambria" w:cs="Times New Roman"/>
          <w:szCs w:val="20"/>
          <w:lang w:val="es-ES_tradnl"/>
        </w:rPr>
        <w:t>) el derecho a la educación</w:t>
      </w:r>
      <w:r w:rsidRPr="00470C7C">
        <w:rPr>
          <w:rFonts w:eastAsia="Cambria" w:cs="Times New Roman"/>
          <w:szCs w:val="20"/>
          <w:vertAlign w:val="superscript"/>
          <w:lang w:val="es-ES_tradnl"/>
        </w:rPr>
        <w:footnoteReference w:id="570"/>
      </w:r>
      <w:r w:rsidRPr="00470C7C">
        <w:rPr>
          <w:rFonts w:eastAsia="Cambria" w:cs="Times New Roman"/>
          <w:szCs w:val="20"/>
          <w:lang w:val="es-ES_tradnl"/>
        </w:rPr>
        <w:t>; v) la cuestión de las obligaciones de derechos humanos relacionadas con el disfrute de un medio ambiente sin riesgos, limpio, saludable y sostenible</w:t>
      </w:r>
      <w:r w:rsidRPr="00470C7C">
        <w:rPr>
          <w:rFonts w:eastAsia="Cambria" w:cs="Times New Roman"/>
          <w:szCs w:val="20"/>
          <w:vertAlign w:val="superscript"/>
          <w:lang w:val="es-ES_tradnl"/>
        </w:rPr>
        <w:footnoteReference w:id="571"/>
      </w:r>
      <w:r w:rsidRPr="00470C7C">
        <w:rPr>
          <w:rFonts w:eastAsia="Cambria" w:cs="Times New Roman"/>
          <w:szCs w:val="20"/>
          <w:lang w:val="es-ES_tradnl"/>
        </w:rPr>
        <w:t>; vi) el derecho a una vivienda adecuada</w:t>
      </w:r>
      <w:r w:rsidRPr="00470C7C">
        <w:rPr>
          <w:rFonts w:eastAsia="Cambria" w:cs="Times New Roman"/>
          <w:szCs w:val="20"/>
          <w:vertAlign w:val="superscript"/>
          <w:lang w:val="es-ES_tradnl"/>
        </w:rPr>
        <w:footnoteReference w:id="572"/>
      </w:r>
      <w:r w:rsidRPr="00470C7C">
        <w:rPr>
          <w:rFonts w:eastAsia="Cambria" w:cs="Times New Roman"/>
          <w:szCs w:val="20"/>
          <w:lang w:val="es-ES_tradnl"/>
        </w:rPr>
        <w:t xml:space="preserve">, y </w:t>
      </w:r>
      <w:proofErr w:type="spellStart"/>
      <w:r w:rsidRPr="00470C7C">
        <w:rPr>
          <w:rFonts w:eastAsia="Cambria" w:cs="Times New Roman"/>
          <w:szCs w:val="20"/>
          <w:lang w:val="es-ES_tradnl"/>
        </w:rPr>
        <w:t>vii</w:t>
      </w:r>
      <w:proofErr w:type="spellEnd"/>
      <w:r w:rsidRPr="00470C7C">
        <w:rPr>
          <w:rFonts w:eastAsia="Cambria" w:cs="Times New Roman"/>
          <w:szCs w:val="20"/>
          <w:lang w:val="es-ES_tradnl"/>
        </w:rPr>
        <w:t>) el derecho a la alimentación</w:t>
      </w:r>
      <w:r w:rsidRPr="00470C7C">
        <w:rPr>
          <w:rFonts w:eastAsia="Cambria" w:cs="Times New Roman"/>
          <w:szCs w:val="20"/>
          <w:vertAlign w:val="superscript"/>
          <w:lang w:val="es-ES_tradnl"/>
        </w:rPr>
        <w:footnoteReference w:id="573"/>
      </w:r>
      <w:r w:rsidRPr="00470C7C">
        <w:rPr>
          <w:rFonts w:eastAsia="Cambria" w:cs="Times New Roman"/>
          <w:szCs w:val="20"/>
          <w:lang w:val="es-ES_tradnl"/>
        </w:rPr>
        <w:t xml:space="preserve">. </w:t>
      </w:r>
    </w:p>
    <w:p w14:paraId="1FBE8174"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6A78FBD5" w14:textId="77777777" w:rsidR="00130785" w:rsidRPr="00470C7C" w:rsidRDefault="00130785" w:rsidP="00130785">
      <w:pPr>
        <w:tabs>
          <w:tab w:val="clear" w:pos="4419"/>
          <w:tab w:val="clear" w:pos="8838"/>
        </w:tabs>
        <w:spacing w:line="360" w:lineRule="auto"/>
        <w:contextualSpacing/>
        <w:jc w:val="center"/>
        <w:rPr>
          <w:rFonts w:eastAsia="Cambria" w:cs="Times New Roman"/>
          <w:szCs w:val="20"/>
          <w:lang w:val="es-ES_tradnl"/>
        </w:rPr>
      </w:pPr>
      <w:r w:rsidRPr="00470C7C">
        <w:rPr>
          <w:rFonts w:eastAsia="Cambria" w:cs="Times New Roman"/>
          <w:szCs w:val="20"/>
          <w:lang w:val="es-ES_tradnl"/>
        </w:rPr>
        <w:t>II. LA POBREZA Y LA POSICIÓN ECONÓMICA EN LA JURISPRUDENCIA INTERAMERICANA</w:t>
      </w:r>
    </w:p>
    <w:p w14:paraId="3E61F92A"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4FA0917B"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El tema de la pobreza y la posición económica ha estado presente a lo largo de la jurisprudencia de este Tribunal Interamericano; muchas violaciones de derechos humanos traen aparejadas situaciones de exclusión y de marginación por la propia situación de pobreza de las víctimas. Hasta ahora, en la totalidad de los casos, se ha identificado a la pobreza como un factor de vulnerabilidad que profundiza el impacto que tienen las víctimas de violaciones a derechos humanos sometidas a esta condición. </w:t>
      </w:r>
    </w:p>
    <w:p w14:paraId="5DF9F1A0"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58B76E13"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En el caso del </w:t>
      </w:r>
      <w:r w:rsidRPr="00470C7C">
        <w:rPr>
          <w:rFonts w:eastAsia="Cambria" w:cs="Times New Roman"/>
          <w:i/>
          <w:szCs w:val="20"/>
          <w:lang w:val="es-ES_tradnl"/>
        </w:rPr>
        <w:t xml:space="preserve">Instituto de Reeducación del Menor Vs Paraguay </w:t>
      </w:r>
      <w:r w:rsidRPr="00470C7C">
        <w:rPr>
          <w:rFonts w:eastAsia="Cambria" w:cs="Times New Roman"/>
          <w:szCs w:val="20"/>
          <w:lang w:val="es-ES_tradnl"/>
        </w:rPr>
        <w:t>(2004), en cuanto a las reparaciones, la Corte IDH tuvo presente que en este caso había niños que se en encontraban en un estado manifiesto de pobreza y que habían sido víctimas de graves violaciones a derechos humanos</w:t>
      </w:r>
      <w:r w:rsidRPr="00470C7C">
        <w:rPr>
          <w:rFonts w:eastAsia="Cambria" w:cs="Times New Roman"/>
          <w:szCs w:val="20"/>
          <w:vertAlign w:val="superscript"/>
          <w:lang w:val="es-ES_tradnl"/>
        </w:rPr>
        <w:footnoteReference w:id="574"/>
      </w:r>
      <w:r w:rsidRPr="00470C7C">
        <w:rPr>
          <w:rFonts w:eastAsia="Cambria" w:cs="Times New Roman"/>
          <w:szCs w:val="20"/>
          <w:lang w:val="es-ES_tradnl"/>
        </w:rPr>
        <w:t xml:space="preserve">. </w:t>
      </w:r>
    </w:p>
    <w:p w14:paraId="1006BEC6"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6DD16CAC"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el caso de la </w:t>
      </w:r>
      <w:r w:rsidRPr="00470C7C">
        <w:rPr>
          <w:rFonts w:eastAsia="Cambria" w:cs="Times New Roman"/>
          <w:i/>
          <w:szCs w:val="20"/>
          <w:lang w:val="es-ES_tradnl"/>
        </w:rPr>
        <w:t xml:space="preserve">Comunidad </w:t>
      </w:r>
      <w:proofErr w:type="spellStart"/>
      <w:r w:rsidRPr="00470C7C">
        <w:rPr>
          <w:rFonts w:eastAsia="Cambria" w:cs="Times New Roman"/>
          <w:i/>
          <w:szCs w:val="20"/>
          <w:lang w:val="es-ES_tradnl"/>
        </w:rPr>
        <w:t>Moiwana</w:t>
      </w:r>
      <w:proofErr w:type="spellEnd"/>
      <w:r w:rsidRPr="00470C7C">
        <w:rPr>
          <w:rFonts w:eastAsia="Cambria" w:cs="Times New Roman"/>
          <w:i/>
          <w:szCs w:val="20"/>
          <w:lang w:val="es-ES_tradnl"/>
        </w:rPr>
        <w:t xml:space="preserve"> Vs. </w:t>
      </w:r>
      <w:proofErr w:type="spellStart"/>
      <w:r w:rsidRPr="00470C7C">
        <w:rPr>
          <w:rFonts w:eastAsia="Cambria" w:cs="Times New Roman"/>
          <w:i/>
          <w:szCs w:val="20"/>
          <w:lang w:val="es-ES_tradnl"/>
        </w:rPr>
        <w:t>Suriname</w:t>
      </w:r>
      <w:proofErr w:type="spellEnd"/>
      <w:r w:rsidRPr="00470C7C">
        <w:rPr>
          <w:rFonts w:eastAsia="Cambria" w:cs="Times New Roman"/>
          <w:i/>
          <w:szCs w:val="20"/>
          <w:lang w:val="es-ES_tradnl"/>
        </w:rPr>
        <w:t xml:space="preserve"> </w:t>
      </w:r>
      <w:r w:rsidRPr="00470C7C">
        <w:rPr>
          <w:rFonts w:eastAsia="Cambria" w:cs="Times New Roman"/>
          <w:szCs w:val="20"/>
          <w:lang w:val="es-ES_tradnl"/>
        </w:rPr>
        <w:t xml:space="preserve">(2005), el Tribunal Interamericano dio por probado que los miembros de dicha comunidad habían sido forzados a dejar sus hogares y tierras tradicionales abruptamente, y se encontraron en situación de desplazamiento continuo, en la Guyana Francesa o en otras partes de </w:t>
      </w:r>
      <w:proofErr w:type="spellStart"/>
      <w:r w:rsidRPr="00470C7C">
        <w:rPr>
          <w:rFonts w:eastAsia="Cambria" w:cs="Times New Roman"/>
          <w:szCs w:val="20"/>
          <w:lang w:val="es-ES_tradnl"/>
        </w:rPr>
        <w:t>Suriname</w:t>
      </w:r>
      <w:proofErr w:type="spellEnd"/>
      <w:r w:rsidRPr="00470C7C">
        <w:rPr>
          <w:rFonts w:eastAsia="Cambria" w:cs="Times New Roman"/>
          <w:szCs w:val="20"/>
          <w:lang w:val="es-ES_tradnl"/>
        </w:rPr>
        <w:t xml:space="preserve">. Asimismo, la Corte IDH consideró que los miembros de la Comunidad habían sufrido pobreza y privaciones desde su huida de la Aldea de </w:t>
      </w:r>
      <w:proofErr w:type="spellStart"/>
      <w:r w:rsidRPr="00470C7C">
        <w:rPr>
          <w:rFonts w:eastAsia="Cambria" w:cs="Times New Roman"/>
          <w:szCs w:val="20"/>
          <w:lang w:val="es-ES_tradnl"/>
        </w:rPr>
        <w:t>Moiwana</w:t>
      </w:r>
      <w:proofErr w:type="spellEnd"/>
      <w:r w:rsidRPr="00470C7C">
        <w:rPr>
          <w:rFonts w:eastAsia="Cambria" w:cs="Times New Roman"/>
          <w:szCs w:val="20"/>
          <w:lang w:val="es-ES_tradnl"/>
        </w:rPr>
        <w:t>, dado que la posibilidad de utilizar sus medios tradicionales de subsistencia se había visto limitada drásticamente</w:t>
      </w:r>
      <w:r w:rsidRPr="00470C7C">
        <w:rPr>
          <w:rFonts w:eastAsia="Cambria" w:cs="Times New Roman"/>
          <w:szCs w:val="20"/>
          <w:vertAlign w:val="superscript"/>
          <w:lang w:val="es-ES_tradnl"/>
        </w:rPr>
        <w:footnoteReference w:id="575"/>
      </w:r>
      <w:r w:rsidRPr="00470C7C">
        <w:rPr>
          <w:rFonts w:eastAsia="Cambria" w:cs="Times New Roman"/>
          <w:szCs w:val="20"/>
          <w:lang w:val="es-ES_tradnl"/>
        </w:rPr>
        <w:t xml:space="preserve">. </w:t>
      </w:r>
    </w:p>
    <w:p w14:paraId="1642EBE9"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20611300"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En el caso </w:t>
      </w:r>
      <w:r w:rsidRPr="00470C7C">
        <w:rPr>
          <w:rFonts w:eastAsia="Cambria" w:cs="Times New Roman"/>
          <w:i/>
          <w:szCs w:val="20"/>
          <w:lang w:val="es-ES_tradnl"/>
        </w:rPr>
        <w:t xml:space="preserve">Servellón García Vs. Honduras </w:t>
      </w:r>
      <w:r w:rsidRPr="00470C7C">
        <w:rPr>
          <w:rFonts w:eastAsia="Cambria" w:cs="Times New Roman"/>
          <w:szCs w:val="20"/>
          <w:lang w:val="es-ES_tradnl"/>
        </w:rPr>
        <w:t>(2005)</w:t>
      </w:r>
      <w:r w:rsidRPr="00470C7C">
        <w:rPr>
          <w:rFonts w:eastAsia="Cambria" w:cs="Times New Roman"/>
          <w:i/>
          <w:szCs w:val="20"/>
          <w:lang w:val="es-ES_tradnl"/>
        </w:rPr>
        <w:t xml:space="preserve">, </w:t>
      </w:r>
      <w:r w:rsidRPr="00470C7C">
        <w:rPr>
          <w:rFonts w:eastAsia="Cambria" w:cs="Times New Roman"/>
          <w:szCs w:val="20"/>
          <w:lang w:val="es-ES_tradnl"/>
        </w:rPr>
        <w:t xml:space="preserve">la Corte IDH consideró que los Estados tenían la obligación de asegurar la protección de los niños y jóvenes afectados por la pobreza que estén socialmente marginados. Del mismo modo, el Tribunal destacó, como lo había hecho en el caso </w:t>
      </w:r>
      <w:r w:rsidRPr="00470C7C">
        <w:rPr>
          <w:rFonts w:eastAsia="Cambria" w:cs="Times New Roman"/>
          <w:i/>
          <w:szCs w:val="20"/>
          <w:lang w:val="es-ES_tradnl"/>
        </w:rPr>
        <w:t xml:space="preserve">Niños de la Calle (Villagrán Morales y otros) Vs. Guatemala, </w:t>
      </w:r>
      <w:r w:rsidRPr="00470C7C">
        <w:rPr>
          <w:rFonts w:eastAsia="Cambria" w:cs="Times New Roman"/>
          <w:szCs w:val="20"/>
          <w:lang w:val="es-ES_tradnl"/>
        </w:rPr>
        <w:t>que si los Estados tienen elementos para creer que los niños en situación de riesgo están afectados por factores que pueden conducirlos a cometer actos ilícitos, deben extremar las medidas de prevención del delito. El Estado debe asumir su posición especial de garante con mayor cuidado y responsabilidad y debe tomar medidas especiales orientadas en el principio del interés superior del niño</w:t>
      </w:r>
      <w:r w:rsidRPr="00470C7C">
        <w:rPr>
          <w:rFonts w:eastAsia="Cambria" w:cs="Times New Roman"/>
          <w:szCs w:val="20"/>
          <w:vertAlign w:val="superscript"/>
          <w:lang w:val="es-ES_tradnl"/>
        </w:rPr>
        <w:footnoteReference w:id="576"/>
      </w:r>
      <w:r w:rsidRPr="00470C7C">
        <w:rPr>
          <w:rFonts w:eastAsia="Cambria" w:cs="Times New Roman"/>
          <w:szCs w:val="20"/>
          <w:lang w:val="es-ES_tradnl"/>
        </w:rPr>
        <w:t xml:space="preserve">. </w:t>
      </w:r>
    </w:p>
    <w:p w14:paraId="4722BA2C" w14:textId="77777777" w:rsidR="00130785" w:rsidRPr="00470C7C" w:rsidRDefault="00130785" w:rsidP="00130785">
      <w:pPr>
        <w:tabs>
          <w:tab w:val="clear" w:pos="4419"/>
          <w:tab w:val="clear" w:pos="8838"/>
        </w:tabs>
        <w:rPr>
          <w:rFonts w:eastAsia="MS Mincho" w:cs="Times New Roman"/>
          <w:b/>
          <w:sz w:val="24"/>
          <w:szCs w:val="20"/>
          <w:lang w:val="es-ES_tradnl" w:eastAsia="es-ES"/>
        </w:rPr>
      </w:pPr>
    </w:p>
    <w:p w14:paraId="1A4CF54A"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el caso de la </w:t>
      </w:r>
      <w:r w:rsidRPr="00470C7C">
        <w:rPr>
          <w:rFonts w:eastAsia="Cambria" w:cs="Times New Roman"/>
          <w:i/>
          <w:szCs w:val="20"/>
          <w:lang w:val="es-ES_tradnl"/>
        </w:rPr>
        <w:t xml:space="preserve">Comunidad Indígena </w:t>
      </w:r>
      <w:proofErr w:type="spellStart"/>
      <w:r w:rsidRPr="00470C7C">
        <w:rPr>
          <w:rFonts w:eastAsia="Cambria" w:cs="Times New Roman"/>
          <w:i/>
          <w:szCs w:val="20"/>
          <w:lang w:val="es-ES_tradnl"/>
        </w:rPr>
        <w:t>Yakye</w:t>
      </w:r>
      <w:proofErr w:type="spellEnd"/>
      <w:r w:rsidRPr="00470C7C">
        <w:rPr>
          <w:rFonts w:eastAsia="Cambria" w:cs="Times New Roman"/>
          <w:i/>
          <w:szCs w:val="20"/>
          <w:lang w:val="es-ES_tradnl"/>
        </w:rPr>
        <w:t xml:space="preserve"> Axa Vs. Paraguay (</w:t>
      </w:r>
      <w:r w:rsidRPr="00470C7C">
        <w:rPr>
          <w:rFonts w:eastAsia="Cambria" w:cs="Times New Roman"/>
          <w:szCs w:val="20"/>
          <w:lang w:val="es-ES_tradnl"/>
        </w:rPr>
        <w:t xml:space="preserve">2005), el juez </w:t>
      </w:r>
      <w:r w:rsidRPr="00470C7C">
        <w:rPr>
          <w:rFonts w:eastAsia="Cambria" w:cs="Times New Roman"/>
          <w:i/>
          <w:szCs w:val="20"/>
          <w:lang w:val="es-ES_tradnl"/>
        </w:rPr>
        <w:t>ad-hoc</w:t>
      </w:r>
      <w:r w:rsidRPr="00470C7C">
        <w:rPr>
          <w:rFonts w:eastAsia="Cambria" w:cs="Times New Roman"/>
          <w:szCs w:val="20"/>
          <w:lang w:val="es-ES_tradnl"/>
        </w:rPr>
        <w:t xml:space="preserve"> Ramón </w:t>
      </w:r>
      <w:proofErr w:type="spellStart"/>
      <w:r w:rsidRPr="00470C7C">
        <w:rPr>
          <w:rFonts w:eastAsia="Cambria" w:cs="Times New Roman"/>
          <w:szCs w:val="20"/>
          <w:lang w:val="es-ES_tradnl"/>
        </w:rPr>
        <w:t>Foguel</w:t>
      </w:r>
      <w:proofErr w:type="spellEnd"/>
      <w:r w:rsidRPr="00470C7C">
        <w:rPr>
          <w:rFonts w:eastAsia="Cambria" w:cs="Times New Roman"/>
          <w:szCs w:val="20"/>
          <w:lang w:val="es-ES_tradnl"/>
        </w:rPr>
        <w:t xml:space="preserve"> en su Voto parcialmente concurrente y parcialmente disidente, explicitó que la extrema pobreza en el caso de las comunidades indígenas, en especial las afectadas por la pobreza dura, implica la denegación sistemática de la posibilidad de gozar de derechos inherentes al ser humano. Para el juez </w:t>
      </w:r>
      <w:r w:rsidRPr="00470C7C">
        <w:rPr>
          <w:rFonts w:eastAsia="Cambria" w:cs="Times New Roman"/>
          <w:i/>
          <w:szCs w:val="20"/>
          <w:lang w:val="es-ES_tradnl"/>
        </w:rPr>
        <w:t>ad-hoc</w:t>
      </w:r>
      <w:r w:rsidRPr="00470C7C">
        <w:rPr>
          <w:rFonts w:eastAsia="Cambria" w:cs="Times New Roman"/>
          <w:szCs w:val="20"/>
          <w:lang w:val="es-ES_tradnl"/>
        </w:rPr>
        <w:t xml:space="preserve">, la Comunidad </w:t>
      </w:r>
      <w:proofErr w:type="spellStart"/>
      <w:r w:rsidRPr="00470C7C">
        <w:rPr>
          <w:rFonts w:eastAsia="Cambria" w:cs="Times New Roman"/>
          <w:szCs w:val="20"/>
          <w:lang w:val="es-ES_tradnl"/>
        </w:rPr>
        <w:t>Yakye</w:t>
      </w:r>
      <w:proofErr w:type="spellEnd"/>
      <w:r w:rsidRPr="00470C7C">
        <w:rPr>
          <w:rFonts w:eastAsia="Cambria" w:cs="Times New Roman"/>
          <w:szCs w:val="20"/>
          <w:lang w:val="es-ES_tradnl"/>
        </w:rPr>
        <w:t xml:space="preserve"> Axa, ciertamente estaba afectada por la extrema pobreza</w:t>
      </w:r>
      <w:r w:rsidRPr="00470C7C">
        <w:rPr>
          <w:rFonts w:eastAsia="Cambria" w:cs="Times New Roman"/>
          <w:szCs w:val="20"/>
          <w:vertAlign w:val="superscript"/>
          <w:lang w:val="es-ES_tradnl"/>
        </w:rPr>
        <w:footnoteReference w:id="577"/>
      </w:r>
      <w:r w:rsidRPr="00470C7C">
        <w:rPr>
          <w:rFonts w:eastAsia="Cambria" w:cs="Times New Roman"/>
          <w:szCs w:val="20"/>
          <w:lang w:val="es-ES_tradnl"/>
        </w:rPr>
        <w:t>.</w:t>
      </w:r>
      <w:r w:rsidRPr="00470C7C">
        <w:rPr>
          <w:rFonts w:eastAsia="Cambria" w:cs="Times New Roman"/>
          <w:b/>
          <w:szCs w:val="20"/>
          <w:lang w:val="es-ES_tradnl"/>
        </w:rPr>
        <w:t xml:space="preserve"> </w:t>
      </w:r>
      <w:r w:rsidRPr="00470C7C">
        <w:rPr>
          <w:rFonts w:eastAsia="Cambria" w:cs="Times New Roman"/>
          <w:szCs w:val="20"/>
          <w:lang w:val="es-ES_tradnl"/>
        </w:rPr>
        <w:t xml:space="preserve">De igual manera, el juez </w:t>
      </w:r>
      <w:r w:rsidRPr="00470C7C">
        <w:rPr>
          <w:rFonts w:eastAsia="Cambria" w:cs="Times New Roman"/>
          <w:i/>
          <w:szCs w:val="20"/>
          <w:lang w:val="es-ES_tradnl"/>
        </w:rPr>
        <w:t>ad-hoc</w:t>
      </w:r>
      <w:r w:rsidRPr="00470C7C">
        <w:rPr>
          <w:rFonts w:eastAsia="Cambria" w:cs="Times New Roman"/>
          <w:szCs w:val="20"/>
          <w:lang w:val="es-ES_tradnl"/>
        </w:rPr>
        <w:t xml:space="preserve"> sugiere que en este punto debe tomarse en consideración lo señalado por la Corte IDH en el sentido de que la interpretación de un instrumento internacional de protección debe acompañar la evolución de los tiempos y las condiciones de vida actuales pues la Corte ha señalado también que la interpretación evolutiva, en concordancia con las reglas generales de interpretación de los tratados, ha contribuido en medida importante a los avances del Derecho Internacional de los Derechos Humanos</w:t>
      </w:r>
      <w:r w:rsidRPr="00470C7C">
        <w:rPr>
          <w:rFonts w:eastAsia="Cambria" w:cs="Times New Roman"/>
          <w:szCs w:val="20"/>
          <w:vertAlign w:val="superscript"/>
          <w:lang w:val="es-ES_tradnl"/>
        </w:rPr>
        <w:footnoteReference w:id="578"/>
      </w:r>
      <w:r w:rsidRPr="00470C7C">
        <w:rPr>
          <w:rFonts w:eastAsia="Cambria" w:cs="Times New Roman"/>
          <w:szCs w:val="20"/>
          <w:lang w:val="es-ES_tradnl"/>
        </w:rPr>
        <w:t>.</w:t>
      </w:r>
    </w:p>
    <w:p w14:paraId="156AE06B"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403015C1" w14:textId="77777777" w:rsidR="00130785" w:rsidRPr="00470C7C" w:rsidRDefault="00130785" w:rsidP="008B0BCC">
      <w:pPr>
        <w:numPr>
          <w:ilvl w:val="0"/>
          <w:numId w:val="26"/>
        </w:numPr>
        <w:tabs>
          <w:tab w:val="clear" w:pos="4419"/>
          <w:tab w:val="clear" w:pos="8838"/>
        </w:tabs>
        <w:contextualSpacing/>
        <w:jc w:val="both"/>
        <w:rPr>
          <w:rFonts w:eastAsia="Cambria" w:cs="Times New Roman"/>
        </w:rPr>
      </w:pPr>
      <w:r w:rsidRPr="00470C7C">
        <w:rPr>
          <w:rFonts w:eastAsia="Cambria" w:cs="Times New Roman"/>
          <w:szCs w:val="20"/>
        </w:rPr>
        <w:t xml:space="preserve">Bajo esta óptica, el juez </w:t>
      </w:r>
      <w:r w:rsidRPr="00470C7C">
        <w:rPr>
          <w:rFonts w:eastAsia="Cambria" w:cs="Times New Roman"/>
          <w:i/>
          <w:szCs w:val="20"/>
          <w:lang w:val="es-ES_tradnl"/>
        </w:rPr>
        <w:t>ad-hoc</w:t>
      </w:r>
      <w:r w:rsidRPr="00470C7C">
        <w:rPr>
          <w:rFonts w:eastAsia="Cambria" w:cs="Times New Roman"/>
          <w:szCs w:val="20"/>
        </w:rPr>
        <w:t xml:space="preserve"> señala que, a su juicio, en la interpretación evolutiva del derecho a la vida, consagrada en la Convención Americana, debe tomarse en consideración la </w:t>
      </w:r>
      <w:r w:rsidRPr="00470C7C">
        <w:rPr>
          <w:rFonts w:eastAsia="Cambria" w:cs="Times New Roman"/>
          <w:i/>
          <w:szCs w:val="20"/>
        </w:rPr>
        <w:t xml:space="preserve">condición socio económica </w:t>
      </w:r>
      <w:r w:rsidRPr="00470C7C">
        <w:rPr>
          <w:rFonts w:eastAsia="Cambria" w:cs="Times New Roman"/>
          <w:szCs w:val="20"/>
        </w:rPr>
        <w:t xml:space="preserve">del Paraguay y de la mayoría de los países latinoamericanos, marcada por el crecimiento de la pobreza extrema, en términos absolutos y relativos, a pesar de la implementación de las políticas de protección social. Para el juez </w:t>
      </w:r>
      <w:proofErr w:type="spellStart"/>
      <w:r w:rsidRPr="00470C7C">
        <w:rPr>
          <w:rFonts w:eastAsia="Cambria" w:cs="Times New Roman"/>
          <w:szCs w:val="20"/>
        </w:rPr>
        <w:t>Foguel</w:t>
      </w:r>
      <w:proofErr w:type="spellEnd"/>
      <w:r w:rsidRPr="00470C7C">
        <w:rPr>
          <w:rFonts w:eastAsia="Cambria" w:cs="Times New Roman"/>
          <w:szCs w:val="20"/>
        </w:rPr>
        <w:t>, la interpretación del derecho a la vida no solo se trata de observar el cumplimiento, por parte del Estado, de prestaciones propias de protección social, que garanticen temporalmente condiciones de vida mínimas, sin atender las causas que subyacen a la producción de la pobreza, que reproducen sus condiciones y producen nuevos pobres. El juez considera que lo anterior</w:t>
      </w:r>
      <w:r w:rsidRPr="00470C7C">
        <w:rPr>
          <w:rFonts w:eastAsia="Cambria" w:cs="Times New Roman"/>
        </w:rPr>
        <w:t xml:space="preserve"> plantea la necesidad de vincular las medidas de </w:t>
      </w:r>
      <w:proofErr w:type="spellStart"/>
      <w:r w:rsidRPr="00470C7C">
        <w:rPr>
          <w:rFonts w:eastAsia="Cambria" w:cs="Times New Roman"/>
        </w:rPr>
        <w:t>erradicación</w:t>
      </w:r>
      <w:proofErr w:type="spellEnd"/>
      <w:r w:rsidRPr="00470C7C">
        <w:rPr>
          <w:rFonts w:eastAsia="Cambria" w:cs="Times New Roman"/>
        </w:rPr>
        <w:t xml:space="preserve"> de la pobreza del conjunto de </w:t>
      </w:r>
      <w:proofErr w:type="spellStart"/>
      <w:r w:rsidRPr="00470C7C">
        <w:rPr>
          <w:rFonts w:eastAsia="Cambria" w:cs="Times New Roman"/>
        </w:rPr>
        <w:t>fenómenos</w:t>
      </w:r>
      <w:proofErr w:type="spellEnd"/>
      <w:r w:rsidRPr="00470C7C">
        <w:rPr>
          <w:rFonts w:eastAsia="Cambria" w:cs="Times New Roman"/>
        </w:rPr>
        <w:t xml:space="preserve"> que la originan, teniendo en cuenta la incidencia de las decisiones que se toman a nivel de estados, de </w:t>
      </w:r>
      <w:proofErr w:type="spellStart"/>
      <w:r w:rsidRPr="00470C7C">
        <w:rPr>
          <w:rFonts w:eastAsia="Cambria" w:cs="Times New Roman"/>
        </w:rPr>
        <w:t>órganos</w:t>
      </w:r>
      <w:proofErr w:type="spellEnd"/>
      <w:r w:rsidRPr="00470C7C">
        <w:rPr>
          <w:rFonts w:eastAsia="Cambria" w:cs="Times New Roman"/>
        </w:rPr>
        <w:t xml:space="preserve"> multinacionales y multilaterales pues </w:t>
      </w:r>
      <w:r w:rsidRPr="00470C7C">
        <w:rPr>
          <w:rFonts w:eastAsia="Cambria" w:cs="Times New Roman"/>
          <w:szCs w:val="20"/>
          <w:lang w:val="es-MX"/>
        </w:rPr>
        <w:t xml:space="preserve">en la </w:t>
      </w:r>
      <w:proofErr w:type="spellStart"/>
      <w:r w:rsidRPr="00470C7C">
        <w:rPr>
          <w:rFonts w:eastAsia="Cambria" w:cs="Times New Roman"/>
          <w:szCs w:val="20"/>
          <w:lang w:val="es-MX"/>
        </w:rPr>
        <w:t>reproducción</w:t>
      </w:r>
      <w:proofErr w:type="spellEnd"/>
      <w:r w:rsidRPr="00470C7C">
        <w:rPr>
          <w:rFonts w:eastAsia="Cambria" w:cs="Times New Roman"/>
          <w:szCs w:val="20"/>
          <w:lang w:val="es-MX"/>
        </w:rPr>
        <w:t xml:space="preserve"> de las condiciones de pobreza existen responsabilidades de actores e instituciones internacionales y nacionales comprometidas</w:t>
      </w:r>
      <w:r w:rsidRPr="00470C7C">
        <w:rPr>
          <w:rFonts w:eastAsia="Cambria" w:cs="Times New Roman"/>
          <w:szCs w:val="20"/>
          <w:vertAlign w:val="superscript"/>
          <w:lang w:val="es-ES_tradnl"/>
        </w:rPr>
        <w:footnoteReference w:id="579"/>
      </w:r>
      <w:r w:rsidRPr="00470C7C">
        <w:rPr>
          <w:rFonts w:eastAsia="Cambria" w:cs="Times New Roman"/>
          <w:szCs w:val="20"/>
          <w:lang w:val="es-ES_tradnl"/>
        </w:rPr>
        <w:t>. Así, concluye considerando que:</w:t>
      </w:r>
    </w:p>
    <w:p w14:paraId="0FBF5F63"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3BBB1D60" w14:textId="77777777" w:rsidR="00130785" w:rsidRPr="00470C7C" w:rsidRDefault="00130785" w:rsidP="00130785">
      <w:pPr>
        <w:tabs>
          <w:tab w:val="clear" w:pos="4419"/>
          <w:tab w:val="clear" w:pos="8838"/>
        </w:tabs>
        <w:ind w:left="708"/>
        <w:contextualSpacing/>
        <w:jc w:val="both"/>
        <w:rPr>
          <w:rFonts w:eastAsia="Cambria" w:cs="Times New Roman"/>
          <w:i/>
          <w:sz w:val="16"/>
          <w:szCs w:val="16"/>
          <w:lang w:val="es-ES_tradnl"/>
        </w:rPr>
      </w:pPr>
      <w:r w:rsidRPr="00470C7C">
        <w:rPr>
          <w:rFonts w:eastAsia="Cambria" w:cs="Times New Roman"/>
          <w:i/>
          <w:sz w:val="16"/>
          <w:szCs w:val="16"/>
          <w:lang w:val="es-ES_tradnl"/>
        </w:rPr>
        <w:t>36. En los avances del Derecho Internacional de los Derechos Humanos se requiere que la comunidad internacional asuma que la pobreza, y particularmente, la pobreza extrema, es una forma de negación de todos los derechos humanos (civiles, políticos, económicos, sociales y culturales) y actúe en consecuencia, de modo a facilitar la identificación de perpetradores sobre los cuales recae la responsabilidad internacional. El sistema de crecimiento económico ligada a una forma de globalización que empobrece a crecientes sectores constituye una “masiva, flagrante y sistemática violación de derechos humanos”, en un mundo crecientemente interdependiente. En esta interpretación del derecho a la vida que acompañe la evolución de los tiempos y las condiciones de vida actuales se debe prestar atención a las causas productoras de pobreza extrema y a los perpetradores que están detrás de ellas. En esta perspectiva no cesan las responsabilidades internacionales del Estado […] y de los otros Estados signatarios con la Comunidad Internacional que requiere nuevos instrumentos</w:t>
      </w:r>
      <w:r w:rsidRPr="00470C7C">
        <w:rPr>
          <w:rFonts w:eastAsia="Cambria" w:cs="Times New Roman"/>
          <w:i/>
          <w:sz w:val="16"/>
          <w:szCs w:val="20"/>
          <w:vertAlign w:val="superscript"/>
          <w:lang w:val="es-ES_tradnl"/>
        </w:rPr>
        <w:footnoteReference w:id="580"/>
      </w:r>
      <w:r w:rsidRPr="00470C7C">
        <w:rPr>
          <w:rFonts w:eastAsia="Cambria" w:cs="Times New Roman"/>
          <w:i/>
          <w:sz w:val="16"/>
          <w:szCs w:val="16"/>
          <w:lang w:val="es-ES_tradnl"/>
        </w:rPr>
        <w:t xml:space="preserve">. </w:t>
      </w:r>
    </w:p>
    <w:p w14:paraId="1462BF7F" w14:textId="77777777" w:rsidR="00130785" w:rsidRPr="00470C7C" w:rsidRDefault="00130785" w:rsidP="00130785">
      <w:pPr>
        <w:tabs>
          <w:tab w:val="clear" w:pos="4419"/>
          <w:tab w:val="clear" w:pos="8838"/>
        </w:tabs>
        <w:rPr>
          <w:rFonts w:eastAsia="MS Mincho" w:cs="Times New Roman"/>
          <w:i/>
          <w:sz w:val="16"/>
          <w:szCs w:val="16"/>
          <w:lang w:val="es-ES_tradnl" w:eastAsia="es-ES"/>
        </w:rPr>
      </w:pPr>
    </w:p>
    <w:p w14:paraId="2B5939E3"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 w:val="16"/>
          <w:szCs w:val="16"/>
          <w:lang w:val="es-ES_tradnl"/>
        </w:rPr>
      </w:pPr>
      <w:r w:rsidRPr="00470C7C">
        <w:rPr>
          <w:rFonts w:eastAsia="Cambria" w:cs="Times New Roman"/>
          <w:szCs w:val="20"/>
          <w:lang w:val="es-ES_tradnl"/>
        </w:rPr>
        <w:t xml:space="preserve">En el caso de la </w:t>
      </w:r>
      <w:r w:rsidRPr="00470C7C">
        <w:rPr>
          <w:rFonts w:eastAsia="Cambria" w:cs="Times New Roman"/>
          <w:i/>
          <w:szCs w:val="20"/>
          <w:lang w:val="es-ES_tradnl"/>
        </w:rPr>
        <w:t xml:space="preserve">Masacre de Mapiripán Vs. Colombia </w:t>
      </w:r>
      <w:r w:rsidRPr="00470C7C">
        <w:rPr>
          <w:rFonts w:eastAsia="Cambria" w:cs="Times New Roman"/>
          <w:szCs w:val="20"/>
          <w:lang w:val="es-ES_tradnl"/>
        </w:rPr>
        <w:t>(2005), la Corte IDH constató que, dadas las características de las masacres, los daños sufridos por las familias, aunado al miedo de los familiares a que se repitieran hechos similares, al amedrentamiento y amenazas recibidas por algunos hechos por parte de paramilitares, así como a dar su testimonio o de haberlo dado, provocó el desplazamiento interno de muchas familias de Mapiripán. Además, el Tribunal Interamericano consideró que era posible que algunos de los familiares desplazados no vivieran en Mapiripán al momento de los hechos sino en los alrededores, pero se vieron igualmente obligadas a desplazarse como consecuencias de los mismos. La Corte IDH constató que tal como se desprendía de los propios testimonios, muchas de esas personas habían enfrentado graves condiciones de pobreza y la falta de acceso a muchos servicios básicos</w:t>
      </w:r>
      <w:r w:rsidRPr="00470C7C">
        <w:rPr>
          <w:rFonts w:eastAsia="Cambria" w:cs="Times New Roman"/>
          <w:szCs w:val="20"/>
          <w:vertAlign w:val="superscript"/>
          <w:lang w:val="es-ES_tradnl"/>
        </w:rPr>
        <w:footnoteReference w:id="581"/>
      </w:r>
      <w:r w:rsidRPr="00470C7C">
        <w:rPr>
          <w:rFonts w:eastAsia="Cambria" w:cs="Times New Roman"/>
          <w:szCs w:val="20"/>
          <w:lang w:val="es-ES_tradnl"/>
        </w:rPr>
        <w:t xml:space="preserve">.  </w:t>
      </w:r>
    </w:p>
    <w:p w14:paraId="190E8FA3" w14:textId="77777777" w:rsidR="00130785" w:rsidRPr="00470C7C" w:rsidRDefault="00130785" w:rsidP="00130785">
      <w:pPr>
        <w:tabs>
          <w:tab w:val="clear" w:pos="4419"/>
          <w:tab w:val="clear" w:pos="8838"/>
        </w:tabs>
        <w:contextualSpacing/>
        <w:jc w:val="both"/>
        <w:rPr>
          <w:rFonts w:eastAsia="Cambria" w:cs="Times New Roman"/>
          <w:i/>
          <w:sz w:val="16"/>
          <w:szCs w:val="16"/>
          <w:lang w:val="es-ES_tradnl"/>
        </w:rPr>
      </w:pPr>
    </w:p>
    <w:p w14:paraId="5EA90F58"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Cs w:val="20"/>
          <w:lang w:val="es-ES_tradnl"/>
        </w:rPr>
      </w:pPr>
      <w:r w:rsidRPr="00470C7C">
        <w:rPr>
          <w:rFonts w:eastAsia="Cambria" w:cs="Times New Roman"/>
          <w:szCs w:val="20"/>
          <w:lang w:val="es-ES_tradnl"/>
        </w:rPr>
        <w:t xml:space="preserve">En el caso de la </w:t>
      </w:r>
      <w:r w:rsidRPr="00470C7C">
        <w:rPr>
          <w:rFonts w:eastAsia="Cambria" w:cs="Times New Roman"/>
          <w:i/>
          <w:szCs w:val="20"/>
          <w:lang w:val="es-ES_tradnl"/>
        </w:rPr>
        <w:t xml:space="preserve">Comunidad Indígena </w:t>
      </w:r>
      <w:proofErr w:type="spellStart"/>
      <w:r w:rsidRPr="00470C7C">
        <w:rPr>
          <w:rFonts w:eastAsia="Cambria" w:cs="Times New Roman"/>
          <w:i/>
          <w:szCs w:val="20"/>
          <w:lang w:val="es-ES_tradnl"/>
        </w:rPr>
        <w:t>Sawhoyamaxa</w:t>
      </w:r>
      <w:proofErr w:type="spellEnd"/>
      <w:r w:rsidRPr="00470C7C">
        <w:rPr>
          <w:rFonts w:eastAsia="Cambria" w:cs="Times New Roman"/>
          <w:i/>
          <w:szCs w:val="20"/>
          <w:lang w:val="es-ES_tradnl"/>
        </w:rPr>
        <w:t xml:space="preserve"> Vs. Paraguay </w:t>
      </w:r>
      <w:r w:rsidRPr="00470C7C">
        <w:rPr>
          <w:rFonts w:eastAsia="Cambria" w:cs="Times New Roman"/>
          <w:szCs w:val="20"/>
          <w:lang w:val="es-ES_tradnl"/>
        </w:rPr>
        <w:t>(2006), la Corte IDH estableció que la responsabilidad internacional de los Estados en el marco de la Convención Americana, surge en el momento de la violación de las obligaciones generales recogidas en los artículos 1.1 y 2 de dicho tratado. De estas obligaciones generales derivan deberes especiales, determinables en función de las particulares necesidades de protección del sujeto de derecho, ya sea por su condición personal o por la situación específica en que se encuentre como extrema pobreza, marginación y niñez</w:t>
      </w:r>
      <w:r w:rsidRPr="00470C7C">
        <w:rPr>
          <w:rFonts w:eastAsia="Cambria" w:cs="Times New Roman"/>
          <w:szCs w:val="20"/>
          <w:vertAlign w:val="superscript"/>
          <w:lang w:val="es-ES_tradnl"/>
        </w:rPr>
        <w:footnoteReference w:id="582"/>
      </w:r>
      <w:r w:rsidRPr="00470C7C">
        <w:rPr>
          <w:rFonts w:eastAsia="Cambria" w:cs="Times New Roman"/>
          <w:szCs w:val="20"/>
          <w:lang w:val="es-ES_tradnl"/>
        </w:rPr>
        <w:t xml:space="preserve">. </w:t>
      </w:r>
    </w:p>
    <w:p w14:paraId="16BE867A" w14:textId="77777777" w:rsidR="00130785" w:rsidRPr="00470C7C" w:rsidRDefault="00130785" w:rsidP="00130785">
      <w:pPr>
        <w:tabs>
          <w:tab w:val="clear" w:pos="4419"/>
          <w:tab w:val="clear" w:pos="8838"/>
        </w:tabs>
        <w:rPr>
          <w:rFonts w:eastAsia="MS Mincho" w:cs="Times New Roman"/>
          <w:i/>
          <w:szCs w:val="20"/>
          <w:lang w:val="es-ES_tradnl" w:eastAsia="es-ES"/>
        </w:rPr>
      </w:pPr>
    </w:p>
    <w:p w14:paraId="2639B231"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Cs w:val="20"/>
          <w:lang w:val="es-ES_tradnl"/>
        </w:rPr>
      </w:pPr>
      <w:r w:rsidRPr="00470C7C">
        <w:rPr>
          <w:rFonts w:eastAsia="Cambria" w:cs="Times New Roman"/>
          <w:szCs w:val="20"/>
          <w:lang w:val="es-ES_tradnl"/>
        </w:rPr>
        <w:t xml:space="preserve">En el caso </w:t>
      </w:r>
      <w:proofErr w:type="spellStart"/>
      <w:r w:rsidRPr="00470C7C">
        <w:rPr>
          <w:rFonts w:eastAsia="Cambria" w:cs="Times New Roman"/>
          <w:i/>
          <w:szCs w:val="20"/>
          <w:lang w:val="es-ES_tradnl"/>
        </w:rPr>
        <w:t>Ximenes</w:t>
      </w:r>
      <w:proofErr w:type="spellEnd"/>
      <w:r w:rsidRPr="00470C7C">
        <w:rPr>
          <w:rFonts w:eastAsia="Cambria" w:cs="Times New Roman"/>
          <w:i/>
          <w:szCs w:val="20"/>
          <w:lang w:val="es-ES_tradnl"/>
        </w:rPr>
        <w:t xml:space="preserve"> </w:t>
      </w:r>
      <w:proofErr w:type="spellStart"/>
      <w:r w:rsidRPr="00470C7C">
        <w:rPr>
          <w:rFonts w:eastAsia="Cambria" w:cs="Times New Roman"/>
          <w:i/>
          <w:szCs w:val="20"/>
          <w:lang w:val="es-ES_tradnl"/>
        </w:rPr>
        <w:t>Lopes</w:t>
      </w:r>
      <w:proofErr w:type="spellEnd"/>
      <w:r w:rsidRPr="00470C7C">
        <w:rPr>
          <w:rFonts w:eastAsia="Cambria" w:cs="Times New Roman"/>
          <w:i/>
          <w:szCs w:val="20"/>
          <w:lang w:val="es-ES_tradnl"/>
        </w:rPr>
        <w:t xml:space="preserve"> Vs. Brasil </w:t>
      </w:r>
      <w:r w:rsidRPr="00470C7C">
        <w:rPr>
          <w:rFonts w:eastAsia="Cambria" w:cs="Times New Roman"/>
          <w:szCs w:val="20"/>
          <w:lang w:val="es-ES_tradnl"/>
        </w:rPr>
        <w:t>(2006), el Tribunal Interamericano tomó en cuenta que los grupos que viven en circunstancias adversas y con menos recursos, tales como las personas que viven en condiciones de extrema pobreza, niños, y adolescentes en situación de riesgo, y poblaciones indígenas, enfrentan un incremento de riesgo por padecer discapacidades […]. De esta manera, la Corte IDH consideró que era directo y significativo el vínculo existente entre la discapacidad, por un lado, y la pobreza y la exclusión social, por otro. En razón de lo anterior, entre las medidas positivas a cargo de los Estados se encuentran aquellas necesarias, para prevenir las formas de discapacidad prevenibles, y dar a las personas que (tengan alguna limitación) el tratamiento preferencial apropiado a su condición (especial de vulnerabilidad)</w:t>
      </w:r>
      <w:r w:rsidRPr="00470C7C">
        <w:rPr>
          <w:rFonts w:eastAsia="Cambria" w:cs="Times New Roman"/>
          <w:szCs w:val="20"/>
          <w:vertAlign w:val="superscript"/>
          <w:lang w:val="es-ES_tradnl"/>
        </w:rPr>
        <w:footnoteReference w:id="583"/>
      </w:r>
      <w:r w:rsidRPr="00470C7C">
        <w:rPr>
          <w:rFonts w:eastAsia="Cambria" w:cs="Times New Roman"/>
          <w:szCs w:val="20"/>
          <w:lang w:val="es-ES_tradnl"/>
        </w:rPr>
        <w:t xml:space="preserve">. </w:t>
      </w:r>
    </w:p>
    <w:p w14:paraId="0E75BA4D" w14:textId="77777777" w:rsidR="00130785" w:rsidRPr="00470C7C" w:rsidRDefault="00130785" w:rsidP="00130785">
      <w:pPr>
        <w:tabs>
          <w:tab w:val="clear" w:pos="4419"/>
          <w:tab w:val="clear" w:pos="8838"/>
        </w:tabs>
        <w:rPr>
          <w:rFonts w:eastAsia="MS Mincho" w:cs="Times New Roman"/>
          <w:i/>
          <w:sz w:val="24"/>
          <w:szCs w:val="20"/>
          <w:lang w:val="es-ES_tradnl" w:eastAsia="es-ES"/>
        </w:rPr>
      </w:pPr>
    </w:p>
    <w:p w14:paraId="5578CDCD"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el caso de la </w:t>
      </w:r>
      <w:r w:rsidRPr="00470C7C">
        <w:rPr>
          <w:rFonts w:eastAsia="Cambria" w:cs="Times New Roman"/>
          <w:i/>
          <w:szCs w:val="20"/>
          <w:lang w:val="es-ES_tradnl"/>
        </w:rPr>
        <w:t xml:space="preserve">Comunidad Indígena </w:t>
      </w:r>
      <w:proofErr w:type="spellStart"/>
      <w:r w:rsidRPr="00470C7C">
        <w:rPr>
          <w:rFonts w:eastAsia="Cambria" w:cs="Times New Roman"/>
          <w:i/>
          <w:szCs w:val="20"/>
          <w:lang w:val="es-ES_tradnl"/>
        </w:rPr>
        <w:t>Xákmok</w:t>
      </w:r>
      <w:proofErr w:type="spellEnd"/>
      <w:r w:rsidRPr="00470C7C">
        <w:rPr>
          <w:rFonts w:eastAsia="Cambria" w:cs="Times New Roman"/>
          <w:i/>
          <w:szCs w:val="20"/>
          <w:lang w:val="es-ES_tradnl"/>
        </w:rPr>
        <w:t xml:space="preserve"> </w:t>
      </w:r>
      <w:proofErr w:type="spellStart"/>
      <w:r w:rsidRPr="00470C7C">
        <w:rPr>
          <w:rFonts w:eastAsia="Cambria" w:cs="Times New Roman"/>
          <w:i/>
          <w:szCs w:val="20"/>
          <w:lang w:val="es-ES_tradnl"/>
        </w:rPr>
        <w:t>Kásek</w:t>
      </w:r>
      <w:proofErr w:type="spellEnd"/>
      <w:r w:rsidRPr="00470C7C">
        <w:rPr>
          <w:rFonts w:eastAsia="Cambria" w:cs="Times New Roman"/>
          <w:i/>
          <w:szCs w:val="20"/>
          <w:lang w:val="es-ES_tradnl"/>
        </w:rPr>
        <w:t xml:space="preserve"> Vs. Paraguay </w:t>
      </w:r>
      <w:r w:rsidRPr="00470C7C">
        <w:rPr>
          <w:rFonts w:eastAsia="Cambria" w:cs="Times New Roman"/>
          <w:szCs w:val="20"/>
          <w:lang w:val="es-ES_tradnl"/>
        </w:rPr>
        <w:t>(2010), el Tribunal Interamericano expresó que resaltaba la extrema pobreza y la falta de adecuada atención médica a mujeres en estado de embarazo o post embarazo y que eran causas de alta mortalidad y morbilidad. Por ello, los Estados debían de brindar políticas de salud adecuadas que permitan ofrecer asistencia con personal entrenado adecuadamente para la atención de nacimientos, políticas de prevención de la mortalidad materna a través de controles prenatales y posparto adecuados, e instrumentos legales y administrativos en políticas de salud que permitan documentar adecuadamente los casos de mortalidad materna. Lo anterior, en razón a que las mujeres en estado de embarazo requieren medidas de especial protección</w:t>
      </w:r>
      <w:r w:rsidRPr="00470C7C">
        <w:rPr>
          <w:rFonts w:eastAsia="Cambria" w:cs="Times New Roman"/>
          <w:szCs w:val="20"/>
          <w:vertAlign w:val="superscript"/>
          <w:lang w:val="es-ES_tradnl"/>
        </w:rPr>
        <w:footnoteReference w:id="584"/>
      </w:r>
      <w:r w:rsidRPr="00470C7C">
        <w:rPr>
          <w:rFonts w:eastAsia="Cambria" w:cs="Times New Roman"/>
          <w:szCs w:val="20"/>
          <w:lang w:val="es-ES_tradnl"/>
        </w:rPr>
        <w:t xml:space="preserve">. </w:t>
      </w:r>
    </w:p>
    <w:p w14:paraId="167C034C"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2E973B93"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el caso </w:t>
      </w:r>
      <w:r w:rsidRPr="00470C7C">
        <w:rPr>
          <w:rFonts w:eastAsia="Cambria" w:cs="Times New Roman"/>
          <w:i/>
          <w:szCs w:val="20"/>
          <w:lang w:val="es-ES_tradnl"/>
        </w:rPr>
        <w:t xml:space="preserve">Rosendo Cantú y otra Vs. México </w:t>
      </w:r>
      <w:r w:rsidRPr="00470C7C">
        <w:rPr>
          <w:rFonts w:eastAsia="Cambria" w:cs="Times New Roman"/>
          <w:szCs w:val="20"/>
          <w:lang w:val="es-ES_tradnl"/>
        </w:rPr>
        <w:t>(2010), la Corte IDH señaló, que de conformidad con el artículo 19 de la Convención Americana, los Estados debían de asumir una posición especial de garante con mayor cuidado y responsabilidad, y deben tomar medidas o cuidados especiales orientados en el principio del interés superior del menor. En tal sentido, el Estado debe prestar especial atención a las necesidades y a los derechos de las niñas y los niños, en condición particular de vulnerabilidad. En este caso, se consideró que de conformidad con sus obligaciones convencionales, efectivamente, el Estado debió haber adoptado medidas especiales a favor de la señora Rosendo Cantú, no sólo durante la denuncia penal, sino durante todo el tiempo en que, siendo una niña, estuvo vinculada a las investigaciones ministeriales seguidas con motivo del delito que había denunciado, máxime por tratarse de una (mujer) indígena, pues los niños indígenas cuyas comunidades son afectadas por la pobreza se encuentran en una especial situación de vulnerabilidad</w:t>
      </w:r>
      <w:r w:rsidRPr="00470C7C">
        <w:rPr>
          <w:rFonts w:eastAsia="Cambria" w:cs="Times New Roman"/>
          <w:szCs w:val="20"/>
          <w:vertAlign w:val="superscript"/>
          <w:lang w:val="es-ES_tradnl"/>
        </w:rPr>
        <w:footnoteReference w:id="585"/>
      </w:r>
      <w:r w:rsidRPr="00470C7C">
        <w:rPr>
          <w:rFonts w:eastAsia="Cambria" w:cs="Times New Roman"/>
          <w:szCs w:val="20"/>
          <w:lang w:val="es-ES_tradnl"/>
        </w:rPr>
        <w:t xml:space="preserve">.  </w:t>
      </w:r>
    </w:p>
    <w:p w14:paraId="7AD53C62"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617A6E77"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Cs w:val="20"/>
          <w:lang w:val="es-ES_tradnl"/>
        </w:rPr>
      </w:pPr>
      <w:r w:rsidRPr="00470C7C">
        <w:rPr>
          <w:rFonts w:eastAsia="Cambria" w:cs="Times New Roman"/>
          <w:szCs w:val="20"/>
          <w:lang w:val="es-ES_tradnl"/>
        </w:rPr>
        <w:t>En el caso</w:t>
      </w:r>
      <w:r w:rsidRPr="00470C7C">
        <w:rPr>
          <w:rFonts w:eastAsia="Cambria" w:cs="Times New Roman"/>
          <w:i/>
          <w:szCs w:val="20"/>
          <w:lang w:val="es-ES_tradnl"/>
        </w:rPr>
        <w:t xml:space="preserve"> </w:t>
      </w:r>
      <w:proofErr w:type="spellStart"/>
      <w:r w:rsidRPr="00470C7C">
        <w:rPr>
          <w:rFonts w:eastAsia="Cambria" w:cs="Times New Roman"/>
          <w:i/>
          <w:szCs w:val="20"/>
          <w:lang w:val="es-ES_tradnl"/>
        </w:rPr>
        <w:t>Furlan</w:t>
      </w:r>
      <w:proofErr w:type="spellEnd"/>
      <w:r w:rsidRPr="00470C7C">
        <w:rPr>
          <w:rFonts w:eastAsia="Cambria" w:cs="Times New Roman"/>
          <w:i/>
          <w:szCs w:val="20"/>
          <w:lang w:val="es-ES_tradnl"/>
        </w:rPr>
        <w:t xml:space="preserve"> y otros Vs. Argentina </w:t>
      </w:r>
      <w:r w:rsidRPr="00470C7C">
        <w:rPr>
          <w:rFonts w:eastAsia="Cambria" w:cs="Times New Roman"/>
          <w:szCs w:val="20"/>
          <w:lang w:val="es-ES_tradnl"/>
        </w:rPr>
        <w:t>(2012), reiterando la relación entre la pobreza y la discapacidad</w:t>
      </w:r>
      <w:r w:rsidRPr="00470C7C">
        <w:rPr>
          <w:rFonts w:eastAsia="Cambria" w:cs="Times New Roman"/>
          <w:szCs w:val="20"/>
          <w:vertAlign w:val="superscript"/>
          <w:lang w:val="es-ES_tradnl"/>
        </w:rPr>
        <w:footnoteReference w:id="586"/>
      </w:r>
      <w:r w:rsidRPr="00470C7C">
        <w:rPr>
          <w:rFonts w:eastAsia="Cambria" w:cs="Times New Roman"/>
          <w:szCs w:val="20"/>
          <w:lang w:val="es-ES_tradnl"/>
        </w:rPr>
        <w:t xml:space="preserve">, la Corte IDH observó que el asesor de menores no fue notificado por el juez de proceso civil mientras Sebastián </w:t>
      </w:r>
      <w:proofErr w:type="spellStart"/>
      <w:r w:rsidRPr="00470C7C">
        <w:rPr>
          <w:rFonts w:eastAsia="Cambria" w:cs="Times New Roman"/>
          <w:szCs w:val="20"/>
          <w:lang w:val="es-ES_tradnl"/>
        </w:rPr>
        <w:t>Furlan</w:t>
      </w:r>
      <w:proofErr w:type="spellEnd"/>
      <w:r w:rsidRPr="00470C7C">
        <w:rPr>
          <w:rFonts w:eastAsia="Cambria" w:cs="Times New Roman"/>
          <w:szCs w:val="20"/>
          <w:lang w:val="es-ES_tradnl"/>
        </w:rPr>
        <w:t xml:space="preserve"> era un niño, cuando se contó con los peritajes que daban cuenta del grado de su discapacidad; razón por la cual Sebastián </w:t>
      </w:r>
      <w:proofErr w:type="spellStart"/>
      <w:r w:rsidRPr="00470C7C">
        <w:rPr>
          <w:rFonts w:eastAsia="Cambria" w:cs="Times New Roman"/>
          <w:szCs w:val="20"/>
          <w:lang w:val="es-ES_tradnl"/>
        </w:rPr>
        <w:t>Furlan</w:t>
      </w:r>
      <w:proofErr w:type="spellEnd"/>
      <w:r w:rsidRPr="00470C7C">
        <w:rPr>
          <w:rFonts w:eastAsia="Cambria" w:cs="Times New Roman"/>
          <w:szCs w:val="20"/>
          <w:lang w:val="es-ES_tradnl"/>
        </w:rPr>
        <w:t xml:space="preserve"> no contó con una garantía, no solo obligatoria en el ámbito interno, sino que además habría podido intervenir mediante las facultades que le concedía la ley a coadyuvar en el proceso civil. Teniendo en cuenta lo anterior, en las circunstancias específicas del caso, la Corte IDH notó que el asesor de menores e incapaces [sic] constituía una herramienta esencial para enfrentar la vulnerabilidad de Sebastián </w:t>
      </w:r>
      <w:proofErr w:type="spellStart"/>
      <w:r w:rsidRPr="00470C7C">
        <w:rPr>
          <w:rFonts w:eastAsia="Cambria" w:cs="Times New Roman"/>
          <w:szCs w:val="20"/>
          <w:lang w:val="es-ES_tradnl"/>
        </w:rPr>
        <w:t>Furlan</w:t>
      </w:r>
      <w:proofErr w:type="spellEnd"/>
      <w:r w:rsidRPr="00470C7C">
        <w:rPr>
          <w:rFonts w:eastAsia="Cambria" w:cs="Times New Roman"/>
          <w:szCs w:val="20"/>
          <w:lang w:val="es-ES_tradnl"/>
        </w:rPr>
        <w:t xml:space="preserve"> por el efecto negativo que generaba la interrelación entre su discapacidad y los escasos recursos económicos con que contaban él y su familia, generando que la pobreza de su entorno tuviera un impacto desproporcionado en su condición de persona con discapacidad</w:t>
      </w:r>
      <w:r w:rsidRPr="00470C7C">
        <w:rPr>
          <w:rFonts w:eastAsia="Cambria" w:cs="Times New Roman"/>
          <w:szCs w:val="20"/>
          <w:vertAlign w:val="superscript"/>
          <w:lang w:val="es-ES_tradnl"/>
        </w:rPr>
        <w:footnoteReference w:id="587"/>
      </w:r>
      <w:r w:rsidRPr="00470C7C">
        <w:rPr>
          <w:rFonts w:eastAsia="Cambria" w:cs="Times New Roman"/>
          <w:szCs w:val="20"/>
          <w:lang w:val="es-ES_tradnl"/>
        </w:rPr>
        <w:t xml:space="preserve">. </w:t>
      </w:r>
    </w:p>
    <w:p w14:paraId="30ECB69B" w14:textId="77777777" w:rsidR="00130785" w:rsidRPr="00470C7C" w:rsidRDefault="00130785" w:rsidP="00130785">
      <w:pPr>
        <w:tabs>
          <w:tab w:val="clear" w:pos="4419"/>
          <w:tab w:val="clear" w:pos="8838"/>
        </w:tabs>
        <w:rPr>
          <w:rFonts w:eastAsia="MS Mincho" w:cs="Times New Roman"/>
          <w:i/>
          <w:sz w:val="24"/>
          <w:szCs w:val="20"/>
          <w:lang w:val="es-ES_tradnl" w:eastAsia="es-ES"/>
        </w:rPr>
      </w:pPr>
    </w:p>
    <w:p w14:paraId="042616F4"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Cs w:val="20"/>
          <w:lang w:val="es-ES_tradnl"/>
        </w:rPr>
      </w:pPr>
      <w:r w:rsidRPr="00470C7C">
        <w:rPr>
          <w:rFonts w:eastAsia="Cambria" w:cs="Times New Roman"/>
          <w:szCs w:val="20"/>
          <w:lang w:val="es-ES_tradnl"/>
        </w:rPr>
        <w:t xml:space="preserve">En el caso </w:t>
      </w:r>
      <w:r w:rsidRPr="00470C7C">
        <w:rPr>
          <w:rFonts w:eastAsia="Cambria" w:cs="Times New Roman"/>
          <w:i/>
          <w:szCs w:val="20"/>
          <w:lang w:val="es-ES_tradnl"/>
        </w:rPr>
        <w:t xml:space="preserve">Uzcátegui y otros Vs. Venezuela </w:t>
      </w:r>
      <w:r w:rsidRPr="00470C7C">
        <w:rPr>
          <w:rFonts w:eastAsia="Cambria" w:cs="Times New Roman"/>
          <w:szCs w:val="20"/>
          <w:lang w:val="es-ES_tradnl"/>
        </w:rPr>
        <w:t>(2012), respecto del derecho de propiedad, la Corte IDH consideró que por las circunstancias en las que tuvieron lugar y, muy especialmente, por la condición socio económica de vulnerabilidad de la familia Uzcátegui, los daños ocasionados a la propiedad con motivo de su allanamiento, tuvieron para aquella un efecto o magnitud mayores que los que hubiesen tenido para otros grupos familiares. En este sentido, la Corte IDH estimó que los Estados deben tomar en cuenta que los grupos de personas que viven en circunstancias adversas y con menos recursos, tales como las personas que viven en condiciones de pobreza, enfrentan un incremento de grado de afectación a sus derechos precisamente por su situación de mayor vulnerabilidad</w:t>
      </w:r>
      <w:r w:rsidRPr="00470C7C">
        <w:rPr>
          <w:rFonts w:eastAsia="Cambria" w:cs="Times New Roman"/>
          <w:szCs w:val="20"/>
          <w:vertAlign w:val="superscript"/>
          <w:lang w:val="es-ES_tradnl"/>
        </w:rPr>
        <w:footnoteReference w:id="588"/>
      </w:r>
      <w:r w:rsidRPr="00470C7C">
        <w:rPr>
          <w:rFonts w:eastAsia="Cambria" w:cs="Times New Roman"/>
          <w:szCs w:val="20"/>
          <w:lang w:val="es-ES_tradnl"/>
        </w:rPr>
        <w:t xml:space="preserve">. </w:t>
      </w:r>
    </w:p>
    <w:p w14:paraId="444B3C6C" w14:textId="77777777" w:rsidR="00130785" w:rsidRPr="00470C7C" w:rsidRDefault="00130785" w:rsidP="00130785">
      <w:pPr>
        <w:tabs>
          <w:tab w:val="clear" w:pos="4419"/>
          <w:tab w:val="clear" w:pos="8838"/>
        </w:tabs>
        <w:rPr>
          <w:rFonts w:eastAsia="MS Mincho" w:cs="Times New Roman"/>
          <w:i/>
          <w:sz w:val="24"/>
          <w:szCs w:val="20"/>
          <w:lang w:val="es-ES_tradnl" w:eastAsia="es-ES"/>
        </w:rPr>
      </w:pPr>
    </w:p>
    <w:p w14:paraId="1559D467" w14:textId="77777777" w:rsidR="00130785" w:rsidRPr="00470C7C" w:rsidRDefault="00130785" w:rsidP="008B0BCC">
      <w:pPr>
        <w:numPr>
          <w:ilvl w:val="0"/>
          <w:numId w:val="26"/>
        </w:numPr>
        <w:tabs>
          <w:tab w:val="clear" w:pos="4419"/>
          <w:tab w:val="clear" w:pos="8838"/>
        </w:tabs>
        <w:contextualSpacing/>
        <w:jc w:val="both"/>
        <w:rPr>
          <w:rFonts w:eastAsia="Cambria" w:cs="Times New Roman"/>
          <w:b/>
          <w:i/>
          <w:szCs w:val="20"/>
          <w:lang w:val="es-ES_tradnl"/>
        </w:rPr>
      </w:pPr>
      <w:r w:rsidRPr="00470C7C">
        <w:rPr>
          <w:rFonts w:eastAsia="Cambria" w:cs="Times New Roman"/>
          <w:szCs w:val="20"/>
          <w:lang w:val="es-ES_tradnl"/>
        </w:rPr>
        <w:t>En el marco del conflicto armado interno y de aplicación del Derecho Internacional Humanitario, la Corte IDH ha considerado que las personas en situación de pobreza dada su condición socioeconómica y vulnerabilidad enfrentan de diferente manera (en mayor magnitud) la violación de derechos humanos que los que hubieren enfrentado otras personas o grupos en otras condiciones</w:t>
      </w:r>
      <w:r w:rsidRPr="00470C7C">
        <w:rPr>
          <w:rFonts w:eastAsia="Cambria" w:cs="Times New Roman"/>
          <w:szCs w:val="20"/>
          <w:vertAlign w:val="superscript"/>
          <w:lang w:val="es-ES_tradnl"/>
        </w:rPr>
        <w:footnoteReference w:id="589"/>
      </w:r>
      <w:r w:rsidRPr="00470C7C">
        <w:rPr>
          <w:rFonts w:eastAsia="Cambria" w:cs="Times New Roman"/>
          <w:szCs w:val="20"/>
          <w:lang w:val="es-ES_tradnl"/>
        </w:rPr>
        <w:t xml:space="preserve">. En el caso </w:t>
      </w:r>
      <w:r w:rsidRPr="00470C7C">
        <w:rPr>
          <w:rFonts w:eastAsia="Cambria" w:cs="Times New Roman"/>
          <w:i/>
          <w:szCs w:val="20"/>
          <w:lang w:val="es-ES_tradnl"/>
        </w:rPr>
        <w:t xml:space="preserve">Masacre de Santo Domingo Vs. Colombia </w:t>
      </w:r>
      <w:r w:rsidRPr="00470C7C">
        <w:rPr>
          <w:rFonts w:eastAsia="Cambria" w:cs="Times New Roman"/>
          <w:szCs w:val="20"/>
          <w:lang w:val="es-ES_tradnl"/>
        </w:rPr>
        <w:t>(2012)</w:t>
      </w:r>
      <w:r w:rsidRPr="00470C7C">
        <w:rPr>
          <w:rFonts w:eastAsia="Cambria" w:cs="Times New Roman"/>
          <w:i/>
          <w:szCs w:val="20"/>
          <w:lang w:val="es-ES_tradnl"/>
        </w:rPr>
        <w:t xml:space="preserve">, </w:t>
      </w:r>
      <w:r w:rsidRPr="00470C7C">
        <w:rPr>
          <w:rFonts w:eastAsia="Cambria" w:cs="Times New Roman"/>
          <w:szCs w:val="20"/>
          <w:lang w:val="es-ES_tradnl"/>
        </w:rPr>
        <w:t>el Tribunal Interamericano probó que después de que los pobladores de Santo Domingo tuvieron que abandonar sus hogares y desplazarse, como consecuencia de los hechos violentos de los cuales habían sido objeto, se produjeron saqueos en algunas de las viviendas y tiendas de Santo Domingo, así como los daños y destrucciones a los bienes muebles e inmuebles</w:t>
      </w:r>
      <w:r w:rsidRPr="00470C7C">
        <w:rPr>
          <w:rFonts w:eastAsia="Cambria" w:cs="Times New Roman"/>
          <w:szCs w:val="20"/>
          <w:vertAlign w:val="superscript"/>
          <w:lang w:val="es-ES_tradnl"/>
        </w:rPr>
        <w:footnoteReference w:id="590"/>
      </w:r>
      <w:r w:rsidRPr="00470C7C">
        <w:rPr>
          <w:rFonts w:eastAsia="Cambria" w:cs="Times New Roman"/>
          <w:szCs w:val="20"/>
          <w:lang w:val="es-ES_tradnl"/>
        </w:rPr>
        <w:t xml:space="preserve">.  </w:t>
      </w:r>
    </w:p>
    <w:p w14:paraId="32362CBD" w14:textId="77777777" w:rsidR="00130785" w:rsidRPr="00470C7C" w:rsidRDefault="00130785" w:rsidP="00130785">
      <w:pPr>
        <w:tabs>
          <w:tab w:val="clear" w:pos="4419"/>
          <w:tab w:val="clear" w:pos="8838"/>
        </w:tabs>
        <w:contextualSpacing/>
        <w:jc w:val="both"/>
        <w:rPr>
          <w:rFonts w:eastAsia="Cambria" w:cs="Times New Roman"/>
          <w:b/>
          <w:i/>
          <w:szCs w:val="20"/>
          <w:lang w:val="es-ES_tradnl"/>
        </w:rPr>
      </w:pPr>
    </w:p>
    <w:p w14:paraId="635F26C6"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En el caso </w:t>
      </w:r>
      <w:r w:rsidRPr="00470C7C">
        <w:rPr>
          <w:rFonts w:eastAsia="Cambria" w:cs="Times New Roman"/>
          <w:i/>
          <w:szCs w:val="20"/>
          <w:lang w:val="es-ES_tradnl"/>
        </w:rPr>
        <w:t xml:space="preserve">Artavia Murillo y otros (Fecundación in Vitro) Vs. Costa Rica </w:t>
      </w:r>
      <w:r w:rsidRPr="00470C7C">
        <w:rPr>
          <w:rFonts w:eastAsia="Cambria" w:cs="Times New Roman"/>
          <w:szCs w:val="20"/>
          <w:lang w:val="es-ES_tradnl"/>
        </w:rPr>
        <w:t xml:space="preserve">(2012), respecto al análisis de </w:t>
      </w:r>
      <w:r w:rsidRPr="00470C7C">
        <w:rPr>
          <w:rFonts w:eastAsia="Cambria" w:cs="Times New Roman"/>
          <w:lang w:val="es-ES_tradnl"/>
        </w:rPr>
        <w:t xml:space="preserve">la prohibición de la fecundación in vitro, la Corte IDH señaló que ésta tuvo un impacto desproporcionado en las parejas infértiles que no contaban con los recursos económicos para practicarse la FIV en el extranjero; así, varias de las víctimas no tenían los recursos económicos para realizar </w:t>
      </w:r>
      <w:r w:rsidRPr="00470C7C">
        <w:rPr>
          <w:rFonts w:eastAsia="Cambria" w:cs="Times New Roman"/>
          <w:szCs w:val="20"/>
          <w:lang w:val="es-ES_tradnl"/>
        </w:rPr>
        <w:t>de manera exitosa el tratamiento de la fecundación in vitro en el extranjero</w:t>
      </w:r>
      <w:r w:rsidRPr="00470C7C">
        <w:rPr>
          <w:rFonts w:eastAsia="Cambria" w:cs="Times New Roman"/>
          <w:szCs w:val="20"/>
          <w:vertAlign w:val="superscript"/>
          <w:lang w:val="es-ES_tradnl"/>
        </w:rPr>
        <w:footnoteReference w:id="591"/>
      </w:r>
      <w:r w:rsidRPr="00470C7C">
        <w:rPr>
          <w:rFonts w:eastAsia="Cambria" w:cs="Times New Roman"/>
          <w:szCs w:val="20"/>
          <w:lang w:val="es-ES_tradnl"/>
        </w:rPr>
        <w:t xml:space="preserve"> constituyéndose una discriminación indirecta</w:t>
      </w:r>
      <w:r w:rsidRPr="00470C7C">
        <w:rPr>
          <w:rFonts w:eastAsia="Cambria" w:cs="Times New Roman"/>
          <w:szCs w:val="20"/>
          <w:vertAlign w:val="superscript"/>
          <w:lang w:val="es-ES_tradnl"/>
        </w:rPr>
        <w:footnoteReference w:id="592"/>
      </w:r>
      <w:r w:rsidRPr="00470C7C">
        <w:rPr>
          <w:rFonts w:eastAsia="Cambria" w:cs="Times New Roman"/>
          <w:szCs w:val="20"/>
          <w:lang w:val="es-ES_tradnl"/>
        </w:rPr>
        <w:t xml:space="preserve">. </w:t>
      </w:r>
    </w:p>
    <w:p w14:paraId="545F6B25" w14:textId="77777777" w:rsidR="00130785" w:rsidRPr="00470C7C" w:rsidRDefault="00130785" w:rsidP="00130785">
      <w:pPr>
        <w:tabs>
          <w:tab w:val="clear" w:pos="4419"/>
          <w:tab w:val="clear" w:pos="8838"/>
        </w:tabs>
        <w:contextualSpacing/>
        <w:jc w:val="both"/>
        <w:rPr>
          <w:rFonts w:eastAsia="Cambria" w:cs="Times New Roman"/>
          <w:b/>
          <w:i/>
          <w:szCs w:val="20"/>
          <w:lang w:val="es-ES_tradnl"/>
        </w:rPr>
      </w:pPr>
    </w:p>
    <w:p w14:paraId="6B9E55E3" w14:textId="77777777" w:rsidR="00130785" w:rsidRPr="00470C7C" w:rsidRDefault="00130785" w:rsidP="008B0BCC">
      <w:pPr>
        <w:numPr>
          <w:ilvl w:val="0"/>
          <w:numId w:val="26"/>
        </w:numPr>
        <w:tabs>
          <w:tab w:val="clear" w:pos="4419"/>
          <w:tab w:val="clear" w:pos="8838"/>
        </w:tabs>
        <w:contextualSpacing/>
        <w:jc w:val="both"/>
        <w:rPr>
          <w:rFonts w:eastAsia="Cambria" w:cs="Times New Roman"/>
          <w:b/>
          <w:i/>
          <w:szCs w:val="20"/>
          <w:lang w:val="es-ES_tradnl"/>
        </w:rPr>
      </w:pPr>
      <w:r w:rsidRPr="00470C7C">
        <w:rPr>
          <w:rFonts w:eastAsia="Cambria" w:cs="Times New Roman"/>
          <w:szCs w:val="20"/>
          <w:lang w:val="es-ES_tradnl"/>
        </w:rPr>
        <w:t xml:space="preserve">En los casos </w:t>
      </w:r>
      <w:proofErr w:type="spellStart"/>
      <w:r w:rsidRPr="00470C7C">
        <w:rPr>
          <w:rFonts w:eastAsia="Cambria" w:cs="Times New Roman"/>
          <w:i/>
          <w:szCs w:val="20"/>
          <w:lang w:val="es-ES_tradnl"/>
        </w:rPr>
        <w:t>Yean</w:t>
      </w:r>
      <w:proofErr w:type="spellEnd"/>
      <w:r w:rsidRPr="00470C7C">
        <w:rPr>
          <w:rFonts w:eastAsia="Cambria" w:cs="Times New Roman"/>
          <w:i/>
          <w:szCs w:val="20"/>
          <w:lang w:val="es-ES_tradnl"/>
        </w:rPr>
        <w:t xml:space="preserve"> y </w:t>
      </w:r>
      <w:proofErr w:type="spellStart"/>
      <w:r w:rsidRPr="00470C7C">
        <w:rPr>
          <w:rFonts w:eastAsia="Cambria" w:cs="Times New Roman"/>
          <w:i/>
          <w:szCs w:val="20"/>
          <w:lang w:val="es-ES_tradnl"/>
        </w:rPr>
        <w:t>Bosico</w:t>
      </w:r>
      <w:proofErr w:type="spellEnd"/>
      <w:r w:rsidRPr="00470C7C">
        <w:rPr>
          <w:rFonts w:eastAsia="Cambria" w:cs="Times New Roman"/>
          <w:i/>
          <w:szCs w:val="20"/>
          <w:lang w:val="es-ES_tradnl"/>
        </w:rPr>
        <w:t xml:space="preserve"> </w:t>
      </w:r>
      <w:r w:rsidRPr="00470C7C">
        <w:rPr>
          <w:rFonts w:eastAsia="Cambria" w:cs="Times New Roman"/>
          <w:szCs w:val="20"/>
          <w:lang w:val="es-ES_tradnl"/>
        </w:rPr>
        <w:t xml:space="preserve">(2005) y de las </w:t>
      </w:r>
      <w:r w:rsidRPr="00470C7C">
        <w:rPr>
          <w:rFonts w:eastAsia="Cambria" w:cs="Times New Roman"/>
          <w:i/>
          <w:szCs w:val="20"/>
          <w:lang w:val="es-ES_tradnl"/>
        </w:rPr>
        <w:t xml:space="preserve">Personas Dominicanas y Haitianas expulsadas </w:t>
      </w:r>
      <w:r w:rsidRPr="00470C7C">
        <w:rPr>
          <w:rFonts w:eastAsia="Cambria" w:cs="Times New Roman"/>
          <w:szCs w:val="20"/>
          <w:lang w:val="es-ES_tradnl"/>
        </w:rPr>
        <w:t>(2014), ambos contra República Dominicana, se dio por probado que muchas de las personas haitianas en República Dominicana sufrían condiciones de pobreza y marginalidad derivada de su estatus legal y de su falta de oportunidades</w:t>
      </w:r>
      <w:r w:rsidRPr="00470C7C">
        <w:rPr>
          <w:rFonts w:eastAsia="Cambria" w:cs="Times New Roman"/>
          <w:szCs w:val="20"/>
          <w:vertAlign w:val="superscript"/>
          <w:lang w:val="es-ES_tradnl"/>
        </w:rPr>
        <w:footnoteReference w:id="593"/>
      </w:r>
      <w:r w:rsidRPr="00470C7C">
        <w:rPr>
          <w:rFonts w:eastAsia="Cambria" w:cs="Times New Roman"/>
          <w:szCs w:val="20"/>
          <w:lang w:val="es-ES_tradnl"/>
        </w:rPr>
        <w:t>.</w:t>
      </w:r>
      <w:r w:rsidRPr="00470C7C">
        <w:rPr>
          <w:rFonts w:eastAsia="Cambria" w:cs="Times New Roman"/>
          <w:b/>
          <w:szCs w:val="20"/>
          <w:lang w:val="es-ES_tradnl"/>
        </w:rPr>
        <w:t xml:space="preserve"> </w:t>
      </w:r>
    </w:p>
    <w:p w14:paraId="3451D170" w14:textId="77777777" w:rsidR="00130785" w:rsidRPr="00470C7C" w:rsidRDefault="00130785" w:rsidP="00130785">
      <w:pPr>
        <w:tabs>
          <w:tab w:val="clear" w:pos="4419"/>
          <w:tab w:val="clear" w:pos="8838"/>
        </w:tabs>
        <w:contextualSpacing/>
        <w:jc w:val="both"/>
        <w:rPr>
          <w:rFonts w:eastAsia="Cambria" w:cs="Times New Roman"/>
          <w:b/>
          <w:szCs w:val="20"/>
          <w:lang w:val="es-ES_tradnl"/>
        </w:rPr>
      </w:pPr>
    </w:p>
    <w:p w14:paraId="41DC85C9"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En el caso </w:t>
      </w:r>
      <w:r w:rsidRPr="00470C7C">
        <w:rPr>
          <w:rFonts w:eastAsia="Cambria" w:cs="Times New Roman"/>
          <w:i/>
          <w:szCs w:val="20"/>
          <w:lang w:val="es-ES_tradnl"/>
        </w:rPr>
        <w:t xml:space="preserve">Gonzales </w:t>
      </w:r>
      <w:proofErr w:type="spellStart"/>
      <w:r w:rsidRPr="00470C7C">
        <w:rPr>
          <w:rFonts w:eastAsia="Cambria" w:cs="Times New Roman"/>
          <w:i/>
          <w:szCs w:val="20"/>
          <w:lang w:val="es-ES_tradnl"/>
        </w:rPr>
        <w:t>Lluy</w:t>
      </w:r>
      <w:proofErr w:type="spellEnd"/>
      <w:r w:rsidRPr="00470C7C">
        <w:rPr>
          <w:rFonts w:eastAsia="Cambria" w:cs="Times New Roman"/>
          <w:i/>
          <w:szCs w:val="20"/>
          <w:lang w:val="es-ES_tradnl"/>
        </w:rPr>
        <w:t xml:space="preserve"> y otros Vs. Ecuador </w:t>
      </w:r>
      <w:r w:rsidRPr="00470C7C">
        <w:rPr>
          <w:rFonts w:eastAsia="Cambria" w:cs="Times New Roman"/>
          <w:szCs w:val="20"/>
          <w:lang w:val="es-ES_tradnl"/>
        </w:rPr>
        <w:t>(2015), en relación a la salud de la víctima,</w:t>
      </w:r>
      <w:r w:rsidRPr="00470C7C">
        <w:rPr>
          <w:rFonts w:eastAsia="Cambria" w:cs="Times New Roman"/>
          <w:b/>
          <w:szCs w:val="20"/>
          <w:lang w:val="es-ES_tradnl"/>
        </w:rPr>
        <w:t xml:space="preserve"> </w:t>
      </w:r>
      <w:r w:rsidRPr="00470C7C">
        <w:rPr>
          <w:rFonts w:eastAsia="Cambria" w:cs="Times New Roman"/>
          <w:szCs w:val="20"/>
          <w:lang w:val="es-ES_tradnl"/>
        </w:rPr>
        <w:t>la Corte IDH notó que en el Protocolo de San Salvador, entre las medidas para garantizar el derecho a la salud, los Estados debían impulsar la total inmunización contra las principales enfermedades infecciosas; la prevención y el tratamiento de las enfermedades endémicas, profesionales y de otra índole, y la satisfacción de la necesidades de salud de los grupos de más alto riesgo y que por sus condiciones de pobreza sean más vulnerables</w:t>
      </w:r>
      <w:r w:rsidRPr="00470C7C">
        <w:rPr>
          <w:rFonts w:eastAsia="Cambria" w:cs="Times New Roman"/>
          <w:szCs w:val="20"/>
          <w:vertAlign w:val="superscript"/>
          <w:lang w:val="es-ES_tradnl"/>
        </w:rPr>
        <w:footnoteReference w:id="594"/>
      </w:r>
      <w:r w:rsidRPr="00470C7C">
        <w:rPr>
          <w:rFonts w:eastAsia="Cambria" w:cs="Times New Roman"/>
          <w:szCs w:val="20"/>
          <w:lang w:val="es-ES_tradnl"/>
        </w:rPr>
        <w:t xml:space="preserve">. </w:t>
      </w:r>
    </w:p>
    <w:p w14:paraId="44055087"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1AEF2316"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En este caso, la Corte IDH consideró que confluyeron de forma </w:t>
      </w:r>
      <w:proofErr w:type="spellStart"/>
      <w:r w:rsidRPr="00470C7C">
        <w:rPr>
          <w:rFonts w:eastAsia="Cambria" w:cs="Times New Roman"/>
          <w:szCs w:val="20"/>
          <w:lang w:val="es-ES_tradnl"/>
        </w:rPr>
        <w:t>interseccional</w:t>
      </w:r>
      <w:proofErr w:type="spellEnd"/>
      <w:r w:rsidRPr="00470C7C">
        <w:rPr>
          <w:rFonts w:eastAsia="Cambria" w:cs="Times New Roman"/>
          <w:szCs w:val="20"/>
          <w:lang w:val="es-ES_tradnl"/>
        </w:rPr>
        <w:t xml:space="preserve"> múltiples factores de vulnerabilidad y riesgo de discriminación asociados a su condición de niña, mujer, persona en situación de pobreza y persona con VIH. De igual manera, la Corte IDH expresó que la pobreza impactó en el acceso inicial a una atención de salud que no fue de calidad y, </w:t>
      </w:r>
      <w:proofErr w:type="gramStart"/>
      <w:r w:rsidRPr="00470C7C">
        <w:rPr>
          <w:rFonts w:eastAsia="Cambria" w:cs="Times New Roman"/>
          <w:szCs w:val="20"/>
          <w:lang w:val="es-ES_tradnl"/>
        </w:rPr>
        <w:t>que</w:t>
      </w:r>
      <w:proofErr w:type="gramEnd"/>
      <w:r w:rsidRPr="00470C7C">
        <w:rPr>
          <w:rFonts w:eastAsia="Cambria" w:cs="Times New Roman"/>
          <w:szCs w:val="20"/>
          <w:lang w:val="es-ES_tradnl"/>
        </w:rPr>
        <w:t xml:space="preserve"> por el contrario, generó el contagio con VIH. La situación de pobreza impactó también en las dificultades para encontrar un mejor acceso al sistema educativo y tener una vivienda digna. Posteriormente, siendo una niña con VIH, los obstáculos que sufrió la víctima en el acceso a la educación tuvieron un impacto negativo para su desarrollo integral, que es también un impacto diferenciado teniendo en cuenta el rol de la educación para superar los estereotipos de género. En suma, a criterio del Tribunal Interamericano, el caso de la víctima</w:t>
      </w:r>
      <w:r w:rsidRPr="00470C7C" w:rsidDel="006D5B44">
        <w:rPr>
          <w:rFonts w:eastAsia="Cambria" w:cs="Times New Roman"/>
          <w:szCs w:val="20"/>
          <w:lang w:val="es-ES_tradnl"/>
        </w:rPr>
        <w:t xml:space="preserve"> </w:t>
      </w:r>
      <w:r w:rsidRPr="00470C7C">
        <w:rPr>
          <w:rFonts w:eastAsia="Cambria" w:cs="Times New Roman"/>
          <w:szCs w:val="20"/>
          <w:lang w:val="es-ES_tradnl"/>
        </w:rPr>
        <w:t>ilustraba como la estigmatización relacionada con el VIH no impactaba de forma homogénea en todas las personas y que resultan más graves los impactos en los grupos que de por sí son marginados</w:t>
      </w:r>
      <w:r w:rsidRPr="00470C7C">
        <w:rPr>
          <w:rFonts w:eastAsia="Cambria" w:cs="Times New Roman"/>
          <w:szCs w:val="20"/>
          <w:vertAlign w:val="superscript"/>
          <w:lang w:val="es-ES_tradnl"/>
        </w:rPr>
        <w:footnoteReference w:id="595"/>
      </w:r>
      <w:r w:rsidRPr="00470C7C">
        <w:rPr>
          <w:rFonts w:eastAsia="Cambria" w:cs="Times New Roman"/>
          <w:szCs w:val="20"/>
          <w:lang w:val="es-ES_tradnl"/>
        </w:rPr>
        <w:t>. Teniendo en cuenta lo anterior, la Corte IDH concluyó que la víctima sufrió una discriminación derivada de su condición de persona con VIH, niña, mujer y viviendo en situación de pobreza</w:t>
      </w:r>
      <w:r w:rsidRPr="00470C7C">
        <w:rPr>
          <w:rFonts w:eastAsia="Cambria" w:cs="Times New Roman"/>
          <w:szCs w:val="20"/>
          <w:vertAlign w:val="superscript"/>
          <w:lang w:val="es-ES_tradnl"/>
        </w:rPr>
        <w:footnoteReference w:id="596"/>
      </w:r>
      <w:r w:rsidRPr="00470C7C">
        <w:rPr>
          <w:rFonts w:eastAsia="Cambria" w:cs="Times New Roman"/>
          <w:szCs w:val="20"/>
          <w:lang w:val="es-ES_tradnl"/>
        </w:rPr>
        <w:t>.</w:t>
      </w:r>
    </w:p>
    <w:p w14:paraId="6321C6E0" w14:textId="77777777" w:rsidR="00130785" w:rsidRPr="00470C7C" w:rsidRDefault="00130785" w:rsidP="00130785">
      <w:pPr>
        <w:tabs>
          <w:tab w:val="clear" w:pos="4419"/>
          <w:tab w:val="clear" w:pos="8838"/>
        </w:tabs>
        <w:contextualSpacing/>
        <w:jc w:val="both"/>
        <w:rPr>
          <w:rFonts w:eastAsia="Cambria" w:cs="Times New Roman"/>
          <w:b/>
          <w:szCs w:val="20"/>
          <w:lang w:val="es-ES_tradnl"/>
        </w:rPr>
      </w:pPr>
    </w:p>
    <w:p w14:paraId="21D76EF2"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Como podemos observar, la posición económica (pobreza o condición económica) en la jurisprudencia interamericana ha estado vinculada de tres maneras distintas: en primer lugar, pobreza o condición económica asociada a grupos de vulnerabilidad tradicionalmente identificados (niños, mujeres, indígenas, personas con discapacidad, migrantes, etc.); en segundo lugar, pobreza o condición económica analizada como una discriminación múltiple/compuesta</w:t>
      </w:r>
      <w:r w:rsidRPr="00470C7C">
        <w:rPr>
          <w:rFonts w:eastAsia="Cambria" w:cs="Times New Roman"/>
          <w:szCs w:val="20"/>
          <w:vertAlign w:val="superscript"/>
          <w:lang w:val="es-ES_tradnl"/>
        </w:rPr>
        <w:footnoteReference w:id="597"/>
      </w:r>
      <w:r w:rsidRPr="00470C7C">
        <w:rPr>
          <w:rFonts w:eastAsia="Cambria" w:cs="Times New Roman"/>
          <w:szCs w:val="20"/>
          <w:lang w:val="es-ES_tradnl"/>
        </w:rPr>
        <w:t xml:space="preserve"> o </w:t>
      </w:r>
      <w:proofErr w:type="spellStart"/>
      <w:r w:rsidRPr="00470C7C">
        <w:rPr>
          <w:rFonts w:eastAsia="Cambria" w:cs="Times New Roman"/>
          <w:szCs w:val="20"/>
          <w:lang w:val="es-ES_tradnl"/>
        </w:rPr>
        <w:t>interseccionada</w:t>
      </w:r>
      <w:proofErr w:type="spellEnd"/>
      <w:r w:rsidRPr="00470C7C">
        <w:rPr>
          <w:rFonts w:eastAsia="Cambria" w:cs="Times New Roman"/>
          <w:szCs w:val="20"/>
          <w:vertAlign w:val="superscript"/>
          <w:lang w:val="es-ES_tradnl"/>
        </w:rPr>
        <w:footnoteReference w:id="598"/>
      </w:r>
      <w:r w:rsidRPr="00470C7C">
        <w:rPr>
          <w:rFonts w:eastAsia="Cambria" w:cs="Times New Roman"/>
          <w:szCs w:val="20"/>
          <w:lang w:val="es-ES_tradnl"/>
        </w:rPr>
        <w:t xml:space="preserve"> con otras categorías; y, en tercer lugar, pobreza o condición económica analizada de manera aislada dadas las circunstancias del caso sin vincularla con otra categoría de especial protección</w:t>
      </w:r>
      <w:r w:rsidRPr="00470C7C">
        <w:rPr>
          <w:rFonts w:eastAsia="Cambria" w:cs="Times New Roman"/>
          <w:szCs w:val="20"/>
          <w:vertAlign w:val="superscript"/>
          <w:lang w:val="es-ES_tradnl"/>
        </w:rPr>
        <w:footnoteReference w:id="599"/>
      </w:r>
      <w:r w:rsidRPr="00470C7C">
        <w:rPr>
          <w:rFonts w:eastAsia="Cambria" w:cs="Times New Roman"/>
          <w:szCs w:val="20"/>
          <w:lang w:val="es-ES_tradnl"/>
        </w:rPr>
        <w:t xml:space="preserve">. No obstante, en ningún caso había sido analizado este tercer supuesto a la luz de la pobreza como parte de la posición económica, según lo dispuesto en el artículo 1.1 de la Convención Americana, siendo la primera vez el </w:t>
      </w:r>
      <w:r w:rsidRPr="00470C7C">
        <w:rPr>
          <w:rFonts w:eastAsia="Cambria" w:cs="Times New Roman"/>
          <w:i/>
          <w:szCs w:val="20"/>
          <w:lang w:val="es-ES_tradnl"/>
        </w:rPr>
        <w:t>Caso Trabajadores de la Hacienda Brasil Verde</w:t>
      </w:r>
      <w:r w:rsidRPr="00470C7C">
        <w:rPr>
          <w:rFonts w:eastAsia="Cambria" w:cs="Times New Roman"/>
          <w:szCs w:val="20"/>
          <w:lang w:val="es-ES_tradnl"/>
        </w:rPr>
        <w:t>, que motiva el presente voto razonado.</w:t>
      </w:r>
    </w:p>
    <w:p w14:paraId="60C7FF25" w14:textId="77777777" w:rsidR="00130785" w:rsidRPr="00470C7C" w:rsidRDefault="00130785" w:rsidP="00130785">
      <w:pPr>
        <w:tabs>
          <w:tab w:val="clear" w:pos="4419"/>
          <w:tab w:val="clear" w:pos="8838"/>
        </w:tabs>
        <w:spacing w:line="360" w:lineRule="auto"/>
        <w:contextualSpacing/>
        <w:jc w:val="center"/>
        <w:rPr>
          <w:rFonts w:eastAsia="Cambria" w:cs="Times New Roman"/>
          <w:b/>
          <w:szCs w:val="20"/>
          <w:lang w:val="es-ES_tradnl"/>
        </w:rPr>
      </w:pPr>
    </w:p>
    <w:p w14:paraId="73942859" w14:textId="77777777" w:rsidR="00130785" w:rsidRPr="00470C7C" w:rsidRDefault="00130785" w:rsidP="00130785">
      <w:pPr>
        <w:tabs>
          <w:tab w:val="clear" w:pos="4419"/>
          <w:tab w:val="clear" w:pos="8838"/>
        </w:tabs>
        <w:spacing w:line="360" w:lineRule="auto"/>
        <w:contextualSpacing/>
        <w:jc w:val="center"/>
        <w:rPr>
          <w:rFonts w:eastAsia="Cambria" w:cs="Times New Roman"/>
          <w:szCs w:val="20"/>
          <w:lang w:val="es-ES_tradnl"/>
        </w:rPr>
      </w:pPr>
      <w:r w:rsidRPr="00470C7C">
        <w:rPr>
          <w:rFonts w:eastAsia="Cambria" w:cs="Times New Roman"/>
          <w:szCs w:val="20"/>
          <w:lang w:val="es-ES_tradnl"/>
        </w:rPr>
        <w:t>III. LA POBREZA COMO PARTE DE LA “POSICIÓN ECONÓMICA” CONTEMPLADA EN LA CONVENCIÓN AMERICANA EN EL PRESENTE CASO</w:t>
      </w:r>
    </w:p>
    <w:p w14:paraId="15DCCC7B" w14:textId="77777777" w:rsidR="00130785" w:rsidRPr="00470C7C" w:rsidRDefault="00130785" w:rsidP="00130785">
      <w:pPr>
        <w:tabs>
          <w:tab w:val="clear" w:pos="4419"/>
          <w:tab w:val="clear" w:pos="8838"/>
        </w:tabs>
        <w:spacing w:line="276" w:lineRule="auto"/>
        <w:jc w:val="both"/>
        <w:rPr>
          <w:rFonts w:eastAsia="Cambria" w:cs="Times New Roman"/>
          <w:lang w:val="es-ES_tradnl"/>
        </w:rPr>
      </w:pPr>
    </w:p>
    <w:p w14:paraId="529D3EC2"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Si bien los tribunales regionales de derechos humanos no se han pronunciado sobre la discriminación por la posición económica derivada de la pobreza que sufren las personas en sus jurisdicciones —factor que quizá se deba a que, a diferencia de la CADH, el Convenio Europeo y la Carta Africana no contienen expresamente la prohibición de discriminación por “posición económica”—; lo cierto es que la Corte IDH, como se ha evidenciado, va en la misma dirección que el Sistema Universal al reconocer que las personas que viven en situación de pobreza son personas que se encuentran protegidas por el artículo 1.1 de la Convención Americana por su posición económica. De esta forma, el Tribunal Interamericano, adiciona una forma más de entender la pobreza, como parte de una categoría de protección especial.</w:t>
      </w:r>
    </w:p>
    <w:p w14:paraId="757D7B87"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 </w:t>
      </w:r>
    </w:p>
    <w:p w14:paraId="69F8EF30"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lang w:val="es-ES_tradnl"/>
        </w:rPr>
        <w:t xml:space="preserve">La Corte IDH reconoció en la Sentencia, por primera vez, que los hechos discriminatorios del presente caso se derivaron por la posición económica </w:t>
      </w:r>
      <w:r w:rsidRPr="00470C7C">
        <w:rPr>
          <w:rFonts w:eastAsia="Cambria" w:cs="Times New Roman"/>
          <w:szCs w:val="20"/>
          <w:lang w:val="es-ES_tradnl"/>
        </w:rPr>
        <w:t>—</w:t>
      </w:r>
      <w:r w:rsidRPr="00470C7C">
        <w:rPr>
          <w:rFonts w:eastAsia="Cambria" w:cs="Times New Roman"/>
          <w:lang w:val="es-ES_tradnl"/>
        </w:rPr>
        <w:t>por su situación de pobreza</w:t>
      </w:r>
      <w:r w:rsidRPr="00470C7C">
        <w:rPr>
          <w:rFonts w:eastAsia="Cambria" w:cs="Times New Roman"/>
          <w:szCs w:val="20"/>
          <w:lang w:val="es-ES_tradnl"/>
        </w:rPr>
        <w:t>—</w:t>
      </w:r>
      <w:r w:rsidRPr="00470C7C">
        <w:rPr>
          <w:rFonts w:eastAsia="Cambria" w:cs="Times New Roman"/>
          <w:lang w:val="es-ES_tradnl"/>
        </w:rPr>
        <w:t xml:space="preserve"> de las 85 víctimas que se encontraban dentro de la Hacienda Brasil Verde. Así, se pronunció en el sentido de establecer que: </w:t>
      </w:r>
    </w:p>
    <w:p w14:paraId="0DFCFC1A" w14:textId="77777777" w:rsidR="00130785" w:rsidRPr="00470C7C" w:rsidRDefault="00130785" w:rsidP="00130785">
      <w:pPr>
        <w:tabs>
          <w:tab w:val="clear" w:pos="4419"/>
          <w:tab w:val="clear" w:pos="8838"/>
        </w:tabs>
        <w:jc w:val="both"/>
        <w:rPr>
          <w:rFonts w:eastAsia="Cambria" w:cs="Times New Roman"/>
          <w:lang w:val="es-ES_tradnl"/>
        </w:rPr>
      </w:pPr>
    </w:p>
    <w:p w14:paraId="3D6027FE" w14:textId="77777777" w:rsidR="00130785" w:rsidRPr="00470C7C" w:rsidRDefault="00130785" w:rsidP="00130785">
      <w:pPr>
        <w:tabs>
          <w:tab w:val="clear" w:pos="4419"/>
          <w:tab w:val="clear" w:pos="8838"/>
        </w:tabs>
        <w:ind w:left="708"/>
        <w:contextualSpacing/>
        <w:jc w:val="both"/>
        <w:rPr>
          <w:rFonts w:eastAsia="Cambria" w:cs="Times New Roman"/>
          <w:sz w:val="16"/>
          <w:szCs w:val="16"/>
          <w:lang w:val="es-ES_tradnl"/>
        </w:rPr>
      </w:pPr>
      <w:r w:rsidRPr="00470C7C">
        <w:rPr>
          <w:rFonts w:eastAsia="Cambria" w:cs="Times New Roman"/>
          <w:sz w:val="16"/>
          <w:szCs w:val="16"/>
          <w:lang w:val="es-ES_tradnl"/>
        </w:rPr>
        <w:t>339. […] en el presente caso</w:t>
      </w:r>
      <w:r w:rsidRPr="00470C7C">
        <w:rPr>
          <w:rFonts w:eastAsia="Cambria" w:cs="Times New Roman"/>
          <w:sz w:val="16"/>
          <w:szCs w:val="16"/>
          <w:u w:val="single"/>
          <w:lang w:val="es-ES_tradnl"/>
        </w:rPr>
        <w:t xml:space="preserve"> algunas características de particular victimización compartidas por los 85 trabajadores rescatados</w:t>
      </w:r>
      <w:r w:rsidRPr="00470C7C">
        <w:rPr>
          <w:rFonts w:eastAsia="Cambria" w:cs="Times New Roman"/>
          <w:sz w:val="16"/>
          <w:szCs w:val="16"/>
          <w:lang w:val="es-ES_tradnl"/>
        </w:rPr>
        <w:t xml:space="preserve"> el 15 de marzo de 2000: </w:t>
      </w:r>
      <w:r w:rsidRPr="00470C7C">
        <w:rPr>
          <w:rFonts w:eastAsia="Cambria" w:cs="Times New Roman"/>
          <w:b/>
          <w:sz w:val="16"/>
          <w:szCs w:val="16"/>
          <w:lang w:val="es-ES_tradnl"/>
        </w:rPr>
        <w:t>[i)]</w:t>
      </w:r>
      <w:r w:rsidRPr="00470C7C">
        <w:rPr>
          <w:rFonts w:eastAsia="Cambria" w:cs="Times New Roman"/>
          <w:b/>
          <w:sz w:val="16"/>
          <w:szCs w:val="16"/>
          <w:u w:val="single"/>
          <w:lang w:val="es-ES_tradnl"/>
        </w:rPr>
        <w:t>se encontraban en una situación de pobreza</w:t>
      </w:r>
      <w:r w:rsidRPr="00470C7C">
        <w:rPr>
          <w:rFonts w:eastAsia="Cambria" w:cs="Times New Roman"/>
          <w:b/>
          <w:sz w:val="16"/>
          <w:szCs w:val="16"/>
          <w:lang w:val="es-ES_tradnl"/>
        </w:rPr>
        <w:t>, [</w:t>
      </w:r>
      <w:proofErr w:type="spellStart"/>
      <w:r w:rsidRPr="00470C7C">
        <w:rPr>
          <w:rFonts w:eastAsia="Cambria" w:cs="Times New Roman"/>
          <w:b/>
          <w:sz w:val="16"/>
          <w:szCs w:val="16"/>
          <w:lang w:val="es-ES_tradnl"/>
        </w:rPr>
        <w:t>ii</w:t>
      </w:r>
      <w:proofErr w:type="spellEnd"/>
      <w:r w:rsidRPr="00470C7C">
        <w:rPr>
          <w:rFonts w:eastAsia="Cambria" w:cs="Times New Roman"/>
          <w:b/>
          <w:sz w:val="16"/>
          <w:szCs w:val="16"/>
          <w:lang w:val="es-ES_tradnl"/>
        </w:rPr>
        <w:t>)]</w:t>
      </w:r>
      <w:r w:rsidRPr="00470C7C">
        <w:rPr>
          <w:rFonts w:eastAsia="Cambria" w:cs="Times New Roman"/>
          <w:b/>
          <w:sz w:val="16"/>
          <w:szCs w:val="16"/>
          <w:u w:val="single"/>
          <w:lang w:val="es-ES_tradnl"/>
        </w:rPr>
        <w:t>provenían de las regiones más pobres del país</w:t>
      </w:r>
      <w:r w:rsidRPr="00470C7C">
        <w:rPr>
          <w:rFonts w:eastAsia="Cambria" w:cs="Times New Roman"/>
          <w:b/>
          <w:sz w:val="16"/>
          <w:szCs w:val="16"/>
          <w:lang w:val="es-ES_tradnl"/>
        </w:rPr>
        <w:t>, [</w:t>
      </w:r>
      <w:proofErr w:type="spellStart"/>
      <w:r w:rsidRPr="00470C7C">
        <w:rPr>
          <w:rFonts w:eastAsia="Cambria" w:cs="Times New Roman"/>
          <w:b/>
          <w:sz w:val="16"/>
          <w:szCs w:val="16"/>
          <w:lang w:val="es-ES_tradnl"/>
        </w:rPr>
        <w:t>iii</w:t>
      </w:r>
      <w:proofErr w:type="spellEnd"/>
      <w:r w:rsidRPr="00470C7C">
        <w:rPr>
          <w:rFonts w:eastAsia="Cambria" w:cs="Times New Roman"/>
          <w:b/>
          <w:sz w:val="16"/>
          <w:szCs w:val="16"/>
          <w:lang w:val="es-ES_tradnl"/>
        </w:rPr>
        <w:t>)]</w:t>
      </w:r>
      <w:r w:rsidRPr="00470C7C">
        <w:rPr>
          <w:rFonts w:eastAsia="Cambria" w:cs="Times New Roman"/>
          <w:b/>
          <w:sz w:val="16"/>
          <w:szCs w:val="16"/>
          <w:u w:val="single"/>
          <w:lang w:val="es-ES_tradnl"/>
        </w:rPr>
        <w:t>con menor desarrollo humano y perspectivas de trabajo y empleo</w:t>
      </w:r>
      <w:r w:rsidRPr="00470C7C">
        <w:rPr>
          <w:rFonts w:eastAsia="Cambria" w:cs="Times New Roman"/>
          <w:b/>
          <w:sz w:val="16"/>
          <w:szCs w:val="16"/>
          <w:lang w:val="es-ES_tradnl"/>
        </w:rPr>
        <w:t>, [</w:t>
      </w:r>
      <w:proofErr w:type="spellStart"/>
      <w:r w:rsidRPr="00470C7C">
        <w:rPr>
          <w:rFonts w:eastAsia="Cambria" w:cs="Times New Roman"/>
          <w:b/>
          <w:sz w:val="16"/>
          <w:szCs w:val="16"/>
          <w:lang w:val="es-ES_tradnl"/>
        </w:rPr>
        <w:t>iv</w:t>
      </w:r>
      <w:proofErr w:type="spellEnd"/>
      <w:r w:rsidRPr="00470C7C">
        <w:rPr>
          <w:rFonts w:eastAsia="Cambria" w:cs="Times New Roman"/>
          <w:b/>
          <w:sz w:val="16"/>
          <w:szCs w:val="16"/>
          <w:lang w:val="es-ES_tradnl"/>
        </w:rPr>
        <w:t>)] eran analfabetas, y [v)] tenían poca o nula escolarización […].</w:t>
      </w:r>
      <w:r w:rsidRPr="00470C7C">
        <w:rPr>
          <w:rFonts w:eastAsia="Cambria" w:cs="Times New Roman"/>
          <w:sz w:val="16"/>
          <w:szCs w:val="16"/>
          <w:lang w:val="es-ES_tradnl"/>
        </w:rPr>
        <w:t xml:space="preserve"> Lo anterior los colocaba en una situación que los hacía más susceptibles de ser reclutados mediante falsas promesas y engaños. </w:t>
      </w:r>
      <w:r w:rsidRPr="00470C7C">
        <w:rPr>
          <w:rFonts w:eastAsia="Cambria" w:cs="Times New Roman"/>
          <w:b/>
          <w:sz w:val="16"/>
          <w:szCs w:val="16"/>
          <w:lang w:val="es-ES_tradnl"/>
        </w:rPr>
        <w:t xml:space="preserve">Dicha situación de riesgo inmediato para un grupo determinado de personas con características idénticas y originarios de las mismas regiones del país, </w:t>
      </w:r>
      <w:r w:rsidRPr="00470C7C">
        <w:rPr>
          <w:rFonts w:eastAsia="Cambria" w:cs="Times New Roman"/>
          <w:b/>
          <w:sz w:val="16"/>
          <w:szCs w:val="16"/>
          <w:u w:val="single"/>
          <w:lang w:val="es-ES_tradnl"/>
        </w:rPr>
        <w:t>tiene orígenes históricos y era conocida</w:t>
      </w:r>
      <w:r w:rsidRPr="00470C7C">
        <w:rPr>
          <w:rFonts w:eastAsia="Cambria" w:cs="Times New Roman"/>
          <w:b/>
          <w:sz w:val="16"/>
          <w:szCs w:val="16"/>
          <w:lang w:val="es-ES_tradnl"/>
        </w:rPr>
        <w:t xml:space="preserve"> desde, al menos, 1995,</w:t>
      </w:r>
      <w:r w:rsidRPr="00470C7C">
        <w:rPr>
          <w:rFonts w:eastAsia="Cambria" w:cs="Times New Roman"/>
          <w:sz w:val="16"/>
          <w:szCs w:val="16"/>
          <w:lang w:val="es-ES_tradnl"/>
        </w:rPr>
        <w:t xml:space="preserve"> cuando el Gobierno de Brasil reconoció expresamente la existencia de “trabajo esclavo” en el país </w:t>
      </w:r>
    </w:p>
    <w:p w14:paraId="2CEB1E1B" w14:textId="77777777" w:rsidR="00130785" w:rsidRPr="00470C7C" w:rsidRDefault="00130785" w:rsidP="00130785">
      <w:pPr>
        <w:tabs>
          <w:tab w:val="clear" w:pos="4419"/>
          <w:tab w:val="clear" w:pos="8838"/>
        </w:tabs>
        <w:ind w:left="708"/>
        <w:contextualSpacing/>
        <w:jc w:val="both"/>
        <w:rPr>
          <w:rFonts w:eastAsia="Cambria" w:cs="Times New Roman"/>
          <w:sz w:val="16"/>
          <w:szCs w:val="16"/>
          <w:lang w:val="es-ES_tradnl"/>
        </w:rPr>
      </w:pPr>
      <w:r w:rsidRPr="00470C7C">
        <w:rPr>
          <w:rFonts w:eastAsia="Cambria" w:cs="Times New Roman"/>
          <w:sz w:val="16"/>
          <w:szCs w:val="16"/>
          <w:lang w:val="es-ES_tradnl"/>
        </w:rPr>
        <w:t>[…].</w:t>
      </w:r>
    </w:p>
    <w:p w14:paraId="52EEBBB0" w14:textId="77777777" w:rsidR="00130785" w:rsidRPr="00470C7C" w:rsidRDefault="00130785" w:rsidP="00130785">
      <w:pPr>
        <w:tabs>
          <w:tab w:val="clear" w:pos="4419"/>
          <w:tab w:val="clear" w:pos="8838"/>
        </w:tabs>
        <w:ind w:left="708"/>
        <w:jc w:val="both"/>
        <w:rPr>
          <w:rFonts w:eastAsia="Cambria" w:cs="Times New Roman"/>
          <w:i/>
          <w:sz w:val="16"/>
          <w:szCs w:val="16"/>
          <w:lang w:val="es-ES_tradnl"/>
        </w:rPr>
      </w:pPr>
    </w:p>
    <w:p w14:paraId="2BA32C86" w14:textId="77777777" w:rsidR="00130785" w:rsidRPr="00470C7C" w:rsidRDefault="00130785" w:rsidP="00130785">
      <w:pPr>
        <w:tabs>
          <w:tab w:val="clear" w:pos="4419"/>
          <w:tab w:val="clear" w:pos="8838"/>
        </w:tabs>
        <w:ind w:left="708"/>
        <w:jc w:val="both"/>
        <w:rPr>
          <w:rFonts w:eastAsia="Cambria" w:cs="Times New Roman"/>
          <w:i/>
          <w:sz w:val="16"/>
          <w:szCs w:val="16"/>
          <w:lang w:val="es-ES_tradnl"/>
        </w:rPr>
      </w:pPr>
    </w:p>
    <w:p w14:paraId="2DEFE580" w14:textId="77777777" w:rsidR="00130785" w:rsidRPr="00470C7C" w:rsidRDefault="00130785" w:rsidP="00130785">
      <w:pPr>
        <w:tabs>
          <w:tab w:val="clear" w:pos="4419"/>
          <w:tab w:val="clear" w:pos="8838"/>
        </w:tabs>
        <w:ind w:left="708"/>
        <w:jc w:val="both"/>
        <w:rPr>
          <w:rFonts w:eastAsia="Cambria" w:cs="Times New Roman"/>
          <w:i/>
          <w:sz w:val="16"/>
          <w:szCs w:val="16"/>
          <w:lang w:val="es-ES_tradnl"/>
        </w:rPr>
      </w:pPr>
      <w:r w:rsidRPr="00470C7C">
        <w:rPr>
          <w:rFonts w:eastAsia="Cambria" w:cs="Times New Roman"/>
          <w:sz w:val="16"/>
          <w:szCs w:val="16"/>
          <w:lang w:val="es-ES_tradnl"/>
        </w:rPr>
        <w:t xml:space="preserve">341. Una vez constatada la situación anterior, </w:t>
      </w:r>
      <w:r w:rsidRPr="00470C7C">
        <w:rPr>
          <w:rFonts w:eastAsia="Cambria" w:cs="Times New Roman"/>
          <w:sz w:val="16"/>
          <w:szCs w:val="16"/>
          <w:u w:val="single"/>
          <w:lang w:val="es-ES_tradnl"/>
        </w:rPr>
        <w:t>la Corte estima que el Estado no consideró la vulnerabilidad de los 85 trabajadores</w:t>
      </w:r>
      <w:r w:rsidRPr="00470C7C">
        <w:rPr>
          <w:rFonts w:eastAsia="Cambria" w:cs="Times New Roman"/>
          <w:sz w:val="16"/>
          <w:szCs w:val="16"/>
          <w:lang w:val="es-ES_tradnl"/>
        </w:rPr>
        <w:t xml:space="preserve"> rescatados el 15 de marzo de 2000 </w:t>
      </w:r>
      <w:r w:rsidRPr="00470C7C">
        <w:rPr>
          <w:rFonts w:eastAsia="Cambria" w:cs="Times New Roman"/>
          <w:b/>
          <w:sz w:val="16"/>
          <w:szCs w:val="16"/>
          <w:u w:val="single"/>
          <w:lang w:val="es-ES_tradnl"/>
        </w:rPr>
        <w:t>en virtud de la discriminación en razón de la posición económica a la que estaban sometido</w:t>
      </w:r>
      <w:r w:rsidRPr="00470C7C">
        <w:rPr>
          <w:rFonts w:eastAsia="Cambria" w:cs="Times New Roman"/>
          <w:b/>
          <w:sz w:val="16"/>
          <w:szCs w:val="16"/>
          <w:lang w:val="es-ES_tradnl"/>
        </w:rPr>
        <w:t xml:space="preserve">s. </w:t>
      </w:r>
      <w:r w:rsidRPr="00470C7C">
        <w:rPr>
          <w:rFonts w:eastAsia="Cambria" w:cs="Times New Roman"/>
          <w:sz w:val="16"/>
          <w:szCs w:val="16"/>
          <w:lang w:val="es-ES_tradnl"/>
        </w:rPr>
        <w:t>Lo anterior constituye una violación al artículo 6.1 de la Convención Americana, en relación con el artículo 1.1 del mismo instrumento, en perjuicio de ellos</w:t>
      </w:r>
      <w:r w:rsidRPr="00470C7C">
        <w:rPr>
          <w:rFonts w:eastAsia="Cambria" w:cs="Times New Roman"/>
          <w:sz w:val="16"/>
          <w:szCs w:val="20"/>
          <w:vertAlign w:val="superscript"/>
          <w:lang w:val="es-ES_tradnl"/>
        </w:rPr>
        <w:footnoteReference w:id="600"/>
      </w:r>
      <w:r w:rsidRPr="00470C7C">
        <w:rPr>
          <w:rFonts w:eastAsia="Cambria" w:cs="Times New Roman"/>
          <w:sz w:val="16"/>
          <w:szCs w:val="16"/>
          <w:lang w:val="es-ES_tradnl"/>
        </w:rPr>
        <w:t>.</w:t>
      </w:r>
      <w:r w:rsidRPr="00470C7C">
        <w:rPr>
          <w:rFonts w:eastAsia="Cambria" w:cs="Times New Roman"/>
          <w:i/>
          <w:sz w:val="16"/>
          <w:szCs w:val="16"/>
          <w:lang w:val="es-ES_tradnl"/>
        </w:rPr>
        <w:t xml:space="preserve"> </w:t>
      </w:r>
      <w:r w:rsidRPr="00470C7C">
        <w:rPr>
          <w:rFonts w:eastAsia="Cambria" w:cs="Times New Roman"/>
          <w:sz w:val="16"/>
          <w:szCs w:val="16"/>
          <w:lang w:val="es-ES_tradnl"/>
        </w:rPr>
        <w:t>(Énfasis añadido).</w:t>
      </w:r>
      <w:r w:rsidRPr="00470C7C">
        <w:rPr>
          <w:rFonts w:eastAsia="Cambria" w:cs="Times New Roman"/>
          <w:i/>
          <w:sz w:val="16"/>
          <w:szCs w:val="16"/>
          <w:lang w:val="es-ES_tradnl"/>
        </w:rPr>
        <w:t xml:space="preserve"> </w:t>
      </w:r>
    </w:p>
    <w:p w14:paraId="67442AA7" w14:textId="77777777" w:rsidR="00130785" w:rsidRPr="00470C7C" w:rsidRDefault="00130785" w:rsidP="00130785">
      <w:pPr>
        <w:tabs>
          <w:tab w:val="clear" w:pos="4419"/>
          <w:tab w:val="clear" w:pos="8838"/>
        </w:tabs>
        <w:ind w:left="708"/>
        <w:jc w:val="both"/>
        <w:rPr>
          <w:rFonts w:eastAsia="Cambria" w:cs="Times New Roman"/>
          <w:i/>
          <w:sz w:val="16"/>
          <w:szCs w:val="16"/>
          <w:lang w:val="es-ES_tradnl"/>
        </w:rPr>
      </w:pPr>
    </w:p>
    <w:p w14:paraId="3D2529A0"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En este sentido, los criterios específicos en virtud de los cuales está prohibido discriminar, según el artículo 1.1 de la Convención Americana, no son un listado taxativo, ni literal o limitativo sino meramente enunciativo</w:t>
      </w:r>
      <w:r w:rsidRPr="00470C7C">
        <w:rPr>
          <w:rFonts w:eastAsia="Cambria" w:cs="Times New Roman"/>
          <w:szCs w:val="20"/>
          <w:vertAlign w:val="superscript"/>
          <w:lang w:val="es-ES_tradnl"/>
        </w:rPr>
        <w:footnoteReference w:id="601"/>
      </w:r>
      <w:r w:rsidRPr="00470C7C">
        <w:rPr>
          <w:rFonts w:eastAsia="Cambria" w:cs="Times New Roman"/>
          <w:szCs w:val="20"/>
          <w:lang w:val="es-ES_tradnl"/>
        </w:rPr>
        <w:t>. A diferencia de otros casos en los cuales la Corte IDH ha ampliado el catálogo de categorías de especial protección dispuesto en el artículo 1.1 del Pacto de San José</w:t>
      </w:r>
      <w:r w:rsidRPr="00470C7C">
        <w:rPr>
          <w:rFonts w:eastAsia="Cambria" w:cs="Times New Roman"/>
          <w:szCs w:val="20"/>
          <w:vertAlign w:val="superscript"/>
          <w:lang w:val="es-ES_tradnl"/>
        </w:rPr>
        <w:footnoteReference w:id="602"/>
      </w:r>
      <w:r w:rsidRPr="00470C7C">
        <w:rPr>
          <w:rFonts w:eastAsia="Cambria" w:cs="Times New Roman"/>
          <w:szCs w:val="20"/>
          <w:lang w:val="es-ES_tradnl"/>
        </w:rPr>
        <w:t>, incorporando, por ejemplo, la identidad de género o la orientación sexual</w:t>
      </w:r>
      <w:r w:rsidRPr="00470C7C">
        <w:rPr>
          <w:rFonts w:eastAsia="Cambria" w:cs="Times New Roman"/>
          <w:szCs w:val="20"/>
          <w:vertAlign w:val="superscript"/>
          <w:lang w:val="es-ES_tradnl"/>
        </w:rPr>
        <w:footnoteReference w:id="603"/>
      </w:r>
      <w:r w:rsidRPr="00470C7C">
        <w:rPr>
          <w:rFonts w:eastAsia="Cambria" w:cs="Times New Roman"/>
          <w:szCs w:val="20"/>
          <w:lang w:val="es-ES_tradnl"/>
        </w:rPr>
        <w:t>, o la discapacidad</w:t>
      </w:r>
      <w:r w:rsidRPr="00470C7C">
        <w:rPr>
          <w:rFonts w:eastAsia="Cambria" w:cs="Times New Roman"/>
          <w:szCs w:val="20"/>
          <w:vertAlign w:val="superscript"/>
          <w:lang w:val="es-ES_tradnl"/>
        </w:rPr>
        <w:footnoteReference w:id="604"/>
      </w:r>
      <w:r w:rsidRPr="00470C7C">
        <w:rPr>
          <w:rFonts w:eastAsia="Cambria" w:cs="Times New Roman"/>
          <w:szCs w:val="20"/>
          <w:lang w:val="es-ES_tradnl"/>
        </w:rPr>
        <w:t xml:space="preserve">; en la Sentencia, lo que la Corte IDH hace es delimitar el alcance y el contenido de la prohibición de discriminación por “posición económica” mediante el análisis de las circunstancias de pobreza en las cuales se encontraban 85 de las víctimas del presente caso. </w:t>
      </w:r>
    </w:p>
    <w:p w14:paraId="55BABA9D" w14:textId="77777777" w:rsidR="00130785" w:rsidRPr="00470C7C" w:rsidRDefault="00130785" w:rsidP="00130785">
      <w:pPr>
        <w:tabs>
          <w:tab w:val="clear" w:pos="4419"/>
          <w:tab w:val="clear" w:pos="8838"/>
        </w:tabs>
        <w:contextualSpacing/>
        <w:jc w:val="both"/>
        <w:rPr>
          <w:rFonts w:eastAsia="Cambria" w:cs="Times New Roman"/>
          <w:b/>
          <w:szCs w:val="20"/>
          <w:lang w:val="es-ES_tradnl"/>
        </w:rPr>
      </w:pPr>
    </w:p>
    <w:p w14:paraId="7795EA8E"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Al respecto, la Relatora Especial sobre la Extrema Pobreza y los Derechos Humanos, ha expresado que: </w:t>
      </w:r>
    </w:p>
    <w:p w14:paraId="4D543B67" w14:textId="77777777" w:rsidR="00130785" w:rsidRPr="00470C7C" w:rsidRDefault="00130785" w:rsidP="00130785">
      <w:pPr>
        <w:tabs>
          <w:tab w:val="clear" w:pos="4419"/>
          <w:tab w:val="clear" w:pos="8838"/>
        </w:tabs>
        <w:contextualSpacing/>
        <w:jc w:val="both"/>
        <w:rPr>
          <w:rFonts w:eastAsia="Cambria" w:cs="Times New Roman"/>
          <w:b/>
          <w:szCs w:val="20"/>
          <w:lang w:val="es-ES_tradnl"/>
        </w:rPr>
      </w:pPr>
    </w:p>
    <w:p w14:paraId="3377B4F6" w14:textId="77777777" w:rsidR="00130785" w:rsidRPr="00470C7C" w:rsidRDefault="00130785" w:rsidP="00130785">
      <w:pPr>
        <w:tabs>
          <w:tab w:val="clear" w:pos="4419"/>
          <w:tab w:val="clear" w:pos="8838"/>
        </w:tabs>
        <w:ind w:left="708"/>
        <w:contextualSpacing/>
        <w:jc w:val="both"/>
        <w:rPr>
          <w:rFonts w:eastAsia="Cambria" w:cs="Times New Roman"/>
          <w:i/>
          <w:sz w:val="16"/>
          <w:szCs w:val="16"/>
          <w:lang w:val="es-ES_tradnl"/>
        </w:rPr>
      </w:pPr>
      <w:r w:rsidRPr="00470C7C">
        <w:rPr>
          <w:rFonts w:eastAsia="Cambria" w:cs="Times New Roman"/>
          <w:i/>
          <w:sz w:val="16"/>
          <w:szCs w:val="16"/>
          <w:lang w:val="es-ES_tradnl"/>
        </w:rPr>
        <w:t xml:space="preserve">“18. [L]a discriminación está prohibida por varios motivos enumerados, </w:t>
      </w:r>
      <w:r w:rsidRPr="00470C7C">
        <w:rPr>
          <w:rFonts w:eastAsia="Cambria" w:cs="Times New Roman"/>
          <w:i/>
          <w:sz w:val="16"/>
          <w:szCs w:val="16"/>
          <w:u w:val="single"/>
          <w:lang w:val="es-ES_tradnl"/>
        </w:rPr>
        <w:t>entre los cuales figuran la posición económica y social</w:t>
      </w:r>
      <w:r w:rsidRPr="00470C7C">
        <w:rPr>
          <w:rFonts w:eastAsia="Cambria" w:cs="Times New Roman"/>
          <w:i/>
          <w:sz w:val="16"/>
          <w:szCs w:val="16"/>
          <w:lang w:val="es-ES_tradnl"/>
        </w:rPr>
        <w:t>, como lo da a entender la frase `cualquier otra condición social´, que se incluye como motivo de discriminación en el Pacto Internacional de Derechos Económicos, Sociales y Culturales y en el Pacto Internacional de Derechos Civiles y Políticos. Las medidas de penalización están dirigidas a las personas por sus ingresos, apariencia, modo de hablar, domicilio o necesidades se les identifica como pobres. Es por ello que tales medidas claramente constituyen discriminación basada en la condición económica y social”</w:t>
      </w:r>
      <w:r w:rsidRPr="00470C7C">
        <w:rPr>
          <w:rFonts w:eastAsia="Cambria" w:cs="Times New Roman"/>
          <w:i/>
          <w:sz w:val="16"/>
          <w:szCs w:val="20"/>
          <w:vertAlign w:val="superscript"/>
          <w:lang w:val="es-ES_tradnl"/>
        </w:rPr>
        <w:footnoteReference w:id="605"/>
      </w:r>
      <w:r w:rsidRPr="00470C7C">
        <w:rPr>
          <w:rFonts w:eastAsia="Cambria" w:cs="Times New Roman"/>
          <w:i/>
          <w:sz w:val="16"/>
          <w:szCs w:val="16"/>
          <w:lang w:val="es-ES_tradnl"/>
        </w:rPr>
        <w:t>.</w:t>
      </w:r>
    </w:p>
    <w:p w14:paraId="12661358" w14:textId="77777777" w:rsidR="00130785" w:rsidRPr="00470C7C" w:rsidRDefault="00130785" w:rsidP="00130785">
      <w:pPr>
        <w:tabs>
          <w:tab w:val="clear" w:pos="4419"/>
          <w:tab w:val="clear" w:pos="8838"/>
        </w:tabs>
        <w:rPr>
          <w:rFonts w:eastAsia="MS Mincho" w:cs="Times New Roman"/>
          <w:b/>
          <w:sz w:val="24"/>
          <w:szCs w:val="20"/>
          <w:lang w:val="es-ES_tradnl" w:eastAsia="es-ES"/>
        </w:rPr>
      </w:pPr>
    </w:p>
    <w:p w14:paraId="7100BF81"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Además, añadió: </w:t>
      </w:r>
    </w:p>
    <w:p w14:paraId="44BF9BF8"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05CF4659" w14:textId="77777777" w:rsidR="00130785" w:rsidRPr="00470C7C" w:rsidRDefault="00130785" w:rsidP="00130785">
      <w:pPr>
        <w:tabs>
          <w:tab w:val="clear" w:pos="4419"/>
          <w:tab w:val="clear" w:pos="8838"/>
        </w:tabs>
        <w:ind w:left="708"/>
        <w:contextualSpacing/>
        <w:jc w:val="both"/>
        <w:rPr>
          <w:rFonts w:eastAsia="Cambria" w:cs="Times"/>
          <w:lang w:val="es-ES_tradnl"/>
        </w:rPr>
      </w:pPr>
      <w:r w:rsidRPr="00470C7C">
        <w:rPr>
          <w:rFonts w:eastAsia="Cambria" w:cs="Arial"/>
          <w:i/>
          <w:sz w:val="16"/>
          <w:szCs w:val="16"/>
          <w:lang w:val="es-ES_tradnl"/>
        </w:rPr>
        <w:t>“En su jurisprudencia, el Comité de Derechos Humanos ha reiterado que la lista de motivos de discriminación no es exhaustiva y que la frase “cualquier otra condición social” no está sujeta a una sola interpretación. [Por otro lado,]</w:t>
      </w:r>
      <w:r w:rsidRPr="00470C7C">
        <w:rPr>
          <w:rFonts w:eastAsia="Cambria" w:cs="Arial"/>
          <w:i/>
          <w:sz w:val="16"/>
          <w:szCs w:val="16"/>
          <w:u w:val="single"/>
          <w:lang w:val="es-ES_tradnl"/>
        </w:rPr>
        <w:t>en el artículo 1 de la Convención Americana sobre Derechos Humanos se incluye de manera expresa la [posición] económica y [origen] social entre los motivos de discriminación. Otros motivos prohibidos de discriminación, como “la posición económica” e incluso “el origen social”, también pueden ser pertinentes al abordar cuestiones relacionadas con la pobreza</w:t>
      </w:r>
      <w:r w:rsidRPr="00470C7C">
        <w:rPr>
          <w:rFonts w:eastAsia="Cambria" w:cs="Times New Roman"/>
          <w:i/>
          <w:sz w:val="16"/>
          <w:szCs w:val="20"/>
          <w:u w:val="single"/>
          <w:vertAlign w:val="superscript"/>
          <w:lang w:val="es-ES_tradnl"/>
        </w:rPr>
        <w:footnoteReference w:id="606"/>
      </w:r>
      <w:r w:rsidRPr="00470C7C">
        <w:rPr>
          <w:rFonts w:eastAsia="Cambria" w:cs="Arial"/>
          <w:i/>
          <w:sz w:val="16"/>
          <w:szCs w:val="16"/>
          <w:lang w:val="es-ES_tradnl"/>
        </w:rPr>
        <w:t xml:space="preserve">. </w:t>
      </w:r>
      <w:r w:rsidRPr="00470C7C">
        <w:rPr>
          <w:rFonts w:eastAsia="Cambria" w:cs="Arial"/>
          <w:sz w:val="16"/>
          <w:szCs w:val="16"/>
          <w:lang w:val="es-ES_tradnl"/>
        </w:rPr>
        <w:t>(Énfasis añadido</w:t>
      </w:r>
      <w:r w:rsidRPr="00470C7C">
        <w:rPr>
          <w:rFonts w:eastAsia="Cambria" w:cs="Times"/>
          <w:lang w:val="es-ES_tradnl"/>
        </w:rPr>
        <w:t xml:space="preserve">). </w:t>
      </w:r>
    </w:p>
    <w:p w14:paraId="7BCA8238" w14:textId="77777777" w:rsidR="00130785" w:rsidRPr="00470C7C" w:rsidRDefault="00130785" w:rsidP="00130785">
      <w:pPr>
        <w:tabs>
          <w:tab w:val="clear" w:pos="4419"/>
          <w:tab w:val="clear" w:pos="8838"/>
        </w:tabs>
        <w:ind w:left="708"/>
        <w:contextualSpacing/>
        <w:jc w:val="both"/>
        <w:rPr>
          <w:rFonts w:eastAsia="Cambria" w:cs="Times"/>
          <w:lang w:val="es-ES_tradnl"/>
        </w:rPr>
      </w:pPr>
    </w:p>
    <w:p w14:paraId="22F29FE6"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lang w:val="es-ES_tradnl"/>
        </w:rPr>
        <w:t xml:space="preserve">En ese sentido, la Corte IDH </w:t>
      </w:r>
      <w:r w:rsidRPr="00470C7C">
        <w:rPr>
          <w:rFonts w:eastAsia="Cambria" w:cs="Times New Roman"/>
          <w:szCs w:val="20"/>
          <w:lang w:val="es-ES_tradnl"/>
        </w:rPr>
        <w:t>—</w:t>
      </w:r>
      <w:r w:rsidRPr="00470C7C">
        <w:rPr>
          <w:rFonts w:eastAsia="Cambria" w:cs="Times New Roman"/>
          <w:lang w:val="es-ES_tradnl"/>
        </w:rPr>
        <w:t>como bien lo señala la Sentencia</w:t>
      </w:r>
      <w:r w:rsidRPr="00470C7C">
        <w:rPr>
          <w:rFonts w:eastAsia="Cambria" w:cs="Times New Roman"/>
          <w:szCs w:val="20"/>
          <w:lang w:val="es-ES_tradnl"/>
        </w:rPr>
        <w:t>—</w:t>
      </w:r>
      <w:r w:rsidRPr="00470C7C">
        <w:rPr>
          <w:rFonts w:eastAsia="Cambria" w:cs="Times New Roman"/>
          <w:lang w:val="es-ES_tradnl"/>
        </w:rPr>
        <w:t xml:space="preserve"> se ha pronunciado en el sentido de establecer que 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El Tribunal Interamericano recordó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sidRPr="00470C7C">
        <w:rPr>
          <w:rFonts w:eastAsia="Cambria" w:cs="Times New Roman"/>
          <w:szCs w:val="20"/>
          <w:vertAlign w:val="superscript"/>
          <w:lang w:val="es-ES_tradnl"/>
        </w:rPr>
        <w:footnoteReference w:id="607"/>
      </w:r>
      <w:r w:rsidRPr="00470C7C">
        <w:rPr>
          <w:rFonts w:eastAsia="Cambria" w:cs="Times New Roman"/>
          <w:lang w:val="es-ES_tradnl"/>
        </w:rPr>
        <w:t xml:space="preserve">, </w:t>
      </w:r>
      <w:r w:rsidRPr="00470C7C">
        <w:rPr>
          <w:rFonts w:eastAsia="Cambria" w:cs="Times New Roman"/>
          <w:i/>
          <w:lang w:val="es-ES_tradnl"/>
        </w:rPr>
        <w:t>como la extrema pobreza o marginación</w:t>
      </w:r>
      <w:r w:rsidRPr="00470C7C">
        <w:rPr>
          <w:rFonts w:eastAsia="Cambria" w:cs="Times New Roman"/>
          <w:szCs w:val="20"/>
          <w:vertAlign w:val="superscript"/>
          <w:lang w:val="es-ES_tradnl"/>
        </w:rPr>
        <w:footnoteReference w:id="608"/>
      </w:r>
      <w:r w:rsidRPr="00470C7C">
        <w:rPr>
          <w:rFonts w:eastAsia="Cambria" w:cs="Times New Roman"/>
          <w:lang w:val="es-ES_tradnl"/>
        </w:rPr>
        <w:t xml:space="preserve">. </w:t>
      </w:r>
    </w:p>
    <w:p w14:paraId="50ECF047" w14:textId="77777777" w:rsidR="00130785" w:rsidRPr="00470C7C" w:rsidRDefault="00130785" w:rsidP="00130785">
      <w:pPr>
        <w:tabs>
          <w:tab w:val="clear" w:pos="4419"/>
          <w:tab w:val="clear" w:pos="8838"/>
        </w:tabs>
        <w:contextualSpacing/>
        <w:jc w:val="both"/>
        <w:rPr>
          <w:rFonts w:eastAsia="Cambria" w:cs="Times New Roman"/>
          <w:b/>
          <w:szCs w:val="20"/>
          <w:lang w:val="es-ES_tradnl"/>
        </w:rPr>
      </w:pPr>
    </w:p>
    <w:p w14:paraId="2CCAB6B3"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Así, la pobreza forma parte del contenido de la prohibición de discriminar por la posición económica de una persona o de un grupo de personas. Además, la pobreza, al ser un fenómeno multidimensional</w:t>
      </w:r>
      <w:r w:rsidRPr="00470C7C">
        <w:rPr>
          <w:rFonts w:eastAsia="Cambria" w:cs="Times New Roman"/>
          <w:szCs w:val="20"/>
          <w:vertAlign w:val="superscript"/>
          <w:lang w:val="es-ES_tradnl"/>
        </w:rPr>
        <w:footnoteReference w:id="609"/>
      </w:r>
      <w:r w:rsidRPr="00470C7C">
        <w:rPr>
          <w:rFonts w:eastAsia="Cambria" w:cs="Times New Roman"/>
          <w:szCs w:val="20"/>
          <w:lang w:val="es-ES_tradnl"/>
        </w:rPr>
        <w:t xml:space="preserve"> puede ser abordada desde diferentes categorías de protección a la luz del artículo 1.1 de la Convención Americana; como lo puede ser la posición económica, el origen social o bien mediante otra condición social</w:t>
      </w:r>
      <w:r w:rsidRPr="00470C7C">
        <w:rPr>
          <w:rFonts w:eastAsia="Cambria" w:cs="Times New Roman"/>
          <w:szCs w:val="20"/>
          <w:vertAlign w:val="superscript"/>
          <w:lang w:val="es-ES_tradnl"/>
        </w:rPr>
        <w:footnoteReference w:id="610"/>
      </w:r>
      <w:r w:rsidRPr="00470C7C">
        <w:rPr>
          <w:rFonts w:eastAsia="Cambria" w:cs="Times New Roman"/>
          <w:szCs w:val="20"/>
          <w:lang w:val="es-ES_tradnl"/>
        </w:rPr>
        <w:t xml:space="preserve">, pudiendo darse de manera separada, múltiple o </w:t>
      </w:r>
      <w:proofErr w:type="spellStart"/>
      <w:r w:rsidRPr="00470C7C">
        <w:rPr>
          <w:rFonts w:eastAsia="Cambria" w:cs="Times New Roman"/>
          <w:szCs w:val="20"/>
          <w:lang w:val="es-ES_tradnl"/>
        </w:rPr>
        <w:t>interseccional</w:t>
      </w:r>
      <w:proofErr w:type="spellEnd"/>
      <w:r w:rsidRPr="00470C7C">
        <w:rPr>
          <w:rFonts w:eastAsia="Cambria" w:cs="Times New Roman"/>
          <w:szCs w:val="20"/>
          <w:lang w:val="es-ES_tradnl"/>
        </w:rPr>
        <w:t xml:space="preserve"> la protección de estas categorías de protección, atendiendo al caso en concreto</w:t>
      </w:r>
      <w:r w:rsidRPr="00470C7C">
        <w:rPr>
          <w:rFonts w:eastAsia="Cambria" w:cs="Times New Roman"/>
          <w:szCs w:val="20"/>
          <w:vertAlign w:val="superscript"/>
          <w:lang w:val="es-ES_tradnl"/>
        </w:rPr>
        <w:footnoteReference w:id="611"/>
      </w:r>
      <w:r w:rsidRPr="00470C7C">
        <w:rPr>
          <w:rFonts w:eastAsia="Cambria" w:cs="Times New Roman"/>
          <w:szCs w:val="20"/>
          <w:lang w:val="es-ES_tradnl"/>
        </w:rPr>
        <w:t xml:space="preserve">. </w:t>
      </w:r>
    </w:p>
    <w:p w14:paraId="77CFC1DF" w14:textId="77777777" w:rsidR="00130785" w:rsidRPr="00470C7C" w:rsidRDefault="00130785" w:rsidP="00130785">
      <w:pPr>
        <w:widowControl w:val="0"/>
        <w:tabs>
          <w:tab w:val="clear" w:pos="4419"/>
          <w:tab w:val="clear" w:pos="8838"/>
        </w:tabs>
        <w:autoSpaceDE w:val="0"/>
        <w:autoSpaceDN w:val="0"/>
        <w:adjustRightInd w:val="0"/>
        <w:contextualSpacing/>
        <w:jc w:val="both"/>
        <w:rPr>
          <w:rFonts w:eastAsia="Cambria" w:cs="Times"/>
          <w:sz w:val="16"/>
          <w:szCs w:val="16"/>
          <w:lang w:val="es-ES_tradnl"/>
        </w:rPr>
      </w:pPr>
    </w:p>
    <w:p w14:paraId="784D87D6" w14:textId="77777777" w:rsidR="00130785" w:rsidRPr="00470C7C" w:rsidRDefault="00130785" w:rsidP="008B0BCC">
      <w:pPr>
        <w:widowControl w:val="0"/>
        <w:numPr>
          <w:ilvl w:val="0"/>
          <w:numId w:val="26"/>
        </w:numPr>
        <w:tabs>
          <w:tab w:val="clear" w:pos="4419"/>
          <w:tab w:val="clear" w:pos="8838"/>
        </w:tabs>
        <w:autoSpaceDE w:val="0"/>
        <w:autoSpaceDN w:val="0"/>
        <w:adjustRightInd w:val="0"/>
        <w:contextualSpacing/>
        <w:jc w:val="both"/>
        <w:rPr>
          <w:rFonts w:eastAsia="Cambria" w:cs="Times"/>
          <w:sz w:val="16"/>
          <w:szCs w:val="16"/>
          <w:lang w:val="es-ES_tradnl"/>
        </w:rPr>
      </w:pPr>
      <w:r w:rsidRPr="00470C7C">
        <w:rPr>
          <w:rFonts w:eastAsia="Cambria" w:cs="Times"/>
          <w:szCs w:val="20"/>
          <w:lang w:val="es-ES_tradnl"/>
        </w:rPr>
        <w:t>En relación a los hechos del presente caso, el Tribunal Interamericano arribó a esta conclusión debido a que las personas que se encuentran en situación de pobreza son más propensas a sufrir trata de personas</w:t>
      </w:r>
      <w:r w:rsidRPr="00470C7C">
        <w:rPr>
          <w:rFonts w:eastAsia="Cambria" w:cs="Times New Roman"/>
          <w:szCs w:val="20"/>
          <w:vertAlign w:val="superscript"/>
          <w:lang w:val="es-ES_tradnl"/>
        </w:rPr>
        <w:footnoteReference w:id="612"/>
      </w:r>
      <w:r w:rsidRPr="00470C7C">
        <w:rPr>
          <w:rFonts w:eastAsia="Cambria" w:cs="Times"/>
          <w:szCs w:val="20"/>
          <w:lang w:val="es-ES_tradnl"/>
        </w:rPr>
        <w:t xml:space="preserve">, como sucedió en el caso de los 85 trabajadores de la Hacienda Brasil Verde. Respecto al vínculo del trabajo, la pobreza y las nuevas formas de esclavitud, </w:t>
      </w:r>
      <w:r w:rsidRPr="00470C7C">
        <w:rPr>
          <w:rFonts w:eastAsia="Cambria" w:cs="Times New Roman"/>
          <w:lang w:val="es-ES_tradnl"/>
        </w:rPr>
        <w:t>los PREPDH</w:t>
      </w:r>
      <w:r w:rsidRPr="00470C7C" w:rsidDel="004321C1">
        <w:rPr>
          <w:rFonts w:eastAsia="Cambria" w:cs="Times"/>
          <w:szCs w:val="20"/>
          <w:lang w:val="es-ES_tradnl"/>
        </w:rPr>
        <w:t xml:space="preserve"> </w:t>
      </w:r>
      <w:r w:rsidRPr="00470C7C">
        <w:rPr>
          <w:rFonts w:eastAsia="Cambria" w:cs="Times"/>
          <w:szCs w:val="20"/>
          <w:lang w:val="es-ES_tradnl"/>
        </w:rPr>
        <w:t xml:space="preserve">señalan que: </w:t>
      </w:r>
    </w:p>
    <w:p w14:paraId="51611873" w14:textId="77777777" w:rsidR="00130785" w:rsidRPr="00470C7C" w:rsidRDefault="00130785" w:rsidP="00130785">
      <w:pPr>
        <w:widowControl w:val="0"/>
        <w:tabs>
          <w:tab w:val="clear" w:pos="4419"/>
          <w:tab w:val="clear" w:pos="8838"/>
        </w:tabs>
        <w:autoSpaceDE w:val="0"/>
        <w:autoSpaceDN w:val="0"/>
        <w:adjustRightInd w:val="0"/>
        <w:contextualSpacing/>
        <w:jc w:val="both"/>
        <w:rPr>
          <w:rFonts w:eastAsia="Cambria" w:cs="Times"/>
          <w:szCs w:val="20"/>
          <w:lang w:val="es-ES_tradnl"/>
        </w:rPr>
      </w:pPr>
    </w:p>
    <w:p w14:paraId="14F3C96C" w14:textId="77777777" w:rsidR="00130785" w:rsidRPr="00470C7C" w:rsidRDefault="00130785" w:rsidP="00130785">
      <w:pPr>
        <w:widowControl w:val="0"/>
        <w:tabs>
          <w:tab w:val="clear" w:pos="4419"/>
          <w:tab w:val="clear" w:pos="8838"/>
        </w:tabs>
        <w:autoSpaceDE w:val="0"/>
        <w:autoSpaceDN w:val="0"/>
        <w:adjustRightInd w:val="0"/>
        <w:ind w:left="709"/>
        <w:contextualSpacing/>
        <w:jc w:val="both"/>
        <w:rPr>
          <w:rFonts w:eastAsia="Cambria" w:cs="Times"/>
          <w:sz w:val="16"/>
          <w:szCs w:val="16"/>
          <w:lang w:val="es-ES_tradnl"/>
        </w:rPr>
      </w:pPr>
      <w:r w:rsidRPr="00470C7C">
        <w:rPr>
          <w:rFonts w:eastAsia="Cambria" w:cs="Times"/>
          <w:sz w:val="16"/>
          <w:szCs w:val="16"/>
          <w:lang w:val="es-ES_tradnl"/>
        </w:rPr>
        <w:t xml:space="preserve">83. </w:t>
      </w:r>
      <w:r w:rsidRPr="00470C7C">
        <w:rPr>
          <w:rFonts w:eastAsia="Cambria" w:cs="Times"/>
          <w:i/>
          <w:sz w:val="16"/>
          <w:szCs w:val="16"/>
          <w:u w:val="single"/>
          <w:lang w:val="es-ES_tradnl"/>
        </w:rPr>
        <w:t>Tanto en las zonas rurales como en las urbanas, las personas que viven en la pobreza se ven enfrentadas al desempleo o el subempleo y al trabajo ocasional sin garantías</w:t>
      </w:r>
      <w:r w:rsidRPr="00470C7C">
        <w:rPr>
          <w:rFonts w:eastAsia="Cambria" w:cs="Times"/>
          <w:i/>
          <w:sz w:val="16"/>
          <w:szCs w:val="16"/>
          <w:lang w:val="es-ES_tradnl"/>
        </w:rPr>
        <w:t>, con bajos salarios y condiciones de trabajo inseguras y degradantes</w:t>
      </w:r>
      <w:r w:rsidRPr="00470C7C">
        <w:rPr>
          <w:rFonts w:eastAsia="Cambria" w:cs="Times"/>
          <w:sz w:val="16"/>
          <w:szCs w:val="16"/>
          <w:lang w:val="es-ES_tradnl"/>
        </w:rPr>
        <w:t xml:space="preserve">. Esas personas suelen trabajar al margen de la economía formal y sin prestaciones de la seguridad social, por ejemplo, sin licencias de maternidad, licencias por enfermedad, pensiones o prestaciones por discapacidad. Pueden pasar la mayor parte de las horas del día en el lugar de trabajo, logrando apenas sobrevivir con sus ingresos y </w:t>
      </w:r>
      <w:r w:rsidRPr="00470C7C">
        <w:rPr>
          <w:rFonts w:eastAsia="Cambria" w:cs="Times"/>
          <w:i/>
          <w:sz w:val="16"/>
          <w:szCs w:val="16"/>
          <w:u w:val="single"/>
          <w:lang w:val="es-ES_tradnl"/>
        </w:rPr>
        <w:t>sufriendo la explotación, en forma de trabajo forzoso o en régimen de servidumbre</w:t>
      </w:r>
      <w:r w:rsidRPr="00470C7C">
        <w:rPr>
          <w:rFonts w:eastAsia="Cambria" w:cs="Times"/>
          <w:sz w:val="16"/>
          <w:szCs w:val="16"/>
          <w:lang w:val="es-ES_tradnl"/>
        </w:rPr>
        <w:t>, despidos arbitrarios y abusos</w:t>
      </w:r>
      <w:r w:rsidRPr="00470C7C">
        <w:rPr>
          <w:rFonts w:eastAsia="Cambria" w:cs="Times New Roman"/>
          <w:sz w:val="16"/>
          <w:szCs w:val="20"/>
          <w:vertAlign w:val="superscript"/>
          <w:lang w:val="es-ES_tradnl"/>
        </w:rPr>
        <w:footnoteReference w:id="613"/>
      </w:r>
      <w:r w:rsidRPr="00470C7C">
        <w:rPr>
          <w:rFonts w:eastAsia="Cambria" w:cs="Times"/>
          <w:sz w:val="16"/>
          <w:szCs w:val="16"/>
          <w:lang w:val="es-ES_tradnl"/>
        </w:rPr>
        <w:t xml:space="preserve">. (Énfasis añadido). </w:t>
      </w:r>
    </w:p>
    <w:p w14:paraId="6782FF4F" w14:textId="77777777" w:rsidR="00130785" w:rsidRPr="00470C7C" w:rsidRDefault="00130785" w:rsidP="00130785">
      <w:pPr>
        <w:widowControl w:val="0"/>
        <w:tabs>
          <w:tab w:val="clear" w:pos="4419"/>
          <w:tab w:val="clear" w:pos="8838"/>
        </w:tabs>
        <w:autoSpaceDE w:val="0"/>
        <w:autoSpaceDN w:val="0"/>
        <w:adjustRightInd w:val="0"/>
        <w:contextualSpacing/>
        <w:jc w:val="both"/>
        <w:rPr>
          <w:rFonts w:eastAsia="Cambria" w:cs="Times New Roman"/>
          <w:lang w:val="es-ES_tradnl"/>
        </w:rPr>
      </w:pPr>
    </w:p>
    <w:p w14:paraId="27897A0E" w14:textId="77777777" w:rsidR="00130785" w:rsidRPr="00470C7C" w:rsidRDefault="00130785" w:rsidP="008B0BCC">
      <w:pPr>
        <w:numPr>
          <w:ilvl w:val="0"/>
          <w:numId w:val="26"/>
        </w:numPr>
        <w:tabs>
          <w:tab w:val="clear" w:pos="4419"/>
          <w:tab w:val="clear" w:pos="8838"/>
        </w:tabs>
        <w:contextualSpacing/>
        <w:jc w:val="both"/>
        <w:rPr>
          <w:rFonts w:eastAsia="Cambria" w:cs="Times New Roman"/>
          <w:lang w:val="es-ES_tradnl"/>
        </w:rPr>
      </w:pPr>
      <w:r w:rsidRPr="00470C7C">
        <w:rPr>
          <w:rFonts w:eastAsia="Cambria" w:cs="Times New Roman"/>
          <w:lang w:val="es-ES_tradnl"/>
        </w:rPr>
        <w:t>En este sentido, la Relatora Especial sobre formas contemporáneas de esclavitud, incluidas sus causas y consecuencias</w:t>
      </w:r>
      <w:r w:rsidRPr="00470C7C">
        <w:rPr>
          <w:rFonts w:eastAsia="Cambria" w:cs="Times New Roman"/>
          <w:i/>
          <w:lang w:val="es-ES_tradnl"/>
        </w:rPr>
        <w:t xml:space="preserve"> </w:t>
      </w:r>
      <w:r w:rsidRPr="00470C7C">
        <w:rPr>
          <w:rFonts w:eastAsia="Cambria" w:cs="Times New Roman"/>
          <w:lang w:val="es-ES_tradnl"/>
        </w:rPr>
        <w:t>ha expresado que:</w:t>
      </w:r>
    </w:p>
    <w:p w14:paraId="601C2454" w14:textId="77777777" w:rsidR="00130785" w:rsidRPr="00470C7C" w:rsidRDefault="00130785" w:rsidP="00130785">
      <w:pPr>
        <w:tabs>
          <w:tab w:val="clear" w:pos="4419"/>
          <w:tab w:val="clear" w:pos="8838"/>
        </w:tabs>
        <w:contextualSpacing/>
        <w:jc w:val="both"/>
        <w:rPr>
          <w:rFonts w:eastAsia="Cambria" w:cs="Times New Roman"/>
          <w:lang w:val="es-ES_tradnl"/>
        </w:rPr>
      </w:pPr>
    </w:p>
    <w:p w14:paraId="32AAA207" w14:textId="77777777" w:rsidR="00130785" w:rsidRPr="00470C7C" w:rsidRDefault="00130785" w:rsidP="00130785">
      <w:pPr>
        <w:tabs>
          <w:tab w:val="clear" w:pos="4419"/>
          <w:tab w:val="clear" w:pos="8838"/>
        </w:tabs>
        <w:ind w:left="708"/>
        <w:jc w:val="both"/>
        <w:rPr>
          <w:rFonts w:eastAsia="MS Mincho" w:cs="Times"/>
          <w:sz w:val="16"/>
          <w:szCs w:val="16"/>
          <w:lang w:val="es-ES_tradnl" w:eastAsia="es-ES"/>
        </w:rPr>
      </w:pPr>
      <w:r w:rsidRPr="00470C7C">
        <w:rPr>
          <w:rFonts w:eastAsia="MS Mincho" w:cs="Times"/>
          <w:sz w:val="16"/>
          <w:szCs w:val="16"/>
          <w:lang w:val="es-ES_tradnl" w:eastAsia="es-ES"/>
        </w:rPr>
        <w:t xml:space="preserve">48. Los trabajadores en condiciones de servidumbre </w:t>
      </w:r>
      <w:r w:rsidRPr="00470C7C">
        <w:rPr>
          <w:rFonts w:eastAsia="MS Mincho" w:cs="Times"/>
          <w:i/>
          <w:sz w:val="16"/>
          <w:szCs w:val="16"/>
          <w:lang w:val="es-ES_tradnl" w:eastAsia="es-ES"/>
        </w:rPr>
        <w:t>pertenecen casi siempre</w:t>
      </w:r>
      <w:r w:rsidRPr="00470C7C">
        <w:rPr>
          <w:rFonts w:eastAsia="MS Mincho" w:cs="Times"/>
          <w:sz w:val="16"/>
          <w:szCs w:val="16"/>
          <w:lang w:val="es-ES_tradnl" w:eastAsia="es-ES"/>
        </w:rPr>
        <w:t xml:space="preserve"> a grupos socialmente excluidos, como los indígenas, las minorías y los migrantes, que sufren </w:t>
      </w:r>
      <w:proofErr w:type="spellStart"/>
      <w:r w:rsidRPr="00470C7C">
        <w:rPr>
          <w:rFonts w:eastAsia="MS Mincho" w:cs="Times"/>
          <w:sz w:val="16"/>
          <w:szCs w:val="16"/>
          <w:lang w:val="es-ES_tradnl" w:eastAsia="es-ES"/>
        </w:rPr>
        <w:t>aun</w:t>
      </w:r>
      <w:proofErr w:type="spellEnd"/>
      <w:r w:rsidRPr="00470C7C">
        <w:rPr>
          <w:rFonts w:eastAsia="MS Mincho" w:cs="Times"/>
          <w:sz w:val="16"/>
          <w:szCs w:val="16"/>
          <w:lang w:val="es-ES_tradnl" w:eastAsia="es-ES"/>
        </w:rPr>
        <w:t xml:space="preserve"> más que otros discriminación y exclusión política</w:t>
      </w:r>
      <w:r w:rsidRPr="00470C7C">
        <w:rPr>
          <w:rFonts w:eastAsia="MS Mincho" w:cs="Times New Roman"/>
          <w:sz w:val="16"/>
          <w:szCs w:val="20"/>
          <w:vertAlign w:val="superscript"/>
          <w:lang w:val="es-ES_tradnl" w:eastAsia="es-ES"/>
        </w:rPr>
        <w:footnoteReference w:id="614"/>
      </w:r>
      <w:r w:rsidRPr="00470C7C">
        <w:rPr>
          <w:rFonts w:eastAsia="MS Mincho" w:cs="Times"/>
          <w:sz w:val="16"/>
          <w:szCs w:val="16"/>
          <w:lang w:val="es-ES_tradnl" w:eastAsia="es-ES"/>
        </w:rPr>
        <w:t>.</w:t>
      </w:r>
    </w:p>
    <w:p w14:paraId="5716B584" w14:textId="77777777" w:rsidR="00130785" w:rsidRPr="00470C7C" w:rsidRDefault="00130785" w:rsidP="00130785">
      <w:pPr>
        <w:tabs>
          <w:tab w:val="clear" w:pos="4419"/>
          <w:tab w:val="clear" w:pos="8838"/>
        </w:tabs>
        <w:rPr>
          <w:rFonts w:eastAsia="MS Mincho" w:cs="Times New Roman"/>
          <w:szCs w:val="20"/>
          <w:lang w:val="es-ES_tradnl" w:eastAsia="es-ES"/>
        </w:rPr>
      </w:pPr>
    </w:p>
    <w:p w14:paraId="1D3E7407" w14:textId="77777777" w:rsidR="00130785" w:rsidRPr="00470C7C" w:rsidRDefault="00130785" w:rsidP="00130785">
      <w:pPr>
        <w:tabs>
          <w:tab w:val="clear" w:pos="4419"/>
          <w:tab w:val="clear" w:pos="8838"/>
        </w:tabs>
        <w:rPr>
          <w:rFonts w:eastAsia="MS Mincho" w:cs="Times New Roman"/>
          <w:szCs w:val="20"/>
          <w:lang w:val="es-ES_tradnl" w:eastAsia="es-ES"/>
        </w:rPr>
      </w:pPr>
      <w:r w:rsidRPr="00470C7C">
        <w:rPr>
          <w:rFonts w:eastAsia="MS Mincho" w:cs="Times New Roman"/>
          <w:szCs w:val="20"/>
          <w:lang w:val="es-ES_tradnl" w:eastAsia="es-ES"/>
        </w:rPr>
        <w:t xml:space="preserve">además: </w:t>
      </w:r>
    </w:p>
    <w:p w14:paraId="7FF5F9AB" w14:textId="77777777" w:rsidR="00130785" w:rsidRPr="00470C7C" w:rsidRDefault="00130785" w:rsidP="00130785">
      <w:pPr>
        <w:tabs>
          <w:tab w:val="clear" w:pos="4419"/>
          <w:tab w:val="clear" w:pos="8838"/>
        </w:tabs>
        <w:rPr>
          <w:rFonts w:eastAsia="MS Mincho" w:cs="Times New Roman"/>
          <w:szCs w:val="20"/>
          <w:lang w:val="es-ES_tradnl" w:eastAsia="es-ES"/>
        </w:rPr>
      </w:pPr>
    </w:p>
    <w:p w14:paraId="1A78201E" w14:textId="77777777" w:rsidR="00130785" w:rsidRPr="00470C7C" w:rsidRDefault="00130785" w:rsidP="00130785">
      <w:pPr>
        <w:tabs>
          <w:tab w:val="clear" w:pos="4419"/>
          <w:tab w:val="clear" w:pos="8838"/>
        </w:tabs>
        <w:ind w:left="708"/>
        <w:contextualSpacing/>
        <w:jc w:val="both"/>
        <w:rPr>
          <w:rFonts w:eastAsia="Cambria" w:cs="Times"/>
          <w:sz w:val="16"/>
          <w:szCs w:val="16"/>
          <w:lang w:val="es-ES_tradnl"/>
        </w:rPr>
      </w:pPr>
      <w:r w:rsidRPr="00470C7C">
        <w:rPr>
          <w:rFonts w:eastAsia="Cambria" w:cs="Times New Roman"/>
          <w:sz w:val="16"/>
          <w:szCs w:val="16"/>
          <w:lang w:val="es-ES_tradnl"/>
        </w:rPr>
        <w:t xml:space="preserve">38. En muchos países en donde se dan los casos de esclavitud, las víctimas son pobres, con pocas conexiones políticas y escaso poder de expresar quejas. </w:t>
      </w:r>
      <w:r w:rsidRPr="00470C7C">
        <w:rPr>
          <w:rFonts w:eastAsia="Cambria" w:cs="Times"/>
          <w:i/>
          <w:sz w:val="16"/>
          <w:szCs w:val="16"/>
          <w:lang w:val="es-ES_tradnl"/>
        </w:rPr>
        <w:t>Estos grupos están normalmente marginados y discriminados</w:t>
      </w:r>
      <w:r w:rsidRPr="00470C7C">
        <w:rPr>
          <w:rFonts w:eastAsia="Cambria" w:cs="Times"/>
          <w:sz w:val="16"/>
          <w:szCs w:val="16"/>
          <w:lang w:val="es-ES_tradnl"/>
        </w:rPr>
        <w:t xml:space="preserve"> por motivo de su casta, raza, sexo, y/o su origen como migrantes indígenas</w:t>
      </w:r>
      <w:r w:rsidRPr="00470C7C">
        <w:rPr>
          <w:rFonts w:eastAsia="Cambria" w:cs="Times New Roman"/>
          <w:sz w:val="16"/>
          <w:szCs w:val="20"/>
          <w:vertAlign w:val="superscript"/>
          <w:lang w:val="es-ES_tradnl"/>
        </w:rPr>
        <w:footnoteReference w:id="615"/>
      </w:r>
      <w:r w:rsidRPr="00470C7C">
        <w:rPr>
          <w:rFonts w:eastAsia="Cambria" w:cs="Times"/>
          <w:sz w:val="16"/>
          <w:szCs w:val="16"/>
          <w:lang w:val="es-ES_tradnl"/>
        </w:rPr>
        <w:t>.</w:t>
      </w:r>
    </w:p>
    <w:p w14:paraId="0D74D048" w14:textId="77777777" w:rsidR="00130785" w:rsidRPr="00470C7C" w:rsidRDefault="00130785" w:rsidP="00130785">
      <w:pPr>
        <w:tabs>
          <w:tab w:val="clear" w:pos="4419"/>
          <w:tab w:val="clear" w:pos="8838"/>
        </w:tabs>
        <w:ind w:left="708"/>
        <w:contextualSpacing/>
        <w:jc w:val="both"/>
        <w:rPr>
          <w:rFonts w:eastAsia="Cambria" w:cs="Times"/>
          <w:sz w:val="16"/>
          <w:szCs w:val="16"/>
          <w:lang w:val="es-ES_tradnl"/>
        </w:rPr>
      </w:pPr>
    </w:p>
    <w:p w14:paraId="5567022B" w14:textId="77777777" w:rsidR="00130785" w:rsidRPr="00470C7C" w:rsidRDefault="00130785" w:rsidP="008B0BCC">
      <w:pPr>
        <w:numPr>
          <w:ilvl w:val="0"/>
          <w:numId w:val="26"/>
        </w:numPr>
        <w:tabs>
          <w:tab w:val="clear" w:pos="4419"/>
          <w:tab w:val="clear" w:pos="8838"/>
        </w:tabs>
        <w:contextualSpacing/>
        <w:jc w:val="both"/>
        <w:rPr>
          <w:rFonts w:eastAsia="Cambria" w:cs="Times New Roman"/>
          <w:lang w:val="es-ES_tradnl"/>
        </w:rPr>
      </w:pPr>
      <w:r w:rsidRPr="00470C7C">
        <w:rPr>
          <w:rFonts w:eastAsia="Cambria" w:cs="Times New Roman"/>
          <w:lang w:val="es-ES_tradnl"/>
        </w:rPr>
        <w:t xml:space="preserve">Es decir, </w:t>
      </w:r>
      <w:r w:rsidRPr="00470C7C">
        <w:rPr>
          <w:rFonts w:eastAsia="Cambria" w:cs="Times New Roman"/>
          <w:szCs w:val="20"/>
          <w:lang w:val="es-ES_tradnl"/>
        </w:rPr>
        <w:t xml:space="preserve">si bien </w:t>
      </w:r>
      <w:r w:rsidRPr="00470C7C">
        <w:rPr>
          <w:rFonts w:eastAsia="Cambria" w:cs="Times New Roman"/>
          <w:i/>
          <w:szCs w:val="20"/>
          <w:lang w:val="es-ES_tradnl"/>
        </w:rPr>
        <w:t xml:space="preserve">generalmente, normalmente o casi siempre </w:t>
      </w:r>
      <w:r w:rsidRPr="00470C7C">
        <w:rPr>
          <w:rFonts w:eastAsia="Cambria" w:cs="Times New Roman"/>
          <w:szCs w:val="20"/>
          <w:lang w:val="es-ES_tradnl"/>
        </w:rPr>
        <w:t>las víctimas que son objeto de esclavitud y sus formas análogas son personas pobres que han sido históricamente discriminadas</w:t>
      </w:r>
      <w:r w:rsidRPr="00470C7C">
        <w:rPr>
          <w:rFonts w:eastAsia="Cambria" w:cs="Times"/>
          <w:szCs w:val="20"/>
          <w:lang w:val="es-ES_tradnl"/>
        </w:rPr>
        <w:t xml:space="preserve"> por motivo de su raza, sexo, y/o su origen como migrantes indígenas, </w:t>
      </w:r>
      <w:r w:rsidRPr="00470C7C">
        <w:rPr>
          <w:rFonts w:eastAsia="Cambria" w:cs="Times New Roman"/>
          <w:szCs w:val="20"/>
          <w:lang w:val="es-ES_tradnl"/>
        </w:rPr>
        <w:t xml:space="preserve">no excluye que existan personas que no necesariamente se encuentren incluidas dentro de estas categorías expresas, pero que de igual manera sean pobres, marginados o excluidos. No obstante, es de resaltar que cuando, además de la situación pobreza medie otra categoría, como la raza, género, el origen étnico, etc., dispuesta en el artículo 1.1 se estará ante una situación múltiple/compuesta o </w:t>
      </w:r>
      <w:proofErr w:type="spellStart"/>
      <w:r w:rsidRPr="00470C7C">
        <w:rPr>
          <w:rFonts w:eastAsia="Cambria" w:cs="Times New Roman"/>
          <w:szCs w:val="20"/>
          <w:lang w:val="es-ES_tradnl"/>
        </w:rPr>
        <w:t>interseccional</w:t>
      </w:r>
      <w:proofErr w:type="spellEnd"/>
      <w:r w:rsidRPr="00470C7C">
        <w:rPr>
          <w:rFonts w:eastAsia="Cambria" w:cs="Times New Roman"/>
          <w:szCs w:val="20"/>
          <w:lang w:val="es-ES_tradnl"/>
        </w:rPr>
        <w:t xml:space="preserve"> de discriminación, atendiendo a las particularidades</w:t>
      </w:r>
      <w:r w:rsidRPr="00470C7C">
        <w:rPr>
          <w:rFonts w:eastAsia="Cambria" w:cs="Times New Roman"/>
          <w:lang w:val="es-ES_tradnl"/>
        </w:rPr>
        <w:t xml:space="preserve"> del caso</w:t>
      </w:r>
      <w:r w:rsidRPr="00470C7C">
        <w:rPr>
          <w:rFonts w:eastAsia="Cambria" w:cs="Times New Roman"/>
          <w:szCs w:val="20"/>
          <w:vertAlign w:val="superscript"/>
          <w:lang w:val="es-ES_tradnl"/>
        </w:rPr>
        <w:footnoteReference w:id="616"/>
      </w:r>
      <w:r w:rsidRPr="00470C7C">
        <w:rPr>
          <w:rFonts w:eastAsia="Cambria" w:cs="Times New Roman"/>
          <w:lang w:val="es-ES_tradnl"/>
        </w:rPr>
        <w:t xml:space="preserve"> y como ha sido reconocido en otras ocasiones por el Tribunal Interamericano</w:t>
      </w:r>
      <w:r w:rsidRPr="00470C7C">
        <w:rPr>
          <w:rFonts w:eastAsia="Cambria" w:cs="Times New Roman"/>
          <w:szCs w:val="20"/>
          <w:vertAlign w:val="superscript"/>
          <w:lang w:val="es-ES_tradnl"/>
        </w:rPr>
        <w:footnoteReference w:id="617"/>
      </w:r>
      <w:r w:rsidRPr="00470C7C">
        <w:rPr>
          <w:rFonts w:eastAsia="Cambria" w:cs="Times New Roman"/>
          <w:lang w:val="es-ES_tradnl"/>
        </w:rPr>
        <w:t xml:space="preserve">. </w:t>
      </w:r>
    </w:p>
    <w:p w14:paraId="6BCB054F" w14:textId="77777777" w:rsidR="00130785" w:rsidRPr="00470C7C" w:rsidRDefault="00130785" w:rsidP="00130785">
      <w:pPr>
        <w:tabs>
          <w:tab w:val="clear" w:pos="4419"/>
          <w:tab w:val="clear" w:pos="8838"/>
        </w:tabs>
        <w:contextualSpacing/>
        <w:jc w:val="both"/>
        <w:rPr>
          <w:rFonts w:eastAsia="Cambria" w:cs="Times New Roman"/>
          <w:lang w:val="es-ES_tradnl"/>
        </w:rPr>
      </w:pPr>
    </w:p>
    <w:p w14:paraId="669791CC"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lang w:val="es-ES_tradnl"/>
        </w:rPr>
        <w:t xml:space="preserve">Para los fines del derecho antidiscriminatorio, la posición económica alude a situaciones estructurales de negación, por diversas circunstancias, a un sector de la población, de necesidades generales de vida digna y autónoma. Debe entenderse, pues, dentro del conjunto de situaciones que impiden que una persona desarrolle una vida digna, como el acceso y disfrute a los servicios sociales más básicos. En este sentido, las condiciones de dignidad se refieren a la posibilidad, por ejemplo, de ejercer un trabajo o bien </w:t>
      </w:r>
      <w:r w:rsidRPr="00470C7C">
        <w:rPr>
          <w:rFonts w:eastAsia="Cambria" w:cs="Times New Roman"/>
          <w:szCs w:val="20"/>
          <w:lang w:val="es-ES_tradnl"/>
        </w:rPr>
        <w:t xml:space="preserve">el </w:t>
      </w:r>
      <w:r w:rsidRPr="00470C7C">
        <w:rPr>
          <w:rFonts w:eastAsia="Cambria" w:cs="Times New Roman"/>
          <w:lang w:val="es-ES_tradnl"/>
        </w:rPr>
        <w:t>goce de bienes, tales como vivienda, educación, salud, esparcimiento, servicios públicos, seguridad social, cultura, dado que es la situación frente a ellos la que configura la condición económica social del individuo</w:t>
      </w:r>
      <w:r w:rsidRPr="00470C7C">
        <w:rPr>
          <w:rFonts w:eastAsia="Cambria" w:cs="Times New Roman"/>
          <w:szCs w:val="20"/>
          <w:vertAlign w:val="superscript"/>
          <w:lang w:val="es-ES_tradnl"/>
        </w:rPr>
        <w:footnoteReference w:id="618"/>
      </w:r>
      <w:r w:rsidRPr="00470C7C">
        <w:rPr>
          <w:rFonts w:eastAsia="Cambria" w:cs="Times New Roman"/>
          <w:lang w:val="es-ES_tradnl"/>
        </w:rPr>
        <w:t>. Lo anterior se hace más evidente en América Latina respecto a las mujeres, en razón de la falta de autonomía económica y de circunstancias más agudas de incidencia de pobreza en relación con los hombres, lo que exige de los Estados la adopción de acciones específicas para solucionar esa situación de desigualdad de género en el impacto de la pobreza</w:t>
      </w:r>
      <w:r w:rsidRPr="00470C7C">
        <w:rPr>
          <w:rFonts w:eastAsia="Cambria" w:cs="Times New Roman"/>
          <w:szCs w:val="20"/>
          <w:vertAlign w:val="superscript"/>
          <w:lang w:val="es-ES_tradnl"/>
        </w:rPr>
        <w:footnoteReference w:id="619"/>
      </w:r>
      <w:r w:rsidRPr="00470C7C">
        <w:rPr>
          <w:rFonts w:eastAsia="Cambria" w:cs="Times New Roman"/>
          <w:lang w:val="es-ES_tradnl"/>
        </w:rPr>
        <w:t xml:space="preserve">. </w:t>
      </w:r>
    </w:p>
    <w:p w14:paraId="5FC120BD"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r w:rsidRPr="00470C7C">
        <w:rPr>
          <w:rFonts w:eastAsia="Cambria" w:cs="Times New Roman"/>
          <w:lang w:val="es-ES_tradnl"/>
        </w:rPr>
        <w:t xml:space="preserve"> </w:t>
      </w:r>
    </w:p>
    <w:p w14:paraId="0F11E681"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 xml:space="preserve">En suma, el Tribunal Interamericano ha ido ampliando y delimitando el contenido de las categorías por las cuales personas o grupos de personas no pueden ser discriminadas, que en algunos casos, han respondido a las realidades sociales que se han ido presentando con la evolución de las mismas; en donde, además, no se vinculan de manera individual sino que responden a diversos factores y barreras sociales y culturales de manera conjunta, como lo ha sido la condición de VIH que puede ser generadora de discapacidad, la infertilidad como forma de discapacidad que tiene otras repercusiones en el género, o la situación de desventaja de un trabajador por su estatus de migrante irregular y, ahora, la situación de pobreza como parte de la posición económica. </w:t>
      </w:r>
    </w:p>
    <w:p w14:paraId="3CC48F4C" w14:textId="77777777" w:rsidR="00130785" w:rsidRPr="00470C7C" w:rsidRDefault="00130785" w:rsidP="00130785">
      <w:pPr>
        <w:tabs>
          <w:tab w:val="clear" w:pos="4419"/>
          <w:tab w:val="clear" w:pos="8838"/>
        </w:tabs>
        <w:spacing w:line="360" w:lineRule="auto"/>
        <w:contextualSpacing/>
        <w:jc w:val="both"/>
        <w:rPr>
          <w:rFonts w:eastAsia="Cambria" w:cs="Times New Roman"/>
          <w:b/>
          <w:szCs w:val="20"/>
          <w:lang w:val="es-ES_tradnl"/>
        </w:rPr>
      </w:pPr>
    </w:p>
    <w:p w14:paraId="5BBA256F" w14:textId="77777777" w:rsidR="00130785" w:rsidRPr="00470C7C" w:rsidRDefault="00130785" w:rsidP="00130785">
      <w:pPr>
        <w:tabs>
          <w:tab w:val="clear" w:pos="4419"/>
          <w:tab w:val="clear" w:pos="8838"/>
        </w:tabs>
        <w:spacing w:line="276" w:lineRule="auto"/>
        <w:contextualSpacing/>
        <w:jc w:val="center"/>
        <w:rPr>
          <w:rFonts w:eastAsia="Cambria" w:cs="System Font Regular"/>
          <w:szCs w:val="20"/>
          <w:lang w:val="es-ES_tradnl"/>
        </w:rPr>
      </w:pPr>
      <w:r w:rsidRPr="00470C7C">
        <w:rPr>
          <w:rFonts w:eastAsia="Cambria" w:cs="System Font Regular"/>
          <w:szCs w:val="20"/>
          <w:lang w:val="es-ES_tradnl"/>
        </w:rPr>
        <w:t xml:space="preserve">IV. LAS VIOLACIONES ESTRUCTURALES EN EL DERECHO INTERNACIONAL </w:t>
      </w:r>
    </w:p>
    <w:p w14:paraId="0F3AF077" w14:textId="77777777" w:rsidR="00130785" w:rsidRPr="00470C7C" w:rsidRDefault="00130785" w:rsidP="00130785">
      <w:pPr>
        <w:tabs>
          <w:tab w:val="clear" w:pos="4419"/>
          <w:tab w:val="clear" w:pos="8838"/>
        </w:tabs>
        <w:contextualSpacing/>
        <w:jc w:val="center"/>
        <w:rPr>
          <w:rFonts w:eastAsia="Cambria" w:cs="System Font Regular"/>
          <w:b/>
          <w:szCs w:val="20"/>
          <w:lang w:val="es-ES_tradnl"/>
        </w:rPr>
      </w:pPr>
    </w:p>
    <w:p w14:paraId="6327B03D" w14:textId="77777777" w:rsidR="00130785" w:rsidRPr="00470C7C" w:rsidRDefault="00130785" w:rsidP="008B0BCC">
      <w:pPr>
        <w:numPr>
          <w:ilvl w:val="0"/>
          <w:numId w:val="26"/>
        </w:numPr>
        <w:tabs>
          <w:tab w:val="clear" w:pos="4419"/>
          <w:tab w:val="clear" w:pos="8838"/>
        </w:tabs>
        <w:jc w:val="both"/>
        <w:rPr>
          <w:rFonts w:eastAsia="Cambria" w:cs="System Font Regular"/>
          <w:szCs w:val="20"/>
          <w:lang w:val="es-ES_tradnl"/>
        </w:rPr>
      </w:pPr>
      <w:r w:rsidRPr="00470C7C">
        <w:rPr>
          <w:rFonts w:eastAsia="Cambria" w:cs="System Font Regular"/>
          <w:szCs w:val="20"/>
          <w:lang w:val="es-ES_tradnl"/>
        </w:rPr>
        <w:t xml:space="preserve">El presente apartado tiene como finalidad enmarcar los avances que se han ido desarrollando en la materia del reconocimiento de la discriminación estructural. De esta manera, resulta de vital importancia que los Estados consideren la existencia de estas situaciones sistémicas de discriminación; ya que no todas las violaciones de derechos humanos se presentan como hechos aislados, sino que en ocasiones éstas responden a contextos específicos e institucionales de negación de derechos humanos. </w:t>
      </w:r>
    </w:p>
    <w:p w14:paraId="04A0F80B" w14:textId="77777777" w:rsidR="00130785" w:rsidRPr="00470C7C" w:rsidRDefault="00130785" w:rsidP="00130785">
      <w:pPr>
        <w:tabs>
          <w:tab w:val="clear" w:pos="4419"/>
          <w:tab w:val="clear" w:pos="8838"/>
        </w:tabs>
        <w:jc w:val="both"/>
        <w:rPr>
          <w:rFonts w:eastAsia="Cambria" w:cs="System Font Regular"/>
          <w:szCs w:val="20"/>
          <w:lang w:val="es-ES_tradnl"/>
        </w:rPr>
      </w:pPr>
    </w:p>
    <w:p w14:paraId="2E587658" w14:textId="77777777" w:rsidR="00130785" w:rsidRPr="00470C7C" w:rsidRDefault="00130785" w:rsidP="008B0BCC">
      <w:pPr>
        <w:numPr>
          <w:ilvl w:val="0"/>
          <w:numId w:val="26"/>
        </w:numPr>
        <w:tabs>
          <w:tab w:val="clear" w:pos="4419"/>
          <w:tab w:val="clear" w:pos="8838"/>
        </w:tabs>
        <w:jc w:val="both"/>
        <w:rPr>
          <w:rFonts w:eastAsia="Cambria" w:cs="System Font Regular"/>
          <w:b/>
          <w:i/>
          <w:szCs w:val="20"/>
          <w:lang w:val="es-ES_tradnl"/>
        </w:rPr>
      </w:pPr>
      <w:r w:rsidRPr="00470C7C">
        <w:rPr>
          <w:rFonts w:eastAsia="Cambria" w:cs="System Font Regular"/>
          <w:szCs w:val="20"/>
          <w:lang w:val="es-ES_tradnl"/>
        </w:rPr>
        <w:t xml:space="preserve">Si bien en el estado actual del Derecho Internacional y Constitucional de los Derechos Humanos no se cuenta con una visión arraigada de este fenómeno, ello no implica que, poco a </w:t>
      </w:r>
      <w:proofErr w:type="gramStart"/>
      <w:r w:rsidRPr="00470C7C">
        <w:rPr>
          <w:rFonts w:eastAsia="Cambria" w:cs="System Font Regular"/>
          <w:szCs w:val="20"/>
          <w:lang w:val="es-ES_tradnl"/>
        </w:rPr>
        <w:t>poco,  diversas</w:t>
      </w:r>
      <w:proofErr w:type="gramEnd"/>
      <w:r w:rsidRPr="00470C7C">
        <w:rPr>
          <w:rFonts w:eastAsia="Cambria" w:cs="System Font Regular"/>
          <w:szCs w:val="20"/>
          <w:lang w:val="es-ES_tradnl"/>
        </w:rPr>
        <w:t xml:space="preserve"> instancias se hayan pronunciado sobre la existencia y materialización de esta situación. Así, encontramos algunos rasgos coincidentes en el ámbito internacional.</w:t>
      </w:r>
    </w:p>
    <w:p w14:paraId="12C0D83A" w14:textId="77777777" w:rsidR="00130785" w:rsidRPr="00470C7C" w:rsidRDefault="00130785" w:rsidP="00130785">
      <w:pPr>
        <w:tabs>
          <w:tab w:val="clear" w:pos="4419"/>
          <w:tab w:val="clear" w:pos="8838"/>
        </w:tabs>
        <w:jc w:val="both"/>
        <w:rPr>
          <w:rFonts w:eastAsia="Cambria" w:cs="System Font Regular"/>
          <w:b/>
          <w:i/>
          <w:szCs w:val="20"/>
          <w:lang w:val="es-ES_tradnl"/>
        </w:rPr>
      </w:pPr>
      <w:r w:rsidRPr="00470C7C">
        <w:rPr>
          <w:rFonts w:eastAsia="Cambria" w:cs="System Font Regular"/>
          <w:szCs w:val="20"/>
          <w:lang w:val="es-ES_tradnl"/>
        </w:rPr>
        <w:t xml:space="preserve"> </w:t>
      </w:r>
    </w:p>
    <w:p w14:paraId="0B33DCC6" w14:textId="77777777" w:rsidR="00130785" w:rsidRPr="00470C7C" w:rsidRDefault="00130785" w:rsidP="00130785">
      <w:pPr>
        <w:tabs>
          <w:tab w:val="clear" w:pos="4419"/>
          <w:tab w:val="clear" w:pos="8838"/>
        </w:tabs>
        <w:contextualSpacing/>
        <w:jc w:val="both"/>
        <w:rPr>
          <w:rFonts w:eastAsia="Cambria" w:cs="System Font Regular"/>
          <w:i/>
          <w:szCs w:val="20"/>
          <w:lang w:val="es-ES_tradnl"/>
        </w:rPr>
      </w:pPr>
      <w:r w:rsidRPr="00470C7C">
        <w:rPr>
          <w:rFonts w:eastAsia="Cambria" w:cs="System Font Regular"/>
          <w:i/>
          <w:szCs w:val="20"/>
          <w:lang w:val="es-ES_tradnl"/>
        </w:rPr>
        <w:t xml:space="preserve">i) Tribunal Europeo de Derechos Humanos </w:t>
      </w:r>
    </w:p>
    <w:p w14:paraId="5FA95824" w14:textId="77777777" w:rsidR="00130785" w:rsidRPr="00470C7C" w:rsidRDefault="00130785" w:rsidP="00130785">
      <w:pPr>
        <w:tabs>
          <w:tab w:val="clear" w:pos="4419"/>
          <w:tab w:val="clear" w:pos="8838"/>
        </w:tabs>
        <w:jc w:val="both"/>
        <w:rPr>
          <w:rFonts w:eastAsia="Cambria" w:cs="System Font Regular"/>
          <w:b/>
          <w:i/>
          <w:szCs w:val="20"/>
          <w:lang w:val="es-ES_tradnl"/>
        </w:rPr>
      </w:pPr>
    </w:p>
    <w:p w14:paraId="7EA75077"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 xml:space="preserve">El Tribunal Europeo, a la fecha, no ha reconocido el concepto de </w:t>
      </w:r>
      <w:r w:rsidRPr="00470C7C">
        <w:rPr>
          <w:rFonts w:eastAsia="Cambria" w:cs="System Font Regular"/>
          <w:i/>
          <w:szCs w:val="20"/>
          <w:lang w:val="es-ES_tradnl"/>
        </w:rPr>
        <w:t xml:space="preserve">“discriminación estructural” </w:t>
      </w:r>
      <w:r w:rsidRPr="00470C7C">
        <w:rPr>
          <w:rFonts w:eastAsia="Cambria" w:cs="System Font Regular"/>
          <w:szCs w:val="20"/>
          <w:lang w:val="es-ES_tradnl"/>
        </w:rPr>
        <w:t>por categorías de especial protección</w:t>
      </w:r>
      <w:r w:rsidRPr="00470C7C">
        <w:rPr>
          <w:rFonts w:eastAsia="Cambria" w:cs="System Font Regular"/>
          <w:i/>
          <w:szCs w:val="20"/>
          <w:lang w:val="es-ES_tradnl"/>
        </w:rPr>
        <w:t xml:space="preserve">, </w:t>
      </w:r>
      <w:r w:rsidRPr="00470C7C">
        <w:rPr>
          <w:rFonts w:eastAsia="Cambria" w:cs="System Font Regular"/>
          <w:szCs w:val="20"/>
          <w:lang w:val="es-ES_tradnl"/>
        </w:rPr>
        <w:t xml:space="preserve">que pudiera protegerse en el artículo 14 del Convenio Europeo, o bien mediante el artículo 1º del Protocolo 12 de dicho Convenio; lo anterior no ha sido impedimento para que, derivadas de un contexto sistemático de negación de derechos, las violaciones estructurales a estos derechos contemplados en el Convenio Europeo no sean protegidos. En este sentido, cabe destacar que a diferencia de la Convención Americana en donde existe un mandato convencional de adecuar o adoptar medidas de derecho interno (Artículo 2 del Pacto de San José), en el Convenio Europeo no encontramos una disposición de similar amplitud y dimensión. </w:t>
      </w:r>
    </w:p>
    <w:p w14:paraId="73C6DAF1"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2ECA372E"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 xml:space="preserve">De esta manera, el medio que el TEDH ha considerado como la vía idónea para hacer frente a las violaciones de derechos humanos en las situaciones estructurales, es la adopción de medidas que ayuden a revertir estas circunstancias desfavorables para un sector de la población. La ausencia del mandato convencional en el CEDH no ha sido impedimento para que en la práctica jurisprudencial del Tribunal de Estrasburgo reconozca la existencia de </w:t>
      </w:r>
      <w:r w:rsidRPr="00470C7C">
        <w:rPr>
          <w:rFonts w:eastAsia="Cambria" w:cs="System Font Regular"/>
          <w:i/>
          <w:szCs w:val="20"/>
          <w:lang w:val="es-ES_tradnl"/>
        </w:rPr>
        <w:t>problemas estructurales y sistémicos</w:t>
      </w:r>
      <w:r w:rsidRPr="00470C7C">
        <w:rPr>
          <w:rFonts w:eastAsia="Cambria" w:cs="System Font Regular"/>
          <w:szCs w:val="20"/>
          <w:lang w:val="es-ES_tradnl"/>
        </w:rPr>
        <w:t xml:space="preserve"> en relación a otros derechos protegidos por el Convenio de Roma y, de este modo, ordene la implementación de medidas positivas para garantizar los derechos protegidos en el Convenio Europeo</w:t>
      </w:r>
      <w:r w:rsidRPr="00470C7C">
        <w:rPr>
          <w:rFonts w:eastAsia="Cambria" w:cs="Times New Roman"/>
          <w:szCs w:val="20"/>
          <w:vertAlign w:val="superscript"/>
          <w:lang w:val="es-ES_tradnl"/>
        </w:rPr>
        <w:footnoteReference w:id="620"/>
      </w:r>
      <w:r w:rsidRPr="00470C7C">
        <w:rPr>
          <w:rFonts w:eastAsia="Cambria" w:cs="System Font Regular"/>
          <w:szCs w:val="20"/>
          <w:lang w:val="es-ES_tradnl"/>
        </w:rPr>
        <w:t xml:space="preserve">. </w:t>
      </w:r>
    </w:p>
    <w:p w14:paraId="1EB39B48"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6B58DC24"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 xml:space="preserve">El reconocimiento de los problemas estructurales y sistémicos en la jurisprudencia europea se ha realizado a través de las denominadas </w:t>
      </w:r>
      <w:r w:rsidRPr="00470C7C">
        <w:rPr>
          <w:rFonts w:eastAsia="Cambria" w:cs="System Font Regular"/>
          <w:i/>
          <w:szCs w:val="20"/>
          <w:lang w:val="es-ES_tradnl"/>
        </w:rPr>
        <w:t>sentencias piloto</w:t>
      </w:r>
      <w:r w:rsidRPr="00470C7C">
        <w:rPr>
          <w:rFonts w:eastAsia="Cambria" w:cs="Times New Roman"/>
          <w:szCs w:val="20"/>
          <w:vertAlign w:val="superscript"/>
          <w:lang w:val="es-ES_tradnl"/>
        </w:rPr>
        <w:footnoteReference w:id="621"/>
      </w:r>
      <w:r w:rsidRPr="00470C7C">
        <w:rPr>
          <w:rFonts w:eastAsia="Cambria" w:cs="System Font Regular"/>
          <w:szCs w:val="20"/>
          <w:lang w:val="es-ES_tradnl"/>
        </w:rPr>
        <w:t xml:space="preserve">. De esta manera, las sentencias piloto son aquellas que el Tribunal Europeo ha adoptado contra el Estado implicado </w:t>
      </w:r>
      <w:r w:rsidRPr="00470C7C">
        <w:rPr>
          <w:rFonts w:eastAsia="Cambria" w:cs="Times New Roman"/>
          <w:szCs w:val="20"/>
          <w:lang w:val="es-ES_tradnl"/>
        </w:rPr>
        <w:t>—</w:t>
      </w:r>
      <w:r w:rsidRPr="00470C7C">
        <w:rPr>
          <w:rFonts w:eastAsia="Cambria" w:cs="System Font Regular"/>
          <w:szCs w:val="20"/>
          <w:lang w:val="es-ES_tradnl"/>
        </w:rPr>
        <w:t>derivado de la acumulación de diversos casos que presentan características similares</w:t>
      </w:r>
      <w:r w:rsidRPr="00470C7C">
        <w:rPr>
          <w:rFonts w:eastAsia="Cambria" w:cs="Times New Roman"/>
          <w:szCs w:val="20"/>
          <w:lang w:val="es-ES_tradnl"/>
        </w:rPr>
        <w:t>—</w:t>
      </w:r>
      <w:r w:rsidRPr="00470C7C">
        <w:rPr>
          <w:rFonts w:eastAsia="Cambria" w:cs="System Font Regular"/>
          <w:szCs w:val="20"/>
          <w:lang w:val="es-ES_tradnl"/>
        </w:rPr>
        <w:t xml:space="preserve"> obligándolos a adoptar leyes internas (medidas generales) que corrijan un </w:t>
      </w:r>
      <w:r w:rsidRPr="00470C7C">
        <w:rPr>
          <w:rFonts w:eastAsia="Cambria" w:cs="System Font Regular"/>
          <w:i/>
          <w:szCs w:val="20"/>
          <w:lang w:val="es-ES_tradnl"/>
        </w:rPr>
        <w:t xml:space="preserve">problema estructural </w:t>
      </w:r>
      <w:r w:rsidRPr="00470C7C">
        <w:rPr>
          <w:rFonts w:eastAsia="Cambria" w:cs="System Font Regular"/>
          <w:szCs w:val="20"/>
          <w:lang w:val="es-ES_tradnl"/>
        </w:rPr>
        <w:t xml:space="preserve">que, precisamente origina la violación del Convenio Europeo. En este sentido, en este tipo de casos, el TEDH constata la existencia de un problema sistémico, suspende los procesos sobre casos idénticos </w:t>
      </w:r>
      <w:r w:rsidRPr="00470C7C">
        <w:rPr>
          <w:rFonts w:eastAsia="Cambria" w:cs="Times New Roman"/>
          <w:szCs w:val="20"/>
          <w:lang w:val="es-ES_tradnl"/>
        </w:rPr>
        <w:t>—</w:t>
      </w:r>
      <w:r w:rsidRPr="00470C7C">
        <w:rPr>
          <w:rFonts w:eastAsia="Cambria" w:cs="System Font Regular"/>
          <w:szCs w:val="20"/>
          <w:lang w:val="es-ES_tradnl"/>
        </w:rPr>
        <w:t>efecto dominó</w:t>
      </w:r>
      <w:r w:rsidRPr="00470C7C">
        <w:rPr>
          <w:rFonts w:eastAsia="Cambria" w:cs="Times New Roman"/>
          <w:szCs w:val="20"/>
          <w:lang w:val="es-ES_tradnl"/>
        </w:rPr>
        <w:t>—</w:t>
      </w:r>
      <w:r w:rsidRPr="00470C7C">
        <w:rPr>
          <w:rFonts w:eastAsia="Cambria" w:cs="System Font Regular"/>
          <w:szCs w:val="20"/>
          <w:lang w:val="es-ES_tradnl"/>
        </w:rPr>
        <w:t xml:space="preserve"> y exige al Estado que adopte medidas generales. El demandante (caso piloto) y todos los individuos afectados por el problema estructural verán aplazados sus procedimientos hasta que el Estado adopte esas medidas</w:t>
      </w:r>
      <w:r w:rsidRPr="00470C7C">
        <w:rPr>
          <w:rFonts w:eastAsia="Cambria" w:cs="Times New Roman"/>
          <w:szCs w:val="20"/>
          <w:vertAlign w:val="superscript"/>
          <w:lang w:val="es-ES_tradnl"/>
        </w:rPr>
        <w:footnoteReference w:id="622"/>
      </w:r>
      <w:r w:rsidRPr="00470C7C">
        <w:rPr>
          <w:rFonts w:eastAsia="Cambria" w:cs="System Font Regular"/>
          <w:szCs w:val="20"/>
          <w:lang w:val="es-ES_tradnl"/>
        </w:rPr>
        <w:t xml:space="preserve">. </w:t>
      </w:r>
    </w:p>
    <w:p w14:paraId="4B0239C1" w14:textId="77777777" w:rsidR="00130785" w:rsidRPr="00470C7C" w:rsidRDefault="00130785" w:rsidP="00130785">
      <w:pPr>
        <w:tabs>
          <w:tab w:val="clear" w:pos="4419"/>
          <w:tab w:val="clear" w:pos="8838"/>
        </w:tabs>
        <w:rPr>
          <w:rFonts w:eastAsia="MS Mincho" w:cs="System Font Regular"/>
          <w:i/>
          <w:sz w:val="24"/>
          <w:szCs w:val="20"/>
          <w:lang w:val="es-ES_tradnl" w:eastAsia="es-ES"/>
        </w:rPr>
      </w:pPr>
    </w:p>
    <w:p w14:paraId="2F6E7183" w14:textId="77777777" w:rsidR="00130785" w:rsidRPr="00470C7C" w:rsidRDefault="00130785" w:rsidP="008B0BCC">
      <w:pPr>
        <w:numPr>
          <w:ilvl w:val="0"/>
          <w:numId w:val="26"/>
        </w:numPr>
        <w:tabs>
          <w:tab w:val="clear" w:pos="4419"/>
          <w:tab w:val="clear" w:pos="8838"/>
        </w:tabs>
        <w:jc w:val="both"/>
        <w:rPr>
          <w:rFonts w:eastAsia="Cambria" w:cs="Times"/>
          <w:iCs/>
          <w:szCs w:val="20"/>
          <w:lang w:val="es-ES_tradnl"/>
        </w:rPr>
      </w:pPr>
      <w:r w:rsidRPr="00470C7C">
        <w:rPr>
          <w:rFonts w:eastAsia="Cambria" w:cs="System Font Regular"/>
          <w:szCs w:val="20"/>
          <w:lang w:val="es-ES_tradnl"/>
        </w:rPr>
        <w:t xml:space="preserve">El </w:t>
      </w:r>
      <w:proofErr w:type="spellStart"/>
      <w:r w:rsidRPr="00470C7C">
        <w:rPr>
          <w:rFonts w:eastAsia="Cambria" w:cs="System Font Regular"/>
          <w:i/>
          <w:szCs w:val="20"/>
          <w:lang w:val="es-ES_tradnl"/>
        </w:rPr>
        <w:t>leading</w:t>
      </w:r>
      <w:proofErr w:type="spellEnd"/>
      <w:r w:rsidRPr="00470C7C">
        <w:rPr>
          <w:rFonts w:eastAsia="Cambria" w:cs="System Font Regular"/>
          <w:i/>
          <w:szCs w:val="20"/>
          <w:lang w:val="es-ES_tradnl"/>
        </w:rPr>
        <w:t xml:space="preserve"> case</w:t>
      </w:r>
      <w:r w:rsidRPr="00470C7C">
        <w:rPr>
          <w:rFonts w:eastAsia="Cambria" w:cs="System Font Regular"/>
          <w:szCs w:val="20"/>
          <w:lang w:val="es-ES_tradnl"/>
        </w:rPr>
        <w:t xml:space="preserve"> en el que el TEDH utilizó las sentencias piloto fue en el caso </w:t>
      </w:r>
      <w:proofErr w:type="spellStart"/>
      <w:r w:rsidRPr="00470C7C">
        <w:rPr>
          <w:rFonts w:eastAsia="Cambria" w:cs="Times"/>
          <w:i/>
          <w:iCs/>
          <w:szCs w:val="20"/>
          <w:lang w:val="es-ES_tradnl"/>
        </w:rPr>
        <w:t>Broniowski</w:t>
      </w:r>
      <w:proofErr w:type="spellEnd"/>
      <w:r w:rsidRPr="00470C7C">
        <w:rPr>
          <w:rFonts w:eastAsia="Cambria" w:cs="Times"/>
          <w:i/>
          <w:iCs/>
          <w:szCs w:val="20"/>
          <w:lang w:val="es-ES_tradnl"/>
        </w:rPr>
        <w:t xml:space="preserve"> Vs. Polonia, </w:t>
      </w:r>
      <w:r w:rsidRPr="00470C7C">
        <w:rPr>
          <w:rFonts w:eastAsia="Cambria" w:cs="Times"/>
          <w:iCs/>
          <w:szCs w:val="20"/>
          <w:lang w:val="es-ES_tradnl"/>
        </w:rPr>
        <w:t>de 2004,</w:t>
      </w:r>
      <w:r w:rsidRPr="00470C7C">
        <w:rPr>
          <w:rFonts w:eastAsia="Cambria" w:cs="Times"/>
          <w:i/>
          <w:iCs/>
          <w:szCs w:val="20"/>
          <w:lang w:val="es-ES_tradnl"/>
        </w:rPr>
        <w:t xml:space="preserve"> </w:t>
      </w:r>
      <w:r w:rsidRPr="00470C7C">
        <w:rPr>
          <w:rFonts w:eastAsia="Cambria" w:cs="Times"/>
          <w:iCs/>
          <w:szCs w:val="20"/>
          <w:lang w:val="es-ES_tradnl"/>
        </w:rPr>
        <w:t>respecto del derecho de propiedad</w:t>
      </w:r>
      <w:r w:rsidRPr="00470C7C">
        <w:rPr>
          <w:rFonts w:eastAsia="Cambria" w:cs="Times"/>
          <w:i/>
          <w:iCs/>
          <w:szCs w:val="20"/>
          <w:lang w:val="es-ES_tradnl"/>
        </w:rPr>
        <w:t xml:space="preserve"> </w:t>
      </w:r>
      <w:r w:rsidRPr="00470C7C">
        <w:rPr>
          <w:rFonts w:eastAsia="Cambria" w:cs="Times"/>
          <w:iCs/>
          <w:szCs w:val="20"/>
          <w:lang w:val="es-ES_tradnl"/>
        </w:rPr>
        <w:t xml:space="preserve">(violación al artículo 1º del Protocolo 1 del CEDH). En esa oportunidad la Corte Europea consideró, en el análisis del artículo 46, que era inherente a las conclusiones del Tribunal que la violación del derecho a la propiedad en este caso se había originado de un problema generalizado, y que fue resultado de un mal funcionamiento de la legislación polaca, de la práctica administrativa y que había afectado a un gran número de personas; </w:t>
      </w:r>
      <w:r w:rsidRPr="00470C7C">
        <w:rPr>
          <w:rFonts w:eastAsia="Cambria" w:cs="Arial"/>
          <w:szCs w:val="20"/>
          <w:lang w:val="es-ES_tradnl"/>
        </w:rPr>
        <w:t>la afectación a los bienes en este caso no había sido motivada por un incidente aislado; por el contrario, el problema en el caso había sido consecuencia de la conducta administrativa y normativa por parte de las autoridades hacia una clase especifica de ciudadanos (en concreto los ciudadanos que reclamaban su derecho a la propiedad eran provenientes de las cercanías del Rio Bug). De esta manera, el TEDH consideró que la existencia y la naturaleza sistémica del problema, que ya había sido reconocido por las autoridades judiciales polacas como una “disfunción sistémica inadmisible”,</w:t>
      </w:r>
      <w:r w:rsidRPr="00470C7C">
        <w:rPr>
          <w:rFonts w:eastAsia="Cambria" w:cs="Arial"/>
          <w:i/>
          <w:szCs w:val="20"/>
          <w:lang w:val="es-ES_tradnl"/>
        </w:rPr>
        <w:t xml:space="preserve"> </w:t>
      </w:r>
      <w:r w:rsidRPr="00470C7C">
        <w:rPr>
          <w:rFonts w:eastAsia="Cambria" w:cs="Arial"/>
          <w:szCs w:val="20"/>
          <w:lang w:val="es-ES_tradnl"/>
        </w:rPr>
        <w:t>generó que a toda una clase específica de ciudadanos se les negara el disfrute pacífico de sus posesiones, a lo que también había que sumar las deficiencias en la legislación nacional y las prácticas identificadas en el caso individual</w:t>
      </w:r>
      <w:r w:rsidRPr="00470C7C">
        <w:rPr>
          <w:rFonts w:eastAsia="Cambria" w:cs="Times New Roman"/>
          <w:szCs w:val="20"/>
          <w:vertAlign w:val="superscript"/>
          <w:lang w:val="es-ES_tradnl"/>
        </w:rPr>
        <w:footnoteReference w:id="623"/>
      </w:r>
      <w:r w:rsidRPr="00470C7C">
        <w:rPr>
          <w:rFonts w:eastAsia="Cambria" w:cs="Arial"/>
          <w:szCs w:val="20"/>
          <w:lang w:val="es-ES_tradnl"/>
        </w:rPr>
        <w:t xml:space="preserve">. </w:t>
      </w:r>
    </w:p>
    <w:p w14:paraId="3B05849C" w14:textId="77777777" w:rsidR="00130785" w:rsidRPr="00470C7C" w:rsidRDefault="00130785" w:rsidP="00130785">
      <w:pPr>
        <w:tabs>
          <w:tab w:val="clear" w:pos="4419"/>
          <w:tab w:val="clear" w:pos="8838"/>
        </w:tabs>
        <w:jc w:val="both"/>
        <w:rPr>
          <w:rFonts w:eastAsia="Cambria" w:cs="Times"/>
          <w:iCs/>
          <w:szCs w:val="20"/>
          <w:lang w:val="es-ES_tradnl"/>
        </w:rPr>
      </w:pPr>
    </w:p>
    <w:p w14:paraId="5DBD1C3A"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Times"/>
          <w:iCs/>
          <w:szCs w:val="20"/>
          <w:lang w:val="es-ES_tradnl"/>
        </w:rPr>
        <w:t>Las sentencias piloto, como mecanismo de corrección y reconocimiento de  problemas estructurales y sistémicos dentro de los Estados parte del Convenio Europeo no ha sido una práctica aislada en el 2004, sino que se ha reiterado hasta el 2016</w:t>
      </w:r>
      <w:r w:rsidRPr="00470C7C">
        <w:rPr>
          <w:rFonts w:eastAsia="Cambria" w:cs="Times New Roman"/>
          <w:iCs/>
          <w:szCs w:val="20"/>
          <w:vertAlign w:val="superscript"/>
          <w:lang w:val="es-ES_tradnl"/>
        </w:rPr>
        <w:footnoteReference w:id="624"/>
      </w:r>
      <w:r w:rsidRPr="00470C7C">
        <w:rPr>
          <w:rFonts w:eastAsia="Cambria" w:cs="Times"/>
          <w:iCs/>
          <w:szCs w:val="20"/>
          <w:lang w:val="es-ES_tradnl"/>
        </w:rPr>
        <w:t xml:space="preserve">; abarcando temas como: i) tiempos excesivos en los procedimientos internos; </w:t>
      </w:r>
      <w:proofErr w:type="spellStart"/>
      <w:r w:rsidRPr="00470C7C">
        <w:rPr>
          <w:rFonts w:eastAsia="Cambria" w:cs="Times"/>
          <w:iCs/>
          <w:szCs w:val="20"/>
          <w:lang w:val="es-ES_tradnl"/>
        </w:rPr>
        <w:t>ii</w:t>
      </w:r>
      <w:proofErr w:type="spellEnd"/>
      <w:r w:rsidRPr="00470C7C">
        <w:rPr>
          <w:rFonts w:eastAsia="Cambria" w:cs="Times"/>
          <w:iCs/>
          <w:szCs w:val="20"/>
          <w:lang w:val="es-ES_tradnl"/>
        </w:rPr>
        <w:t xml:space="preserve">) la exclusión del derecho al voto de personas privadas de la libertad; </w:t>
      </w:r>
      <w:proofErr w:type="spellStart"/>
      <w:r w:rsidRPr="00470C7C">
        <w:rPr>
          <w:rFonts w:eastAsia="Cambria" w:cs="Times"/>
          <w:iCs/>
          <w:szCs w:val="20"/>
          <w:lang w:val="es-ES_tradnl"/>
        </w:rPr>
        <w:t>iii</w:t>
      </w:r>
      <w:proofErr w:type="spellEnd"/>
      <w:r w:rsidRPr="00470C7C">
        <w:rPr>
          <w:rFonts w:eastAsia="Cambria" w:cs="Times"/>
          <w:iCs/>
          <w:szCs w:val="20"/>
          <w:lang w:val="es-ES_tradnl"/>
        </w:rPr>
        <w:t xml:space="preserve">) la falta de regularización del estatus de residente de personas que habían sido eliminadas ilegalmente del registro de residentes permanentes; </w:t>
      </w:r>
      <w:proofErr w:type="spellStart"/>
      <w:r w:rsidRPr="00470C7C">
        <w:rPr>
          <w:rFonts w:eastAsia="Cambria" w:cs="Times"/>
          <w:iCs/>
          <w:szCs w:val="20"/>
          <w:lang w:val="es-ES_tradnl"/>
        </w:rPr>
        <w:t>iv</w:t>
      </w:r>
      <w:proofErr w:type="spellEnd"/>
      <w:r w:rsidRPr="00470C7C">
        <w:rPr>
          <w:rFonts w:eastAsia="Cambria" w:cs="Times"/>
          <w:iCs/>
          <w:szCs w:val="20"/>
          <w:lang w:val="es-ES_tradnl"/>
        </w:rPr>
        <w:t xml:space="preserve">) condiciones inhumanas y degradantes de detención; v) retardo injustificado en la ejecución de resoluciones judiciales a nivel interno, y vi) </w:t>
      </w:r>
      <w:r w:rsidRPr="00470C7C">
        <w:rPr>
          <w:rFonts w:eastAsia="Cambria" w:cs="System Font Regular"/>
          <w:szCs w:val="20"/>
          <w:lang w:val="es-ES_tradnl"/>
        </w:rPr>
        <w:t>violaciones relacionadas al derecho a la propiedad.</w:t>
      </w:r>
      <w:r w:rsidRPr="00470C7C">
        <w:rPr>
          <w:rFonts w:eastAsia="Cambria" w:cs="Times"/>
          <w:i/>
          <w:iCs/>
          <w:sz w:val="16"/>
          <w:szCs w:val="16"/>
          <w:lang w:val="es-ES_tradnl"/>
        </w:rPr>
        <w:t xml:space="preserve"> </w:t>
      </w:r>
    </w:p>
    <w:p w14:paraId="3AF0C8D1"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4254DB68" w14:textId="77777777" w:rsidR="00130785" w:rsidRPr="00470C7C" w:rsidRDefault="00130785" w:rsidP="00130785">
      <w:pPr>
        <w:tabs>
          <w:tab w:val="clear" w:pos="4419"/>
          <w:tab w:val="clear" w:pos="8838"/>
        </w:tabs>
        <w:jc w:val="both"/>
        <w:rPr>
          <w:rFonts w:eastAsia="Cambria" w:cs="System Font Regular"/>
          <w:i/>
          <w:szCs w:val="20"/>
          <w:lang w:val="es-ES_tradnl"/>
        </w:rPr>
      </w:pPr>
      <w:proofErr w:type="spellStart"/>
      <w:r w:rsidRPr="00470C7C">
        <w:rPr>
          <w:rFonts w:eastAsia="Cambria" w:cs="System Font Regular"/>
          <w:i/>
          <w:szCs w:val="20"/>
          <w:lang w:val="es-ES_tradnl"/>
        </w:rPr>
        <w:t>ii</w:t>
      </w:r>
      <w:proofErr w:type="spellEnd"/>
      <w:r w:rsidRPr="00470C7C">
        <w:rPr>
          <w:rFonts w:eastAsia="Cambria" w:cs="System Font Regular"/>
          <w:i/>
          <w:szCs w:val="20"/>
          <w:lang w:val="es-ES_tradnl"/>
        </w:rPr>
        <w:t>) Sistema Universal de Derechos Humanos</w:t>
      </w:r>
    </w:p>
    <w:p w14:paraId="4C720AAF" w14:textId="77777777" w:rsidR="00130785" w:rsidRPr="00470C7C" w:rsidRDefault="00130785" w:rsidP="00130785">
      <w:pPr>
        <w:tabs>
          <w:tab w:val="clear" w:pos="4419"/>
          <w:tab w:val="clear" w:pos="8838"/>
        </w:tabs>
        <w:rPr>
          <w:rFonts w:eastAsia="MS Mincho" w:cs="System Font Regular"/>
          <w:i/>
          <w:sz w:val="24"/>
          <w:szCs w:val="20"/>
          <w:lang w:val="es-ES_tradnl" w:eastAsia="es-ES"/>
        </w:rPr>
      </w:pPr>
    </w:p>
    <w:p w14:paraId="4E10B69D"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 xml:space="preserve">El Comité DESC, en su </w:t>
      </w:r>
      <w:r w:rsidRPr="00470C7C">
        <w:rPr>
          <w:rFonts w:eastAsia="Cambria" w:cs="Times New Roman"/>
          <w:szCs w:val="20"/>
          <w:lang w:val="es-ES_tradnl"/>
        </w:rPr>
        <w:t xml:space="preserve">Observación General No. 20, </w:t>
      </w:r>
      <w:r w:rsidRPr="00470C7C">
        <w:rPr>
          <w:rFonts w:eastAsia="Cambria" w:cs="Times New Roman"/>
          <w:i/>
          <w:szCs w:val="20"/>
          <w:lang w:val="es-ES_tradnl"/>
        </w:rPr>
        <w:t>sobre la no discriminación y los derechos económicos, sociales y culturales</w:t>
      </w:r>
      <w:r w:rsidRPr="00470C7C">
        <w:rPr>
          <w:rFonts w:eastAsia="Cambria" w:cs="System Font Regular"/>
          <w:szCs w:val="20"/>
          <w:lang w:val="es-ES_tradnl"/>
        </w:rPr>
        <w:t xml:space="preserve"> (2009), ha considerado que: </w:t>
      </w:r>
    </w:p>
    <w:p w14:paraId="723A731C" w14:textId="77777777" w:rsidR="00130785" w:rsidRPr="00470C7C" w:rsidRDefault="00130785" w:rsidP="00130785">
      <w:pPr>
        <w:tabs>
          <w:tab w:val="clear" w:pos="4419"/>
          <w:tab w:val="clear" w:pos="8838"/>
        </w:tabs>
        <w:ind w:left="708"/>
        <w:jc w:val="both"/>
        <w:rPr>
          <w:rFonts w:eastAsia="Cambria" w:cs="Times"/>
          <w:sz w:val="32"/>
          <w:szCs w:val="32"/>
          <w:lang w:val="es-ES_tradnl"/>
        </w:rPr>
      </w:pPr>
    </w:p>
    <w:p w14:paraId="475EDD5A" w14:textId="77777777" w:rsidR="00130785" w:rsidRPr="00470C7C" w:rsidRDefault="00130785" w:rsidP="00130785">
      <w:pPr>
        <w:tabs>
          <w:tab w:val="clear" w:pos="4419"/>
          <w:tab w:val="clear" w:pos="8838"/>
        </w:tabs>
        <w:ind w:left="708"/>
        <w:jc w:val="both"/>
        <w:rPr>
          <w:rFonts w:eastAsia="Cambria" w:cs="Times"/>
          <w:i/>
          <w:sz w:val="16"/>
          <w:szCs w:val="16"/>
          <w:lang w:val="es-ES_tradnl"/>
        </w:rPr>
      </w:pPr>
      <w:r w:rsidRPr="00470C7C">
        <w:rPr>
          <w:rFonts w:eastAsia="Cambria" w:cs="Times"/>
          <w:i/>
          <w:sz w:val="16"/>
          <w:szCs w:val="16"/>
          <w:lang w:val="es-ES_tradnl"/>
        </w:rPr>
        <w:t>40. En los planes, las políticas, las estrategias y la legislación nacionales debe preverse el establecimiento de mecanismos e instituciones que aborden de manera eficaz el carácter individual y estructural del daño ocasionado por la discriminación en la esfera de los derechos económicos, sociales y culturales […]</w:t>
      </w:r>
      <w:r w:rsidRPr="00470C7C">
        <w:rPr>
          <w:rFonts w:eastAsia="Cambria" w:cs="Times New Roman"/>
          <w:i/>
          <w:sz w:val="16"/>
          <w:szCs w:val="20"/>
          <w:vertAlign w:val="superscript"/>
          <w:lang w:val="es-ES_tradnl"/>
        </w:rPr>
        <w:footnoteReference w:id="625"/>
      </w:r>
      <w:r w:rsidRPr="00470C7C">
        <w:rPr>
          <w:rFonts w:eastAsia="Cambria" w:cs="Times"/>
          <w:i/>
          <w:sz w:val="16"/>
          <w:szCs w:val="16"/>
          <w:lang w:val="es-ES_tradnl"/>
        </w:rPr>
        <w:t xml:space="preserve">. </w:t>
      </w:r>
    </w:p>
    <w:p w14:paraId="1D5E99FE" w14:textId="77777777" w:rsidR="00130785" w:rsidRPr="00470C7C" w:rsidRDefault="00130785" w:rsidP="00130785">
      <w:pPr>
        <w:tabs>
          <w:tab w:val="clear" w:pos="4419"/>
          <w:tab w:val="clear" w:pos="8838"/>
        </w:tabs>
        <w:ind w:left="708"/>
        <w:jc w:val="both"/>
        <w:rPr>
          <w:rFonts w:eastAsia="Cambria" w:cs="Times"/>
          <w:i/>
          <w:sz w:val="16"/>
          <w:szCs w:val="16"/>
          <w:lang w:val="es-ES_tradnl"/>
        </w:rPr>
      </w:pPr>
    </w:p>
    <w:p w14:paraId="51466603" w14:textId="77777777" w:rsidR="00130785" w:rsidRPr="00470C7C" w:rsidRDefault="00130785" w:rsidP="008B0BCC">
      <w:pPr>
        <w:widowControl w:val="0"/>
        <w:numPr>
          <w:ilvl w:val="0"/>
          <w:numId w:val="26"/>
        </w:numPr>
        <w:tabs>
          <w:tab w:val="clear" w:pos="4419"/>
          <w:tab w:val="clear" w:pos="8838"/>
        </w:tabs>
        <w:autoSpaceDE w:val="0"/>
        <w:autoSpaceDN w:val="0"/>
        <w:adjustRightInd w:val="0"/>
        <w:contextualSpacing/>
        <w:jc w:val="both"/>
        <w:rPr>
          <w:rFonts w:eastAsia="Cambria" w:cs="Times"/>
          <w:szCs w:val="20"/>
          <w:lang w:val="es-ES_tradnl"/>
        </w:rPr>
      </w:pPr>
      <w:r w:rsidRPr="00470C7C">
        <w:rPr>
          <w:rFonts w:eastAsia="Cambria" w:cs="Times"/>
          <w:szCs w:val="20"/>
          <w:lang w:val="es-ES_tradnl"/>
        </w:rPr>
        <w:t xml:space="preserve">Por su parte, el Comité para la Eliminación de la Violencia contra la Mujer (2010), en su </w:t>
      </w:r>
      <w:r w:rsidRPr="00470C7C">
        <w:rPr>
          <w:rFonts w:eastAsia="Cambria" w:cs="Times"/>
          <w:bCs/>
          <w:szCs w:val="20"/>
          <w:lang w:val="es-ES_tradnl"/>
        </w:rPr>
        <w:t>Recomendación General No. 28, relativa a las obligaciones básicas de los Estados partes</w:t>
      </w:r>
      <w:r w:rsidRPr="00470C7C">
        <w:rPr>
          <w:rFonts w:eastAsia="Cambria" w:cs="Times"/>
          <w:szCs w:val="20"/>
          <w:lang w:val="es-ES_tradnl"/>
        </w:rPr>
        <w:t xml:space="preserve">, ha expresado que: </w:t>
      </w:r>
    </w:p>
    <w:p w14:paraId="14C45889" w14:textId="77777777" w:rsidR="00130785" w:rsidRPr="00470C7C" w:rsidRDefault="00130785" w:rsidP="00130785">
      <w:pPr>
        <w:widowControl w:val="0"/>
        <w:tabs>
          <w:tab w:val="clear" w:pos="4419"/>
          <w:tab w:val="clear" w:pos="8838"/>
        </w:tabs>
        <w:autoSpaceDE w:val="0"/>
        <w:autoSpaceDN w:val="0"/>
        <w:adjustRightInd w:val="0"/>
        <w:jc w:val="both"/>
        <w:rPr>
          <w:rFonts w:eastAsia="MS Mincho" w:cs="Times"/>
          <w:szCs w:val="20"/>
          <w:lang w:val="es-ES_tradnl" w:eastAsia="es-ES"/>
        </w:rPr>
      </w:pPr>
    </w:p>
    <w:p w14:paraId="4B853245" w14:textId="77777777" w:rsidR="00130785" w:rsidRPr="00470C7C" w:rsidRDefault="00130785" w:rsidP="00130785">
      <w:pPr>
        <w:widowControl w:val="0"/>
        <w:tabs>
          <w:tab w:val="clear" w:pos="4419"/>
          <w:tab w:val="clear" w:pos="8838"/>
        </w:tabs>
        <w:autoSpaceDE w:val="0"/>
        <w:autoSpaceDN w:val="0"/>
        <w:adjustRightInd w:val="0"/>
        <w:ind w:left="708"/>
        <w:jc w:val="both"/>
        <w:rPr>
          <w:rFonts w:eastAsia="MS Mincho" w:cs="Times"/>
          <w:i/>
          <w:sz w:val="16"/>
          <w:szCs w:val="16"/>
          <w:lang w:val="es-ES_tradnl" w:eastAsia="es-ES"/>
        </w:rPr>
      </w:pPr>
      <w:r w:rsidRPr="00470C7C">
        <w:rPr>
          <w:rFonts w:eastAsia="MS Mincho" w:cs="Times"/>
          <w:i/>
          <w:sz w:val="16"/>
          <w:szCs w:val="16"/>
          <w:lang w:val="es-ES_tradnl" w:eastAsia="es-ES"/>
        </w:rPr>
        <w:t xml:space="preserve">16. Los Estados partes tienen la obligación de respetar, proteger y cumplir el derecho de no discriminación de la mujer y asegurar el desarrollo y el adelanto de la mujer a fin de mejorar su situación y hacer efectivo su derecho a la igualdad </w:t>
      </w:r>
      <w:r w:rsidRPr="00470C7C">
        <w:rPr>
          <w:rFonts w:eastAsia="MS Mincho" w:cs="Times"/>
          <w:i/>
          <w:iCs/>
          <w:sz w:val="16"/>
          <w:szCs w:val="16"/>
          <w:lang w:val="es-ES_tradnl" w:eastAsia="es-ES"/>
        </w:rPr>
        <w:t xml:space="preserve">de jure </w:t>
      </w:r>
      <w:r w:rsidRPr="00470C7C">
        <w:rPr>
          <w:rFonts w:eastAsia="MS Mincho" w:cs="Times"/>
          <w:i/>
          <w:sz w:val="16"/>
          <w:szCs w:val="16"/>
          <w:lang w:val="es-ES_tradnl" w:eastAsia="es-ES"/>
        </w:rPr>
        <w:t>y</w:t>
      </w:r>
      <w:r w:rsidRPr="00470C7C">
        <w:rPr>
          <w:rFonts w:eastAsia="MS Mincho" w:cs="Times"/>
          <w:i/>
          <w:iCs/>
          <w:sz w:val="16"/>
          <w:szCs w:val="16"/>
          <w:lang w:val="es-ES_tradnl" w:eastAsia="es-ES"/>
        </w:rPr>
        <w:t xml:space="preserve"> de facto</w:t>
      </w:r>
      <w:r w:rsidRPr="00470C7C">
        <w:rPr>
          <w:rFonts w:eastAsia="MS Mincho" w:cs="Times"/>
          <w:i/>
          <w:sz w:val="16"/>
          <w:szCs w:val="16"/>
          <w:lang w:val="es-ES_tradnl" w:eastAsia="es-ES"/>
        </w:rPr>
        <w:t xml:space="preserve"> o sustantiva con el hombre. Los Estados partes deberán asegurar que no haya discriminación directa ni indirecta contra la mujer. Se entiende por discriminación directa contra la mujer la que supone un trato diferente fundado explícitamente en las diferencias de sexo y género. La discriminación indirecta contra la mujer tiene lugar cuando una ley, una política, un programa o una práctica parece ser neutra por cuanto se refiere tanto a los hombres como a las mujeres, pero en la práctica tiene un efecto discriminatorio contra la mujer porque las desigualdades preexistentes no se han tenido en cuenta en la medida aparentemente neutra. Además, la discriminación indirecta puede exacerbar las desigualdades existentes por la falta de reconocimiento de los patrones estructurales e históricos de discriminación y el desequilibrio de las relaciones de poder entre la mujer y el hombre</w:t>
      </w:r>
      <w:r w:rsidRPr="00470C7C">
        <w:rPr>
          <w:rFonts w:eastAsia="MS Mincho" w:cs="Times New Roman"/>
          <w:i/>
          <w:sz w:val="16"/>
          <w:szCs w:val="20"/>
          <w:vertAlign w:val="superscript"/>
          <w:lang w:val="es-ES_tradnl" w:eastAsia="es-ES"/>
        </w:rPr>
        <w:footnoteReference w:id="626"/>
      </w:r>
      <w:r w:rsidRPr="00470C7C">
        <w:rPr>
          <w:rFonts w:eastAsia="MS Mincho" w:cs="Times"/>
          <w:i/>
          <w:sz w:val="16"/>
          <w:szCs w:val="16"/>
          <w:lang w:val="es-ES_tradnl" w:eastAsia="es-ES"/>
        </w:rPr>
        <w:t>.</w:t>
      </w:r>
    </w:p>
    <w:p w14:paraId="4FE66B3D" w14:textId="77777777" w:rsidR="00130785" w:rsidRPr="00470C7C" w:rsidRDefault="00130785" w:rsidP="00130785">
      <w:pPr>
        <w:widowControl w:val="0"/>
        <w:tabs>
          <w:tab w:val="clear" w:pos="4419"/>
          <w:tab w:val="clear" w:pos="8838"/>
        </w:tabs>
        <w:autoSpaceDE w:val="0"/>
        <w:autoSpaceDN w:val="0"/>
        <w:adjustRightInd w:val="0"/>
        <w:ind w:left="708"/>
        <w:jc w:val="both"/>
        <w:rPr>
          <w:rFonts w:eastAsia="MS Mincho" w:cs="Times"/>
          <w:i/>
          <w:sz w:val="16"/>
          <w:szCs w:val="16"/>
          <w:lang w:val="es-ES_tradnl" w:eastAsia="es-ES"/>
        </w:rPr>
      </w:pPr>
    </w:p>
    <w:p w14:paraId="55ACEBC2"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 xml:space="preserve">En lo referente al Comité para la Eliminación de la Discriminación Racial, en su </w:t>
      </w:r>
      <w:r w:rsidRPr="00470C7C">
        <w:rPr>
          <w:rFonts w:eastAsia="Cambria" w:cs="Times New Roman"/>
          <w:szCs w:val="20"/>
          <w:lang w:val="es-ES_tradnl"/>
        </w:rPr>
        <w:t xml:space="preserve">Recomendación General No 34, </w:t>
      </w:r>
      <w:r w:rsidRPr="00470C7C">
        <w:rPr>
          <w:rFonts w:eastAsia="Cambria" w:cs="Times New Roman"/>
          <w:i/>
          <w:szCs w:val="20"/>
          <w:lang w:val="es-ES_tradnl"/>
        </w:rPr>
        <w:t>sobre Discriminación racial contra afrodescendientes</w:t>
      </w:r>
      <w:r w:rsidRPr="00470C7C">
        <w:rPr>
          <w:rFonts w:eastAsia="Cambria" w:cs="System Font Regular"/>
          <w:szCs w:val="20"/>
          <w:lang w:val="es-ES_tradnl"/>
        </w:rPr>
        <w:t xml:space="preserve"> (2011), ha entendido que: </w:t>
      </w:r>
    </w:p>
    <w:p w14:paraId="65DD6131" w14:textId="77777777" w:rsidR="00130785" w:rsidRPr="00470C7C" w:rsidRDefault="00130785" w:rsidP="00130785">
      <w:pPr>
        <w:tabs>
          <w:tab w:val="clear" w:pos="4419"/>
          <w:tab w:val="clear" w:pos="8838"/>
        </w:tabs>
        <w:jc w:val="both"/>
        <w:rPr>
          <w:rFonts w:eastAsia="Cambria" w:cs="System Font Regular"/>
          <w:i/>
          <w:sz w:val="16"/>
          <w:szCs w:val="16"/>
          <w:lang w:val="es-ES_tradnl"/>
        </w:rPr>
      </w:pPr>
    </w:p>
    <w:p w14:paraId="78E68E55" w14:textId="77777777" w:rsidR="00130785" w:rsidRPr="00470C7C" w:rsidRDefault="00130785" w:rsidP="00130785">
      <w:pPr>
        <w:tabs>
          <w:tab w:val="clear" w:pos="4419"/>
          <w:tab w:val="clear" w:pos="8838"/>
        </w:tabs>
        <w:ind w:left="708"/>
        <w:jc w:val="both"/>
        <w:rPr>
          <w:rFonts w:eastAsia="Cambria" w:cs="System Font Regular"/>
          <w:sz w:val="16"/>
          <w:szCs w:val="16"/>
          <w:lang w:val="es-ES_tradnl"/>
        </w:rPr>
      </w:pPr>
      <w:r w:rsidRPr="00470C7C">
        <w:rPr>
          <w:rFonts w:eastAsia="Cambria" w:cs="Times New Roman"/>
          <w:i/>
          <w:sz w:val="16"/>
          <w:szCs w:val="16"/>
          <w:lang w:val="es-ES_tradnl"/>
        </w:rPr>
        <w:t xml:space="preserve">6. El racismo y la discriminación estructural contra afrodescendientes, </w:t>
      </w:r>
      <w:r w:rsidRPr="00470C7C">
        <w:rPr>
          <w:rFonts w:eastAsia="Cambria" w:cs="Times New Roman"/>
          <w:i/>
          <w:sz w:val="16"/>
          <w:szCs w:val="16"/>
          <w:u w:val="single"/>
          <w:lang w:val="es-ES_tradnl"/>
        </w:rPr>
        <w:t>enraizados en el infame régimen de la esclavitud,</w:t>
      </w:r>
      <w:r w:rsidRPr="00470C7C">
        <w:rPr>
          <w:rFonts w:eastAsia="Cambria" w:cs="Times New Roman"/>
          <w:i/>
          <w:sz w:val="16"/>
          <w:szCs w:val="16"/>
          <w:lang w:val="es-ES_tradnl"/>
        </w:rPr>
        <w:t xml:space="preserve"> se manifiestan en situaciones de desigualdad que afectan a estas personas y que se reflejan, entre otras cosas, en lo siguiente: el hecho de que formen parte, junto con las poblaciones indígenas, </w:t>
      </w:r>
      <w:r w:rsidRPr="00470C7C">
        <w:rPr>
          <w:rFonts w:eastAsia="Cambria" w:cs="Times New Roman"/>
          <w:i/>
          <w:sz w:val="16"/>
          <w:szCs w:val="16"/>
          <w:u w:val="single"/>
          <w:lang w:val="es-ES_tradnl"/>
        </w:rPr>
        <w:t>de los grupos más pobres de la población</w:t>
      </w:r>
      <w:r w:rsidRPr="00470C7C">
        <w:rPr>
          <w:rFonts w:eastAsia="Cambria" w:cs="Times New Roman"/>
          <w:i/>
          <w:sz w:val="16"/>
          <w:szCs w:val="16"/>
          <w:lang w:val="es-ES_tradnl"/>
        </w:rPr>
        <w:t xml:space="preserve">; sus bajas tasas de participación y representación en los procesos políticos e institucionales de adopción de decisiones; las dificultades adicionales a que hacen frente en el acceso a la educación, la calidad de esta y las posibilidades de completarla, </w:t>
      </w:r>
      <w:r w:rsidRPr="00470C7C">
        <w:rPr>
          <w:rFonts w:eastAsia="Cambria" w:cs="Times New Roman"/>
          <w:i/>
          <w:sz w:val="16"/>
          <w:szCs w:val="16"/>
          <w:u w:val="single"/>
          <w:lang w:val="es-ES_tradnl"/>
        </w:rPr>
        <w:t>lo que hace que la pobreza se transmita de generación en generación</w:t>
      </w:r>
      <w:r w:rsidRPr="00470C7C">
        <w:rPr>
          <w:rFonts w:eastAsia="Cambria" w:cs="Times New Roman"/>
          <w:i/>
          <w:sz w:val="16"/>
          <w:szCs w:val="16"/>
          <w:lang w:val="es-ES_tradnl"/>
        </w:rPr>
        <w:t>; el acceso desigual al mercado del trabajo; el limitado reconocimiento social y la escasa valoración de su diversidad étnica y cultural, y su desproporcionada presencia en la población carcelaria</w:t>
      </w:r>
      <w:r w:rsidRPr="00470C7C">
        <w:rPr>
          <w:rFonts w:eastAsia="Cambria" w:cs="System Font Regular"/>
          <w:i/>
          <w:sz w:val="16"/>
          <w:szCs w:val="16"/>
          <w:lang w:val="es-ES_tradnl"/>
        </w:rPr>
        <w:t>”</w:t>
      </w:r>
      <w:r w:rsidRPr="00470C7C">
        <w:rPr>
          <w:rFonts w:eastAsia="Cambria" w:cs="Times New Roman"/>
          <w:i/>
          <w:sz w:val="16"/>
          <w:szCs w:val="16"/>
          <w:vertAlign w:val="superscript"/>
          <w:lang w:val="es-ES_tradnl"/>
        </w:rPr>
        <w:footnoteReference w:id="627"/>
      </w:r>
      <w:r w:rsidRPr="00470C7C">
        <w:rPr>
          <w:rFonts w:eastAsia="Cambria" w:cs="System Font Regular"/>
          <w:i/>
          <w:sz w:val="16"/>
          <w:szCs w:val="16"/>
          <w:lang w:val="es-ES_tradnl"/>
        </w:rPr>
        <w:t xml:space="preserve">. </w:t>
      </w:r>
      <w:r w:rsidRPr="00470C7C">
        <w:rPr>
          <w:rFonts w:eastAsia="Cambria" w:cs="System Font Regular"/>
          <w:sz w:val="16"/>
          <w:szCs w:val="16"/>
          <w:lang w:val="es-ES_tradnl"/>
        </w:rPr>
        <w:t>(Énfasis añadido).</w:t>
      </w:r>
    </w:p>
    <w:p w14:paraId="3FEF448C"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59257777"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 xml:space="preserve">Finalmente, la definición más completa sobre la discriminación estructural o sistemática ha sido la que recientemente ha aportado el Comité de los Derechos de las Personas con Discapacidad, en su Observación General No. 3, sobre los derechos de la mujer con discapacidad. En este sentido, dicho Comité entiende que existe discriminación estructural o sistemática cuando: </w:t>
      </w:r>
    </w:p>
    <w:p w14:paraId="0D64EA73" w14:textId="77777777" w:rsidR="00130785" w:rsidRPr="00470C7C" w:rsidRDefault="00130785" w:rsidP="00130785">
      <w:pPr>
        <w:tabs>
          <w:tab w:val="clear" w:pos="4419"/>
          <w:tab w:val="clear" w:pos="8838"/>
        </w:tabs>
        <w:ind w:left="708"/>
        <w:jc w:val="both"/>
        <w:rPr>
          <w:rFonts w:eastAsia="Cambria" w:cs="Arial"/>
          <w:sz w:val="16"/>
          <w:szCs w:val="16"/>
          <w:lang w:val="es-ES_tradnl"/>
        </w:rPr>
      </w:pPr>
    </w:p>
    <w:p w14:paraId="7382E590" w14:textId="77777777" w:rsidR="00130785" w:rsidRPr="00470C7C" w:rsidRDefault="00130785" w:rsidP="00130785">
      <w:pPr>
        <w:tabs>
          <w:tab w:val="clear" w:pos="4419"/>
          <w:tab w:val="clear" w:pos="8838"/>
        </w:tabs>
        <w:ind w:left="708"/>
        <w:jc w:val="both"/>
        <w:rPr>
          <w:rFonts w:eastAsia="Cambria" w:cs="Arial"/>
          <w:i/>
          <w:sz w:val="16"/>
          <w:szCs w:val="16"/>
          <w:lang w:val="es-ES_tradnl"/>
        </w:rPr>
      </w:pPr>
      <w:r w:rsidRPr="00470C7C">
        <w:rPr>
          <w:rFonts w:eastAsia="Cambria" w:cs="Arial"/>
          <w:i/>
          <w:sz w:val="16"/>
          <w:szCs w:val="16"/>
          <w:lang w:val="es-ES_tradnl"/>
        </w:rPr>
        <w:t>17. e) La discriminación estructural o sistémica oculta patrones claros de comportamiento institucional discriminatorio, tradiciones culturales discriminatorias, normas y / o reglas sociales, de género y los estereotipos perjudiciales que pueden llevar a tal discriminación discapacidad, intrínsecamente ligada a la falta de políticas, regulación y prestación de servicios específicamente para las mujeres con discapacidad […]</w:t>
      </w:r>
      <w:r w:rsidRPr="00470C7C">
        <w:rPr>
          <w:rFonts w:eastAsia="Cambria" w:cs="Times New Roman"/>
          <w:i/>
          <w:sz w:val="16"/>
          <w:szCs w:val="20"/>
          <w:vertAlign w:val="superscript"/>
          <w:lang w:val="es-ES_tradnl"/>
        </w:rPr>
        <w:footnoteReference w:id="628"/>
      </w:r>
      <w:r w:rsidRPr="00470C7C">
        <w:rPr>
          <w:rFonts w:eastAsia="Cambria" w:cs="Arial"/>
          <w:i/>
          <w:sz w:val="16"/>
          <w:szCs w:val="16"/>
          <w:lang w:val="es-ES_tradnl"/>
        </w:rPr>
        <w:t>.</w:t>
      </w:r>
    </w:p>
    <w:p w14:paraId="7FADB075"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45576F1E" w14:textId="77777777" w:rsidR="00130785" w:rsidRPr="00470C7C" w:rsidRDefault="00130785" w:rsidP="008B0BCC">
      <w:pPr>
        <w:numPr>
          <w:ilvl w:val="0"/>
          <w:numId w:val="26"/>
        </w:numPr>
        <w:tabs>
          <w:tab w:val="clear" w:pos="4419"/>
          <w:tab w:val="clear" w:pos="8838"/>
        </w:tabs>
        <w:jc w:val="both"/>
        <w:rPr>
          <w:rFonts w:eastAsia="Cambria" w:cs="System Font Regular"/>
          <w:i/>
          <w:szCs w:val="20"/>
          <w:lang w:val="es-ES_tradnl"/>
        </w:rPr>
      </w:pPr>
      <w:r w:rsidRPr="00470C7C">
        <w:rPr>
          <w:rFonts w:eastAsia="Cambria" w:cs="System Font Regular"/>
          <w:szCs w:val="20"/>
          <w:lang w:val="es-ES_tradnl"/>
        </w:rPr>
        <w:t>Sobre la existencia de pobreza estructural, el Relator Especial de Naciones Unidas sobre el Derecho a la Alimentación, analizando la prestación de asistencia social condicionada —para las que deben satisfacerse ciertos requisitos de elegibilidad— consideró que:</w:t>
      </w:r>
    </w:p>
    <w:p w14:paraId="464E9A0E"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5078E1DA" w14:textId="77777777" w:rsidR="00130785" w:rsidRPr="00470C7C" w:rsidRDefault="00130785" w:rsidP="00130785">
      <w:pPr>
        <w:tabs>
          <w:tab w:val="clear" w:pos="4419"/>
          <w:tab w:val="clear" w:pos="8838"/>
        </w:tabs>
        <w:ind w:left="708"/>
        <w:jc w:val="both"/>
        <w:rPr>
          <w:rFonts w:eastAsia="Cambria" w:cs="Times"/>
          <w:i/>
          <w:sz w:val="16"/>
          <w:szCs w:val="16"/>
          <w:lang w:val="es-ES_tradnl"/>
        </w:rPr>
      </w:pPr>
      <w:r w:rsidRPr="00470C7C">
        <w:rPr>
          <w:rFonts w:eastAsia="Cambria" w:cs="Times"/>
          <w:i/>
          <w:sz w:val="16"/>
          <w:szCs w:val="16"/>
          <w:lang w:val="es-ES_tradnl"/>
        </w:rPr>
        <w:t>30. Los programas de asistencia condicionada están diseñados generalmente para hacer frente a la pobreza estructural, a largo plazo, más que a la perturbación de los ingresos, especialmente si se prevé que esa perturbación será de corta duración; no son el instrumento ideal para hacer frente a la pobreza coyuntural</w:t>
      </w:r>
      <w:r w:rsidRPr="00470C7C">
        <w:rPr>
          <w:rFonts w:eastAsia="Cambria" w:cs="Times New Roman"/>
          <w:i/>
          <w:sz w:val="16"/>
          <w:szCs w:val="20"/>
          <w:vertAlign w:val="superscript"/>
          <w:lang w:val="es-ES_tradnl"/>
        </w:rPr>
        <w:footnoteReference w:id="629"/>
      </w:r>
      <w:r w:rsidRPr="00470C7C">
        <w:rPr>
          <w:rFonts w:eastAsia="Cambria" w:cs="Times"/>
          <w:i/>
          <w:sz w:val="16"/>
          <w:szCs w:val="16"/>
          <w:lang w:val="es-ES_tradnl"/>
        </w:rPr>
        <w:t xml:space="preserve">. </w:t>
      </w:r>
    </w:p>
    <w:p w14:paraId="487D4F12" w14:textId="77777777" w:rsidR="00130785" w:rsidRPr="00470C7C" w:rsidRDefault="00130785" w:rsidP="00130785">
      <w:pPr>
        <w:tabs>
          <w:tab w:val="clear" w:pos="4419"/>
          <w:tab w:val="clear" w:pos="8838"/>
        </w:tabs>
        <w:jc w:val="both"/>
        <w:rPr>
          <w:rFonts w:eastAsia="Cambria" w:cs="System Font Regular"/>
          <w:i/>
          <w:szCs w:val="20"/>
          <w:lang w:val="es-ES_tradnl"/>
        </w:rPr>
      </w:pPr>
    </w:p>
    <w:p w14:paraId="0A4F4E71" w14:textId="77777777" w:rsidR="00130785" w:rsidRPr="00470C7C" w:rsidRDefault="00130785" w:rsidP="008B0BCC">
      <w:pPr>
        <w:widowControl w:val="0"/>
        <w:numPr>
          <w:ilvl w:val="0"/>
          <w:numId w:val="26"/>
        </w:numPr>
        <w:tabs>
          <w:tab w:val="clear" w:pos="4419"/>
          <w:tab w:val="clear" w:pos="8838"/>
        </w:tabs>
        <w:autoSpaceDE w:val="0"/>
        <w:autoSpaceDN w:val="0"/>
        <w:adjustRightInd w:val="0"/>
        <w:spacing w:after="240"/>
        <w:contextualSpacing/>
        <w:jc w:val="both"/>
        <w:rPr>
          <w:rFonts w:eastAsia="Cambria" w:cs="Times"/>
          <w:szCs w:val="20"/>
          <w:lang w:val="es-ES_tradnl"/>
        </w:rPr>
      </w:pPr>
      <w:r w:rsidRPr="00470C7C">
        <w:rPr>
          <w:rFonts w:eastAsia="Cambria" w:cs="System Font Regular"/>
          <w:szCs w:val="20"/>
          <w:lang w:val="es-ES_tradnl"/>
        </w:rPr>
        <w:t xml:space="preserve">Si bien a la fecha no existe una definición expresa aportada en el Derecho Internacional de lo que debe entenderse por </w:t>
      </w:r>
      <w:r w:rsidRPr="00470C7C">
        <w:rPr>
          <w:rFonts w:eastAsia="Cambria" w:cs="System Font Regular"/>
          <w:i/>
          <w:szCs w:val="20"/>
          <w:lang w:val="es-ES_tradnl"/>
        </w:rPr>
        <w:t>pobreza estructural</w:t>
      </w:r>
      <w:r w:rsidRPr="00470C7C">
        <w:rPr>
          <w:rFonts w:eastAsia="Cambria" w:cs="Times New Roman"/>
          <w:szCs w:val="20"/>
          <w:vertAlign w:val="superscript"/>
          <w:lang w:val="es-ES_tradnl"/>
        </w:rPr>
        <w:footnoteReference w:id="630"/>
      </w:r>
      <w:r w:rsidRPr="00470C7C">
        <w:rPr>
          <w:rFonts w:eastAsia="Cambria" w:cs="System Font Regular"/>
          <w:i/>
          <w:szCs w:val="20"/>
          <w:lang w:val="es-ES_tradnl"/>
        </w:rPr>
        <w:t xml:space="preserve"> </w:t>
      </w:r>
      <w:r w:rsidRPr="00470C7C">
        <w:rPr>
          <w:rFonts w:eastAsia="Cambria" w:cs="System Font Regular"/>
          <w:szCs w:val="20"/>
          <w:lang w:val="es-ES_tradnl"/>
        </w:rPr>
        <w:t xml:space="preserve">como forma de discriminación, existen pronunciamientos de los Relatores Especiales sobre la Pobreza Extrema que permiten determinar aquellas personas que podrían encontrarse afectadas por esta situación en particular. En este sentido, por ejemplo, </w:t>
      </w:r>
      <w:r w:rsidRPr="00470C7C">
        <w:rPr>
          <w:rFonts w:eastAsia="Cambria" w:cs="Times New Roman"/>
          <w:lang w:val="es-ES_tradnl"/>
        </w:rPr>
        <w:t>los PREPDH</w:t>
      </w:r>
      <w:r w:rsidRPr="00470C7C">
        <w:rPr>
          <w:rFonts w:eastAsia="Cambria" w:cs="System Font Regular"/>
          <w:i/>
          <w:szCs w:val="20"/>
          <w:lang w:val="es-ES_tradnl"/>
        </w:rPr>
        <w:t xml:space="preserve"> </w:t>
      </w:r>
      <w:r w:rsidRPr="00470C7C">
        <w:rPr>
          <w:rFonts w:eastAsia="Cambria" w:cs="System Font Regular"/>
          <w:szCs w:val="20"/>
          <w:lang w:val="es-ES_tradnl"/>
        </w:rPr>
        <w:t>han señalado que la pobreza extrema es una situación creada, propiciada y perpetuada por acciones y omisiones de los Estados y otros agentes. Al dejar de lado a las personas que vivían en la pobreza extrema, las políticas públicas del pasado han transmitido la pobreza de generación en generación. Las desigualdades estructurales y sistémicas, de orden social, político, económico y cultural, que a menudo no se abordan, profundiza más la pobreza</w:t>
      </w:r>
      <w:r w:rsidRPr="00470C7C">
        <w:rPr>
          <w:rFonts w:eastAsia="Cambria" w:cs="Times New Roman"/>
          <w:szCs w:val="20"/>
          <w:vertAlign w:val="superscript"/>
          <w:lang w:val="es-ES_tradnl"/>
        </w:rPr>
        <w:footnoteReference w:id="631"/>
      </w:r>
      <w:r w:rsidRPr="00470C7C">
        <w:rPr>
          <w:rFonts w:eastAsia="Cambria" w:cs="System Font Regular"/>
          <w:szCs w:val="20"/>
          <w:lang w:val="es-ES_tradnl"/>
        </w:rPr>
        <w:t xml:space="preserve">. </w:t>
      </w:r>
    </w:p>
    <w:p w14:paraId="1F8103EB" w14:textId="77777777" w:rsidR="00130785" w:rsidRPr="00470C7C" w:rsidRDefault="00130785" w:rsidP="00130785">
      <w:pPr>
        <w:widowControl w:val="0"/>
        <w:tabs>
          <w:tab w:val="clear" w:pos="4419"/>
          <w:tab w:val="clear" w:pos="8838"/>
        </w:tabs>
        <w:autoSpaceDE w:val="0"/>
        <w:autoSpaceDN w:val="0"/>
        <w:adjustRightInd w:val="0"/>
        <w:spacing w:after="240"/>
        <w:contextualSpacing/>
        <w:jc w:val="both"/>
        <w:rPr>
          <w:rFonts w:eastAsia="Cambria" w:cs="Times"/>
          <w:szCs w:val="20"/>
          <w:lang w:val="es-ES_tradnl"/>
        </w:rPr>
      </w:pPr>
    </w:p>
    <w:p w14:paraId="3380110F" w14:textId="77777777" w:rsidR="00130785" w:rsidRPr="00470C7C" w:rsidRDefault="00130785" w:rsidP="008B0BCC">
      <w:pPr>
        <w:widowControl w:val="0"/>
        <w:numPr>
          <w:ilvl w:val="0"/>
          <w:numId w:val="26"/>
        </w:numPr>
        <w:tabs>
          <w:tab w:val="clear" w:pos="4419"/>
          <w:tab w:val="clear" w:pos="8838"/>
        </w:tabs>
        <w:autoSpaceDE w:val="0"/>
        <w:autoSpaceDN w:val="0"/>
        <w:adjustRightInd w:val="0"/>
        <w:spacing w:after="240"/>
        <w:contextualSpacing/>
        <w:jc w:val="both"/>
        <w:rPr>
          <w:rFonts w:eastAsia="Cambria" w:cs="Times"/>
          <w:szCs w:val="20"/>
          <w:lang w:val="es-ES_tradnl"/>
        </w:rPr>
      </w:pPr>
      <w:r w:rsidRPr="00470C7C">
        <w:rPr>
          <w:rFonts w:eastAsia="Cambria" w:cs="System Font Regular"/>
          <w:szCs w:val="20"/>
          <w:lang w:val="es-ES_tradnl"/>
        </w:rPr>
        <w:t xml:space="preserve">Además, </w:t>
      </w:r>
      <w:r w:rsidRPr="00470C7C">
        <w:rPr>
          <w:rFonts w:eastAsia="Cambria" w:cs="Times"/>
          <w:szCs w:val="20"/>
          <w:lang w:val="es-ES_tradnl"/>
        </w:rPr>
        <w:t>el derecho de las personas que viven en la pobreza a participar plenamente en la sociedad y en la adopción de decisiones tropieza con una gran cantidad de obstáculos que agravan la situación, obstáculos de tipo económico, social, estructural, jurídico y sistémico</w:t>
      </w:r>
      <w:r w:rsidRPr="00470C7C">
        <w:rPr>
          <w:rFonts w:eastAsia="Cambria" w:cs="Times New Roman"/>
          <w:szCs w:val="20"/>
          <w:vertAlign w:val="superscript"/>
          <w:lang w:val="es-ES_tradnl"/>
        </w:rPr>
        <w:footnoteReference w:id="632"/>
      </w:r>
      <w:r w:rsidRPr="00470C7C">
        <w:rPr>
          <w:rFonts w:eastAsia="Cambria" w:cs="Times"/>
          <w:szCs w:val="20"/>
          <w:lang w:val="es-ES_tradnl"/>
        </w:rPr>
        <w:t>. Por otro lado, aun cuando existen mecanismos participativos, las personas que viven en la pobreza tienen serias dificultades para usarlos o ejercer su influencia a través de ellos</w:t>
      </w:r>
      <w:r w:rsidRPr="00470C7C">
        <w:rPr>
          <w:rFonts w:eastAsia="Cambria" w:cs="Times"/>
          <w:position w:val="10"/>
          <w:szCs w:val="20"/>
          <w:lang w:val="es-ES_tradnl"/>
        </w:rPr>
        <w:t xml:space="preserve"> </w:t>
      </w:r>
      <w:r w:rsidRPr="00470C7C">
        <w:rPr>
          <w:rFonts w:eastAsia="Cambria" w:cs="Times"/>
          <w:szCs w:val="20"/>
          <w:lang w:val="es-ES_tradnl"/>
        </w:rPr>
        <w:t>por falta de información, una educación escasa o analfabetismo</w:t>
      </w:r>
      <w:r w:rsidRPr="00470C7C">
        <w:rPr>
          <w:rFonts w:eastAsia="Cambria" w:cs="Times New Roman"/>
          <w:szCs w:val="20"/>
          <w:vertAlign w:val="superscript"/>
          <w:lang w:val="es-ES_tradnl"/>
        </w:rPr>
        <w:footnoteReference w:id="633"/>
      </w:r>
      <w:r w:rsidRPr="00470C7C">
        <w:rPr>
          <w:rFonts w:eastAsia="Cambria" w:cs="Times"/>
          <w:szCs w:val="20"/>
          <w:lang w:val="es-ES_tradnl"/>
        </w:rPr>
        <w:t xml:space="preserve">. Como respuesta a estas situaciones de discriminación estructural, en muchas jurisdicciones, los fallos afectan solo a las partes del litigio o a quienes interponen una demanda, incluso cuando las causas tienen repercusiones más amplias. Esto quiere decir que solo las personas que tengan capacidad o tenacidad para superar todas las barreras de acceso a la justicia podrán beneficiarse de fallos importantes. </w:t>
      </w:r>
    </w:p>
    <w:p w14:paraId="531B3940" w14:textId="77777777" w:rsidR="00130785" w:rsidRPr="00470C7C" w:rsidRDefault="00130785" w:rsidP="00130785">
      <w:pPr>
        <w:widowControl w:val="0"/>
        <w:tabs>
          <w:tab w:val="clear" w:pos="4419"/>
          <w:tab w:val="clear" w:pos="8838"/>
        </w:tabs>
        <w:autoSpaceDE w:val="0"/>
        <w:autoSpaceDN w:val="0"/>
        <w:adjustRightInd w:val="0"/>
        <w:spacing w:after="240"/>
        <w:contextualSpacing/>
        <w:jc w:val="both"/>
        <w:rPr>
          <w:rFonts w:eastAsia="Cambria" w:cs="Times"/>
          <w:szCs w:val="20"/>
          <w:lang w:val="es-ES_tradnl"/>
        </w:rPr>
      </w:pPr>
    </w:p>
    <w:p w14:paraId="56702D0E" w14:textId="77777777" w:rsidR="00130785" w:rsidRPr="00470C7C" w:rsidRDefault="00130785" w:rsidP="008B0BCC">
      <w:pPr>
        <w:widowControl w:val="0"/>
        <w:numPr>
          <w:ilvl w:val="0"/>
          <w:numId w:val="26"/>
        </w:numPr>
        <w:tabs>
          <w:tab w:val="clear" w:pos="4419"/>
          <w:tab w:val="clear" w:pos="8838"/>
        </w:tabs>
        <w:autoSpaceDE w:val="0"/>
        <w:autoSpaceDN w:val="0"/>
        <w:adjustRightInd w:val="0"/>
        <w:spacing w:after="240"/>
        <w:contextualSpacing/>
        <w:jc w:val="both"/>
        <w:rPr>
          <w:rFonts w:eastAsia="Cambria" w:cs="Times"/>
          <w:szCs w:val="20"/>
          <w:lang w:val="es-ES_tradnl"/>
        </w:rPr>
      </w:pPr>
      <w:r w:rsidRPr="00470C7C">
        <w:rPr>
          <w:rFonts w:eastAsia="Cambria" w:cs="Times"/>
          <w:szCs w:val="20"/>
          <w:lang w:val="es-ES_tradnl"/>
        </w:rPr>
        <w:t xml:space="preserve">No obstante, quienes viven en la pobreza suelen sufrir las consecuencias de prácticas extendidas o de medidas gubernamentales de amplio alcance que generan situaciones en las que están en juego los derechos de muchas personas; por ello, en los sistemas jurídicos en que los tribunales pueden ejercer un control jurisdiccional o emitir fallos </w:t>
      </w:r>
      <w:r w:rsidRPr="00470C7C">
        <w:rPr>
          <w:rFonts w:eastAsia="Cambria" w:cs="Times"/>
          <w:i/>
          <w:szCs w:val="20"/>
          <w:lang w:val="es-ES_tradnl"/>
        </w:rPr>
        <w:t>erga omnes</w:t>
      </w:r>
      <w:r w:rsidRPr="00470C7C">
        <w:rPr>
          <w:rFonts w:eastAsia="Cambria" w:cs="Times"/>
          <w:szCs w:val="20"/>
          <w:lang w:val="es-ES_tradnl"/>
        </w:rPr>
        <w:t>, con capacidad para declarar inconstitucionales ciertas leyes o situaciones, esto puede tener un efecto positivo a la hora de garantizar la justicia a las personas que viven en la pobreza</w:t>
      </w:r>
      <w:r w:rsidRPr="00470C7C">
        <w:rPr>
          <w:rFonts w:eastAsia="Cambria" w:cs="Times New Roman"/>
          <w:szCs w:val="20"/>
          <w:vertAlign w:val="superscript"/>
          <w:lang w:val="es-ES_tradnl"/>
        </w:rPr>
        <w:footnoteReference w:id="634"/>
      </w:r>
      <w:r w:rsidRPr="00470C7C">
        <w:rPr>
          <w:rFonts w:eastAsia="Cambria" w:cs="Times"/>
          <w:szCs w:val="20"/>
          <w:lang w:val="es-ES_tradnl"/>
        </w:rPr>
        <w:t xml:space="preserve">. </w:t>
      </w:r>
    </w:p>
    <w:p w14:paraId="287D6600" w14:textId="77777777" w:rsidR="00130785" w:rsidRPr="00470C7C" w:rsidRDefault="00130785" w:rsidP="00130785">
      <w:pPr>
        <w:widowControl w:val="0"/>
        <w:tabs>
          <w:tab w:val="clear" w:pos="4419"/>
          <w:tab w:val="clear" w:pos="8838"/>
        </w:tabs>
        <w:autoSpaceDE w:val="0"/>
        <w:autoSpaceDN w:val="0"/>
        <w:adjustRightInd w:val="0"/>
        <w:spacing w:after="240"/>
        <w:contextualSpacing/>
        <w:jc w:val="both"/>
        <w:rPr>
          <w:rFonts w:eastAsia="Cambria" w:cs="Times"/>
          <w:szCs w:val="20"/>
          <w:lang w:val="es-ES_tradnl"/>
        </w:rPr>
      </w:pPr>
    </w:p>
    <w:p w14:paraId="6DBEE7C3" w14:textId="77777777" w:rsidR="00130785" w:rsidRPr="00470C7C" w:rsidRDefault="00130785" w:rsidP="008B0BCC">
      <w:pPr>
        <w:widowControl w:val="0"/>
        <w:numPr>
          <w:ilvl w:val="0"/>
          <w:numId w:val="26"/>
        </w:numPr>
        <w:tabs>
          <w:tab w:val="clear" w:pos="4419"/>
          <w:tab w:val="clear" w:pos="8838"/>
        </w:tabs>
        <w:autoSpaceDE w:val="0"/>
        <w:autoSpaceDN w:val="0"/>
        <w:adjustRightInd w:val="0"/>
        <w:spacing w:after="240"/>
        <w:contextualSpacing/>
        <w:jc w:val="both"/>
        <w:rPr>
          <w:rFonts w:eastAsia="Cambria" w:cs="Times"/>
          <w:szCs w:val="20"/>
          <w:lang w:val="es-ES_tradnl"/>
        </w:rPr>
      </w:pPr>
      <w:r w:rsidRPr="00470C7C">
        <w:rPr>
          <w:rFonts w:eastAsia="Cambria" w:cs="Times"/>
          <w:szCs w:val="20"/>
          <w:lang w:val="es-ES_tradnl"/>
        </w:rPr>
        <w:t xml:space="preserve">Así, las personas que sufren pobreza estructural son personas que, en general, transmiten esta situación generacionalmente y de manera histórica, que sus posibilidades de participación política se ven disminuidas y también la negación a servicios básicos; ante las cuales el acceso a la justicia dependerá de que tengan las capacidades para superar la propia condición de pobreza con independencia de que coincidentemente, o no, pertenezcan a grupos históricamente marginados o excluidos. </w:t>
      </w:r>
    </w:p>
    <w:p w14:paraId="4FCE14E8" w14:textId="77777777" w:rsidR="00130785" w:rsidRPr="00470C7C" w:rsidRDefault="00130785" w:rsidP="00130785">
      <w:pPr>
        <w:tabs>
          <w:tab w:val="clear" w:pos="4419"/>
          <w:tab w:val="clear" w:pos="8838"/>
        </w:tabs>
        <w:spacing w:line="360" w:lineRule="auto"/>
        <w:jc w:val="both"/>
        <w:rPr>
          <w:rFonts w:eastAsia="Cambria" w:cs="System Font Regular"/>
          <w:i/>
          <w:sz w:val="16"/>
          <w:szCs w:val="16"/>
          <w:lang w:val="es-ES_tradnl"/>
        </w:rPr>
      </w:pPr>
    </w:p>
    <w:p w14:paraId="3004E5DE" w14:textId="77777777" w:rsidR="00130785" w:rsidRPr="00470C7C" w:rsidRDefault="00130785" w:rsidP="00130785">
      <w:pPr>
        <w:tabs>
          <w:tab w:val="clear" w:pos="4419"/>
          <w:tab w:val="clear" w:pos="8838"/>
        </w:tabs>
        <w:spacing w:line="360" w:lineRule="auto"/>
        <w:jc w:val="center"/>
        <w:rPr>
          <w:rFonts w:eastAsia="Cambria" w:cs="System Font Regular"/>
          <w:caps/>
          <w:szCs w:val="20"/>
          <w:lang w:val="es-ES_tradnl"/>
        </w:rPr>
      </w:pPr>
      <w:r w:rsidRPr="00470C7C">
        <w:rPr>
          <w:rFonts w:eastAsia="Cambria" w:cs="System Font Regular"/>
          <w:caps/>
          <w:szCs w:val="20"/>
          <w:lang w:val="es-ES_tradnl"/>
        </w:rPr>
        <w:t xml:space="preserve">V. Discriminación estructural, indirecta </w:t>
      </w:r>
      <w:proofErr w:type="gramStart"/>
      <w:r w:rsidRPr="00470C7C">
        <w:rPr>
          <w:rFonts w:eastAsia="Cambria" w:cs="System Font Regular"/>
          <w:caps/>
          <w:szCs w:val="20"/>
          <w:lang w:val="es-ES_tradnl"/>
        </w:rPr>
        <w:t>y</w:t>
      </w:r>
      <w:proofErr w:type="gramEnd"/>
      <w:r w:rsidRPr="00470C7C">
        <w:rPr>
          <w:rFonts w:eastAsia="Cambria" w:cs="System Font Regular"/>
          <w:caps/>
          <w:szCs w:val="20"/>
          <w:lang w:val="es-ES_tradnl"/>
        </w:rPr>
        <w:t xml:space="preserve"> de hecho </w:t>
      </w:r>
    </w:p>
    <w:p w14:paraId="46F34A78" w14:textId="77777777" w:rsidR="00130785" w:rsidRPr="00470C7C" w:rsidRDefault="00130785" w:rsidP="00130785">
      <w:pPr>
        <w:tabs>
          <w:tab w:val="clear" w:pos="4419"/>
          <w:tab w:val="clear" w:pos="8838"/>
        </w:tabs>
        <w:spacing w:line="360" w:lineRule="auto"/>
        <w:jc w:val="center"/>
        <w:rPr>
          <w:rFonts w:eastAsia="Cambria" w:cs="System Font Regular"/>
          <w:caps/>
          <w:szCs w:val="20"/>
          <w:lang w:val="es-ES_tradnl"/>
        </w:rPr>
      </w:pPr>
      <w:r w:rsidRPr="00470C7C">
        <w:rPr>
          <w:rFonts w:eastAsia="Cambria" w:cs="System Font Regular"/>
          <w:caps/>
          <w:szCs w:val="20"/>
          <w:lang w:val="es-ES_tradnl"/>
        </w:rPr>
        <w:t>en la jurisprudencia de la Corte Interamericana</w:t>
      </w:r>
    </w:p>
    <w:p w14:paraId="7E7CA8BE" w14:textId="77777777" w:rsidR="00130785" w:rsidRPr="00470C7C" w:rsidRDefault="00130785" w:rsidP="00130785">
      <w:pPr>
        <w:tabs>
          <w:tab w:val="clear" w:pos="4419"/>
          <w:tab w:val="clear" w:pos="8838"/>
        </w:tabs>
        <w:jc w:val="both"/>
        <w:rPr>
          <w:rFonts w:eastAsia="Cambria" w:cs="System Font Regular"/>
          <w:szCs w:val="20"/>
          <w:lang w:val="es-ES_tradnl"/>
        </w:rPr>
      </w:pPr>
    </w:p>
    <w:p w14:paraId="0F628859" w14:textId="77777777" w:rsidR="00130785" w:rsidRPr="00470C7C" w:rsidRDefault="00130785" w:rsidP="008B0BCC">
      <w:pPr>
        <w:numPr>
          <w:ilvl w:val="0"/>
          <w:numId w:val="26"/>
        </w:numPr>
        <w:tabs>
          <w:tab w:val="clear" w:pos="4419"/>
          <w:tab w:val="clear" w:pos="8838"/>
        </w:tabs>
        <w:jc w:val="both"/>
        <w:rPr>
          <w:rFonts w:eastAsia="Cambria" w:cs="System Font Regular"/>
          <w:szCs w:val="20"/>
          <w:lang w:val="es-ES_tradnl"/>
        </w:rPr>
      </w:pPr>
      <w:r w:rsidRPr="00470C7C">
        <w:rPr>
          <w:rFonts w:eastAsia="Cambria" w:cs="System Font Regular"/>
          <w:szCs w:val="20"/>
          <w:lang w:val="es-ES_tradnl"/>
        </w:rPr>
        <w:t xml:space="preserve">La jurisprudencia constante de la Corte IDH ha versado en su gran mayoría y visibilizado la discriminación directa que sufren ciertos grupos de personas dentro de las sociedades. Sin embargo, lo anterior no ha excluido que el Tribunal Interamericano se pronuncie, de manera aislada, en el sentido de establecer que en ciertos contextos se tome en consideración la discriminación estructural, la discriminación de hecho o la discriminación indirecta. </w:t>
      </w:r>
    </w:p>
    <w:p w14:paraId="5215739B" w14:textId="77777777" w:rsidR="00130785" w:rsidRPr="00470C7C" w:rsidRDefault="00130785" w:rsidP="00130785">
      <w:pPr>
        <w:tabs>
          <w:tab w:val="clear" w:pos="4419"/>
          <w:tab w:val="clear" w:pos="8838"/>
        </w:tabs>
        <w:jc w:val="both"/>
        <w:rPr>
          <w:rFonts w:eastAsia="Cambria" w:cs="System Font Regular"/>
          <w:szCs w:val="20"/>
          <w:lang w:val="es-ES_tradnl"/>
        </w:rPr>
      </w:pPr>
    </w:p>
    <w:p w14:paraId="1C00E0C5" w14:textId="77777777" w:rsidR="00130785" w:rsidRPr="00470C7C" w:rsidRDefault="00130785" w:rsidP="008B0BCC">
      <w:pPr>
        <w:numPr>
          <w:ilvl w:val="0"/>
          <w:numId w:val="26"/>
        </w:numPr>
        <w:tabs>
          <w:tab w:val="clear" w:pos="4419"/>
          <w:tab w:val="clear" w:pos="8838"/>
        </w:tabs>
        <w:jc w:val="both"/>
        <w:rPr>
          <w:rFonts w:eastAsia="Cambria" w:cs="System Font Regular"/>
          <w:szCs w:val="20"/>
          <w:lang w:val="es-ES_tradnl"/>
        </w:rPr>
      </w:pPr>
      <w:r w:rsidRPr="00470C7C">
        <w:rPr>
          <w:rFonts w:eastAsia="Cambria" w:cs="System Font Regular"/>
          <w:szCs w:val="20"/>
          <w:lang w:val="es-ES_tradnl"/>
        </w:rPr>
        <w:t xml:space="preserve">En este sentido, en el caso </w:t>
      </w:r>
      <w:r w:rsidRPr="00470C7C">
        <w:rPr>
          <w:rFonts w:eastAsia="Cambria" w:cs="System Font Regular"/>
          <w:i/>
          <w:szCs w:val="20"/>
          <w:lang w:val="es-ES_tradnl"/>
        </w:rPr>
        <w:t xml:space="preserve">Gonzáles y otras (“Campo Algodonero”) Vs. México </w:t>
      </w:r>
      <w:r w:rsidRPr="00470C7C">
        <w:rPr>
          <w:rFonts w:eastAsia="Cambria" w:cs="System Font Regular"/>
          <w:szCs w:val="20"/>
          <w:lang w:val="es-ES_tradnl"/>
        </w:rPr>
        <w:t xml:space="preserve">de 2009, en el apartado de reparaciones de la Sentencia refiriéndose a la discriminación estructural, el Tribunal expresó que: </w:t>
      </w:r>
    </w:p>
    <w:p w14:paraId="68BBA8C6" w14:textId="77777777" w:rsidR="00130785" w:rsidRPr="00470C7C" w:rsidRDefault="00130785" w:rsidP="00130785">
      <w:pPr>
        <w:tabs>
          <w:tab w:val="clear" w:pos="4419"/>
          <w:tab w:val="clear" w:pos="8838"/>
        </w:tabs>
        <w:spacing w:before="100" w:beforeAutospacing="1" w:after="100" w:afterAutospacing="1"/>
        <w:contextualSpacing/>
        <w:jc w:val="both"/>
        <w:rPr>
          <w:rFonts w:eastAsia="MS Mincho" w:cs="System Font Regular"/>
          <w:sz w:val="24"/>
          <w:szCs w:val="20"/>
          <w:lang w:val="es-ES_tradnl" w:eastAsia="es-ES"/>
        </w:rPr>
      </w:pPr>
    </w:p>
    <w:p w14:paraId="0246B183" w14:textId="77777777" w:rsidR="00130785" w:rsidRPr="00470C7C" w:rsidRDefault="00130785" w:rsidP="00130785">
      <w:pPr>
        <w:tabs>
          <w:tab w:val="clear" w:pos="4419"/>
          <w:tab w:val="clear" w:pos="8838"/>
        </w:tabs>
        <w:spacing w:before="100" w:beforeAutospacing="1" w:after="100" w:afterAutospacing="1"/>
        <w:ind w:left="708"/>
        <w:contextualSpacing/>
        <w:jc w:val="both"/>
        <w:rPr>
          <w:rFonts w:eastAsia="Cambria" w:cs="Times New Roman"/>
          <w:i/>
          <w:sz w:val="16"/>
          <w:szCs w:val="16"/>
          <w:lang w:val="es-ES_tradnl"/>
        </w:rPr>
      </w:pPr>
      <w:r w:rsidRPr="00470C7C">
        <w:rPr>
          <w:rFonts w:eastAsia="Cambria" w:cs="Times New Roman"/>
          <w:i/>
          <w:sz w:val="16"/>
          <w:szCs w:val="16"/>
          <w:lang w:val="es-ES_tradnl"/>
        </w:rPr>
        <w:t xml:space="preserve">450 […]. Sin embargo, teniendo en cuenta </w:t>
      </w:r>
      <w:r w:rsidRPr="00470C7C">
        <w:rPr>
          <w:rFonts w:eastAsia="Cambria" w:cs="Times New Roman"/>
          <w:i/>
          <w:sz w:val="16"/>
          <w:szCs w:val="16"/>
          <w:u w:val="single"/>
          <w:lang w:val="es-ES_tradnl"/>
        </w:rPr>
        <w:t>la situación de discriminación estructural</w:t>
      </w:r>
      <w:r w:rsidRPr="00470C7C">
        <w:rPr>
          <w:rFonts w:eastAsia="Cambria" w:cs="Times New Roman"/>
          <w:i/>
          <w:sz w:val="16"/>
          <w:szCs w:val="16"/>
          <w:lang w:val="es-ES_tradnl"/>
        </w:rPr>
        <w:t xml:space="preserve"> en la que se enmarcan los hechos ocurridos en el presente caso y que fue reconocida por el Estado […], las </w:t>
      </w:r>
      <w:r w:rsidRPr="00470C7C">
        <w:rPr>
          <w:rFonts w:eastAsia="Cambria" w:cs="Times New Roman"/>
          <w:i/>
          <w:sz w:val="16"/>
          <w:szCs w:val="16"/>
          <w:u w:val="single"/>
          <w:lang w:val="es-ES_tradnl"/>
        </w:rPr>
        <w:t>reparaciones deben tener una vocación transformadora de dicha situación</w:t>
      </w:r>
      <w:r w:rsidRPr="00470C7C">
        <w:rPr>
          <w:rFonts w:eastAsia="Cambria" w:cs="Times New Roman"/>
          <w:i/>
          <w:sz w:val="16"/>
          <w:szCs w:val="16"/>
          <w:lang w:val="es-ES_tradnl"/>
        </w:rPr>
        <w:t xml:space="preserve">, de tal forma que las mismas tengan un efecto no solo sustitutivo sino también correctivo. </w:t>
      </w:r>
      <w:r w:rsidRPr="00470C7C">
        <w:rPr>
          <w:rFonts w:eastAsia="Cambria" w:cs="Times New Roman"/>
          <w:i/>
          <w:sz w:val="16"/>
          <w:szCs w:val="16"/>
          <w:u w:val="single"/>
          <w:lang w:val="es-ES_tradnl"/>
        </w:rPr>
        <w:t>En este sentido, no es admisible una restitución a la misma situación estructural de violencia y discriminación</w:t>
      </w:r>
      <w:r w:rsidRPr="00470C7C">
        <w:rPr>
          <w:rFonts w:eastAsia="Cambria" w:cs="Times New Roman"/>
          <w:i/>
          <w:sz w:val="16"/>
          <w:szCs w:val="16"/>
          <w:lang w:val="es-ES_tradnl"/>
        </w:rPr>
        <w:t xml:space="preserve"> […] </w:t>
      </w:r>
      <w:r w:rsidRPr="00470C7C">
        <w:rPr>
          <w:rFonts w:eastAsia="Cambria" w:cs="Times New Roman"/>
          <w:i/>
          <w:sz w:val="16"/>
          <w:szCs w:val="20"/>
          <w:vertAlign w:val="superscript"/>
          <w:lang w:val="es-ES_tradnl"/>
        </w:rPr>
        <w:footnoteReference w:id="635"/>
      </w:r>
      <w:r w:rsidRPr="00470C7C">
        <w:rPr>
          <w:rFonts w:eastAsia="Cambria" w:cs="Times New Roman"/>
          <w:i/>
          <w:sz w:val="16"/>
          <w:szCs w:val="16"/>
          <w:lang w:val="es-ES_tradnl"/>
        </w:rPr>
        <w:t xml:space="preserve">. </w:t>
      </w:r>
      <w:r w:rsidRPr="00470C7C">
        <w:rPr>
          <w:rFonts w:eastAsia="Cambria" w:cs="Times New Roman"/>
          <w:sz w:val="16"/>
          <w:szCs w:val="16"/>
          <w:lang w:val="es-ES_tradnl"/>
        </w:rPr>
        <w:t>(Énfasis añadido).</w:t>
      </w:r>
    </w:p>
    <w:p w14:paraId="6D14B28C" w14:textId="77777777" w:rsidR="00130785" w:rsidRPr="00470C7C" w:rsidRDefault="00130785" w:rsidP="00130785">
      <w:pPr>
        <w:tabs>
          <w:tab w:val="clear" w:pos="4419"/>
          <w:tab w:val="clear" w:pos="8838"/>
        </w:tabs>
        <w:spacing w:before="100" w:beforeAutospacing="1" w:after="100" w:afterAutospacing="1"/>
        <w:ind w:left="708"/>
        <w:contextualSpacing/>
        <w:jc w:val="both"/>
        <w:rPr>
          <w:rFonts w:eastAsia="Cambria" w:cs="Times New Roman"/>
          <w:i/>
          <w:sz w:val="16"/>
          <w:szCs w:val="16"/>
          <w:lang w:val="es-ES_tradnl"/>
        </w:rPr>
      </w:pPr>
    </w:p>
    <w:p w14:paraId="4E129B66" w14:textId="77777777" w:rsidR="00130785" w:rsidRPr="00470C7C" w:rsidRDefault="00130785" w:rsidP="008B0BCC">
      <w:pPr>
        <w:numPr>
          <w:ilvl w:val="0"/>
          <w:numId w:val="26"/>
        </w:numPr>
        <w:tabs>
          <w:tab w:val="clear" w:pos="4419"/>
          <w:tab w:val="clear" w:pos="8838"/>
        </w:tabs>
        <w:spacing w:before="100" w:beforeAutospacing="1" w:after="100" w:afterAutospacing="1"/>
        <w:contextualSpacing/>
        <w:jc w:val="both"/>
        <w:rPr>
          <w:rFonts w:eastAsia="Cambria" w:cs="Times New Roman"/>
          <w:i/>
          <w:sz w:val="16"/>
          <w:szCs w:val="16"/>
          <w:lang w:val="es-ES_tradnl"/>
        </w:rPr>
      </w:pPr>
      <w:r w:rsidRPr="00470C7C">
        <w:rPr>
          <w:rFonts w:eastAsia="Cambria" w:cs="Times New Roman"/>
          <w:szCs w:val="20"/>
          <w:lang w:val="es-ES_tradnl"/>
        </w:rPr>
        <w:t xml:space="preserve">En el caso de la </w:t>
      </w:r>
      <w:r w:rsidRPr="00470C7C">
        <w:rPr>
          <w:rFonts w:eastAsia="Cambria" w:cs="Times New Roman"/>
          <w:i/>
          <w:szCs w:val="20"/>
          <w:lang w:val="es-ES_tradnl"/>
        </w:rPr>
        <w:t xml:space="preserve">Comunidad Indígena </w:t>
      </w:r>
      <w:proofErr w:type="spellStart"/>
      <w:r w:rsidRPr="00470C7C">
        <w:rPr>
          <w:rFonts w:eastAsia="Cambria" w:cs="Times New Roman"/>
          <w:i/>
          <w:szCs w:val="20"/>
          <w:lang w:val="es-ES_tradnl"/>
        </w:rPr>
        <w:t>Xákmok</w:t>
      </w:r>
      <w:proofErr w:type="spellEnd"/>
      <w:r w:rsidRPr="00470C7C">
        <w:rPr>
          <w:rFonts w:eastAsia="Cambria" w:cs="Times New Roman"/>
          <w:i/>
          <w:szCs w:val="20"/>
          <w:lang w:val="es-ES_tradnl"/>
        </w:rPr>
        <w:t xml:space="preserve"> </w:t>
      </w:r>
      <w:proofErr w:type="spellStart"/>
      <w:r w:rsidRPr="00470C7C">
        <w:rPr>
          <w:rFonts w:eastAsia="Cambria" w:cs="Times New Roman"/>
          <w:i/>
          <w:szCs w:val="20"/>
          <w:lang w:val="es-ES_tradnl"/>
        </w:rPr>
        <w:t>Kásek</w:t>
      </w:r>
      <w:proofErr w:type="spellEnd"/>
      <w:r w:rsidRPr="00470C7C">
        <w:rPr>
          <w:rFonts w:eastAsia="Cambria" w:cs="Times New Roman"/>
          <w:i/>
          <w:szCs w:val="20"/>
          <w:lang w:val="es-ES_tradnl"/>
        </w:rPr>
        <w:t xml:space="preserve"> Vs. Paraguay</w:t>
      </w:r>
      <w:r w:rsidRPr="00470C7C">
        <w:rPr>
          <w:rFonts w:eastAsia="Cambria" w:cs="Times New Roman"/>
          <w:szCs w:val="20"/>
          <w:lang w:val="es-ES_tradnl"/>
        </w:rPr>
        <w:t xml:space="preserve">, de 2010, refiriéndose a la discriminación </w:t>
      </w:r>
      <w:r w:rsidRPr="00470C7C">
        <w:rPr>
          <w:rFonts w:eastAsia="Cambria" w:cs="Times New Roman"/>
          <w:i/>
          <w:szCs w:val="20"/>
          <w:lang w:val="es-ES_tradnl"/>
        </w:rPr>
        <w:t>de</w:t>
      </w:r>
      <w:r w:rsidRPr="00470C7C">
        <w:rPr>
          <w:rFonts w:eastAsia="Cambria" w:cs="Times New Roman"/>
          <w:szCs w:val="20"/>
          <w:lang w:val="es-ES_tradnl"/>
        </w:rPr>
        <w:t xml:space="preserve"> </w:t>
      </w:r>
      <w:r w:rsidRPr="00470C7C">
        <w:rPr>
          <w:rFonts w:eastAsia="Cambria" w:cs="Times New Roman"/>
          <w:i/>
          <w:szCs w:val="20"/>
          <w:lang w:val="es-ES_tradnl"/>
        </w:rPr>
        <w:t xml:space="preserve">facto </w:t>
      </w:r>
      <w:r w:rsidRPr="00470C7C">
        <w:rPr>
          <w:rFonts w:eastAsia="Cambria" w:cs="Times New Roman"/>
          <w:szCs w:val="20"/>
          <w:lang w:val="es-ES_tradnl"/>
        </w:rPr>
        <w:t xml:space="preserve">consideró que: </w:t>
      </w:r>
    </w:p>
    <w:p w14:paraId="3AE0703F" w14:textId="77777777" w:rsidR="00130785" w:rsidRPr="00470C7C" w:rsidRDefault="00130785" w:rsidP="00130785">
      <w:pPr>
        <w:tabs>
          <w:tab w:val="clear" w:pos="4419"/>
          <w:tab w:val="clear" w:pos="8838"/>
        </w:tabs>
        <w:spacing w:before="100" w:beforeAutospacing="1" w:after="100" w:afterAutospacing="1"/>
        <w:contextualSpacing/>
        <w:jc w:val="both"/>
        <w:rPr>
          <w:rFonts w:eastAsia="Cambria" w:cs="Times New Roman"/>
          <w:i/>
          <w:sz w:val="16"/>
          <w:szCs w:val="16"/>
          <w:lang w:val="es-ES_tradnl"/>
        </w:rPr>
      </w:pPr>
    </w:p>
    <w:p w14:paraId="4F3EF2B5" w14:textId="77777777" w:rsidR="00130785" w:rsidRPr="00470C7C" w:rsidRDefault="00130785" w:rsidP="00130785">
      <w:pPr>
        <w:tabs>
          <w:tab w:val="clear" w:pos="4419"/>
          <w:tab w:val="clear" w:pos="8838"/>
        </w:tabs>
        <w:spacing w:before="100" w:beforeAutospacing="1" w:after="100" w:afterAutospacing="1"/>
        <w:ind w:left="708"/>
        <w:contextualSpacing/>
        <w:jc w:val="both"/>
        <w:rPr>
          <w:rFonts w:eastAsia="Cambria" w:cs="Times New Roman"/>
          <w:i/>
          <w:sz w:val="16"/>
          <w:szCs w:val="16"/>
          <w:lang w:val="es-ES_tradnl"/>
        </w:rPr>
      </w:pPr>
      <w:r w:rsidRPr="00470C7C">
        <w:rPr>
          <w:rFonts w:eastAsia="Cambria" w:cs="Times New Roman"/>
          <w:i/>
          <w:sz w:val="16"/>
          <w:szCs w:val="16"/>
          <w:lang w:val="es-ES_tradnl"/>
        </w:rPr>
        <w:t xml:space="preserve">273. En el presente caso está establecido que la situación de extrema y especial vulnerabilidad de los miembros de la Comunidad se debe, </w:t>
      </w:r>
      <w:r w:rsidRPr="00470C7C">
        <w:rPr>
          <w:rFonts w:eastAsia="Cambria" w:cs="Times New Roman"/>
          <w:i/>
          <w:iCs/>
          <w:sz w:val="16"/>
          <w:szCs w:val="16"/>
          <w:lang w:val="es-ES_tradnl"/>
        </w:rPr>
        <w:t xml:space="preserve">inter </w:t>
      </w:r>
      <w:proofErr w:type="spellStart"/>
      <w:r w:rsidRPr="00470C7C">
        <w:rPr>
          <w:rFonts w:eastAsia="Cambria" w:cs="Times New Roman"/>
          <w:i/>
          <w:iCs/>
          <w:sz w:val="16"/>
          <w:szCs w:val="16"/>
          <w:lang w:val="es-ES_tradnl"/>
        </w:rPr>
        <w:t>alia</w:t>
      </w:r>
      <w:proofErr w:type="spellEnd"/>
      <w:r w:rsidRPr="00470C7C">
        <w:rPr>
          <w:rFonts w:eastAsia="Cambria" w:cs="Times New Roman"/>
          <w:i/>
          <w:iCs/>
          <w:sz w:val="16"/>
          <w:szCs w:val="16"/>
          <w:u w:val="single"/>
          <w:lang w:val="es-ES_tradnl"/>
        </w:rPr>
        <w:t xml:space="preserve">, </w:t>
      </w:r>
      <w:r w:rsidRPr="00470C7C">
        <w:rPr>
          <w:rFonts w:eastAsia="Cambria" w:cs="Times New Roman"/>
          <w:i/>
          <w:sz w:val="16"/>
          <w:szCs w:val="16"/>
          <w:u w:val="single"/>
          <w:lang w:val="es-ES_tradnl"/>
        </w:rPr>
        <w:t>a la falta de recursos adecuados y efectivos que en los hechos proteja los derechos de los indígenas y no sólo de manera formal</w:t>
      </w:r>
      <w:r w:rsidRPr="00470C7C">
        <w:rPr>
          <w:rFonts w:eastAsia="Cambria" w:cs="Times New Roman"/>
          <w:i/>
          <w:sz w:val="16"/>
          <w:szCs w:val="16"/>
          <w:lang w:val="es-ES_tradnl"/>
        </w:rPr>
        <w:t xml:space="preserve">; </w:t>
      </w:r>
      <w:r w:rsidRPr="00470C7C">
        <w:rPr>
          <w:rFonts w:eastAsia="Cambria" w:cs="Times New Roman"/>
          <w:i/>
          <w:sz w:val="16"/>
          <w:szCs w:val="16"/>
          <w:u w:val="single"/>
          <w:lang w:val="es-ES_tradnl"/>
        </w:rPr>
        <w:t>la débil presencia de instituciones estatales obligadas a prestar servicios y bienes a los miembros de la Comunidad, en especial, alimentación, agua, salud y educación</w:t>
      </w:r>
      <w:r w:rsidRPr="00470C7C">
        <w:rPr>
          <w:rFonts w:eastAsia="Cambria" w:cs="Times New Roman"/>
          <w:i/>
          <w:sz w:val="16"/>
          <w:szCs w:val="16"/>
          <w:lang w:val="es-ES_tradnl"/>
        </w:rPr>
        <w:t xml:space="preserve"> […]. </w:t>
      </w:r>
    </w:p>
    <w:p w14:paraId="3CF1F115" w14:textId="77777777" w:rsidR="00130785" w:rsidRPr="00470C7C" w:rsidRDefault="00130785" w:rsidP="00130785">
      <w:pPr>
        <w:tabs>
          <w:tab w:val="clear" w:pos="4419"/>
          <w:tab w:val="clear" w:pos="8838"/>
        </w:tabs>
        <w:spacing w:before="100" w:beforeAutospacing="1" w:after="100" w:afterAutospacing="1"/>
        <w:contextualSpacing/>
        <w:jc w:val="both"/>
        <w:rPr>
          <w:rFonts w:eastAsia="Cambria" w:cs="Times New Roman"/>
          <w:sz w:val="16"/>
          <w:szCs w:val="16"/>
          <w:lang w:val="es-ES_tradnl"/>
        </w:rPr>
      </w:pPr>
    </w:p>
    <w:p w14:paraId="28BA789D" w14:textId="77777777" w:rsidR="00130785" w:rsidRPr="00470C7C" w:rsidRDefault="00130785" w:rsidP="00130785">
      <w:pPr>
        <w:tabs>
          <w:tab w:val="clear" w:pos="4419"/>
          <w:tab w:val="clear" w:pos="8838"/>
        </w:tabs>
        <w:ind w:left="708"/>
        <w:contextualSpacing/>
        <w:jc w:val="both"/>
        <w:rPr>
          <w:rFonts w:eastAsia="Cambria" w:cs="Times New Roman"/>
          <w:i/>
          <w:sz w:val="16"/>
          <w:szCs w:val="16"/>
          <w:lang w:val="es-ES_tradnl"/>
        </w:rPr>
      </w:pPr>
      <w:r w:rsidRPr="00470C7C">
        <w:rPr>
          <w:rFonts w:eastAsia="Cambria" w:cs="Times New Roman"/>
          <w:i/>
          <w:sz w:val="16"/>
          <w:szCs w:val="16"/>
          <w:lang w:val="es-ES_tradnl"/>
        </w:rPr>
        <w:t xml:space="preserve">274. […] </w:t>
      </w:r>
      <w:r w:rsidRPr="00470C7C">
        <w:rPr>
          <w:rFonts w:eastAsia="Cambria" w:cs="Times New Roman"/>
          <w:i/>
          <w:sz w:val="16"/>
          <w:szCs w:val="16"/>
          <w:u w:val="single"/>
          <w:lang w:val="es-ES_tradnl"/>
        </w:rPr>
        <w:t xml:space="preserve">evidencia una discriminación </w:t>
      </w:r>
      <w:r w:rsidRPr="00470C7C">
        <w:rPr>
          <w:rFonts w:eastAsia="Cambria" w:cs="Times New Roman"/>
          <w:i/>
          <w:iCs/>
          <w:sz w:val="16"/>
          <w:szCs w:val="16"/>
          <w:u w:val="single"/>
          <w:lang w:val="es-ES_tradnl"/>
        </w:rPr>
        <w:t xml:space="preserve">de facto </w:t>
      </w:r>
      <w:r w:rsidRPr="00470C7C">
        <w:rPr>
          <w:rFonts w:eastAsia="Cambria" w:cs="Times New Roman"/>
          <w:i/>
          <w:sz w:val="16"/>
          <w:szCs w:val="16"/>
          <w:u w:val="single"/>
          <w:lang w:val="es-ES_tradnl"/>
        </w:rPr>
        <w:t xml:space="preserve">en contra de los miembros de la Comunidad </w:t>
      </w:r>
      <w:proofErr w:type="spellStart"/>
      <w:r w:rsidRPr="00470C7C">
        <w:rPr>
          <w:rFonts w:eastAsia="Cambria" w:cs="Times New Roman"/>
          <w:i/>
          <w:sz w:val="16"/>
          <w:szCs w:val="16"/>
          <w:u w:val="single"/>
          <w:lang w:val="es-ES_tradnl"/>
        </w:rPr>
        <w:t>Xákmok</w:t>
      </w:r>
      <w:proofErr w:type="spellEnd"/>
      <w:r w:rsidRPr="00470C7C">
        <w:rPr>
          <w:rFonts w:eastAsia="Cambria" w:cs="Times New Roman"/>
          <w:i/>
          <w:sz w:val="16"/>
          <w:szCs w:val="16"/>
          <w:u w:val="single"/>
          <w:lang w:val="es-ES_tradnl"/>
        </w:rPr>
        <w:t xml:space="preserve"> </w:t>
      </w:r>
      <w:proofErr w:type="spellStart"/>
      <w:r w:rsidRPr="00470C7C">
        <w:rPr>
          <w:rFonts w:eastAsia="Cambria" w:cs="Times New Roman"/>
          <w:i/>
          <w:sz w:val="16"/>
          <w:szCs w:val="16"/>
          <w:u w:val="single"/>
          <w:lang w:val="es-ES_tradnl"/>
        </w:rPr>
        <w:t>Kásek</w:t>
      </w:r>
      <w:proofErr w:type="spellEnd"/>
      <w:r w:rsidRPr="00470C7C">
        <w:rPr>
          <w:rFonts w:eastAsia="Cambria" w:cs="Times New Roman"/>
          <w:i/>
          <w:sz w:val="16"/>
          <w:szCs w:val="16"/>
          <w:u w:val="single"/>
          <w:lang w:val="es-ES_tradnl"/>
        </w:rPr>
        <w:t>, marginalizados en el goce de los derechos</w:t>
      </w:r>
      <w:r w:rsidRPr="00470C7C">
        <w:rPr>
          <w:rFonts w:eastAsia="Cambria" w:cs="Times New Roman"/>
          <w:i/>
          <w:sz w:val="16"/>
          <w:szCs w:val="16"/>
          <w:lang w:val="es-ES_tradnl"/>
        </w:rPr>
        <w:t xml:space="preserve"> que el Tribunal declara violados en esta Sentencia. </w:t>
      </w:r>
      <w:r w:rsidRPr="00470C7C">
        <w:rPr>
          <w:rFonts w:eastAsia="Cambria" w:cs="Times New Roman"/>
          <w:i/>
          <w:sz w:val="16"/>
          <w:szCs w:val="16"/>
          <w:u w:val="single"/>
          <w:lang w:val="es-ES_tradnl"/>
        </w:rPr>
        <w:t>Asimismo, se evidencia que el Estado no ha adoptado las medidas positivas necesarias para revertir tal exclusión.</w:t>
      </w:r>
      <w:r w:rsidRPr="00470C7C">
        <w:rPr>
          <w:rFonts w:eastAsia="Cambria" w:cs="Times New Roman"/>
          <w:i/>
          <w:sz w:val="16"/>
          <w:szCs w:val="20"/>
          <w:vertAlign w:val="superscript"/>
          <w:lang w:val="es-ES_tradnl"/>
        </w:rPr>
        <w:footnoteReference w:id="636"/>
      </w:r>
      <w:r w:rsidRPr="00470C7C">
        <w:rPr>
          <w:rFonts w:eastAsia="Cambria" w:cs="Times New Roman"/>
          <w:i/>
          <w:sz w:val="16"/>
          <w:szCs w:val="16"/>
          <w:lang w:val="es-ES_tradnl"/>
        </w:rPr>
        <w:t xml:space="preserve">. </w:t>
      </w:r>
      <w:r w:rsidRPr="00470C7C">
        <w:rPr>
          <w:rFonts w:eastAsia="Cambria" w:cs="Times New Roman"/>
          <w:sz w:val="16"/>
          <w:szCs w:val="16"/>
          <w:lang w:val="es-ES_tradnl"/>
        </w:rPr>
        <w:t>(Énfasis añadido).</w:t>
      </w:r>
    </w:p>
    <w:p w14:paraId="14B1EB8A" w14:textId="77777777" w:rsidR="00130785" w:rsidRPr="00470C7C" w:rsidRDefault="00130785" w:rsidP="00130785">
      <w:pPr>
        <w:tabs>
          <w:tab w:val="clear" w:pos="4419"/>
          <w:tab w:val="clear" w:pos="8838"/>
        </w:tabs>
        <w:rPr>
          <w:rFonts w:eastAsia="MS Mincho" w:cs="Times New Roman"/>
          <w:i/>
          <w:sz w:val="16"/>
          <w:szCs w:val="16"/>
          <w:lang w:val="es-ES_tradnl" w:eastAsia="es-ES"/>
        </w:rPr>
      </w:pPr>
    </w:p>
    <w:p w14:paraId="08A5D212"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Cs w:val="20"/>
          <w:lang w:val="es-ES_tradnl"/>
        </w:rPr>
      </w:pPr>
      <w:r w:rsidRPr="00470C7C">
        <w:rPr>
          <w:rFonts w:eastAsia="Cambria" w:cs="Times New Roman"/>
          <w:szCs w:val="20"/>
          <w:lang w:val="es-ES_tradnl"/>
        </w:rPr>
        <w:t xml:space="preserve">En el caso </w:t>
      </w:r>
      <w:proofErr w:type="spellStart"/>
      <w:r w:rsidRPr="00470C7C">
        <w:rPr>
          <w:rFonts w:eastAsia="Cambria" w:cs="Times New Roman"/>
          <w:i/>
          <w:szCs w:val="20"/>
          <w:lang w:val="es-ES_tradnl"/>
        </w:rPr>
        <w:t>Atala</w:t>
      </w:r>
      <w:proofErr w:type="spellEnd"/>
      <w:r w:rsidRPr="00470C7C">
        <w:rPr>
          <w:rFonts w:eastAsia="Cambria" w:cs="Times New Roman"/>
          <w:i/>
          <w:szCs w:val="20"/>
          <w:lang w:val="es-ES_tradnl"/>
        </w:rPr>
        <w:t xml:space="preserve"> Riffo y niñas Vs. Chile</w:t>
      </w:r>
      <w:r w:rsidRPr="00470C7C">
        <w:rPr>
          <w:rFonts w:eastAsia="Cambria" w:cs="Times New Roman"/>
          <w:szCs w:val="20"/>
          <w:lang w:val="es-ES_tradnl"/>
        </w:rPr>
        <w:t xml:space="preserve">, de 2012, el Tribunal expresó respecto a la discriminación estructural que: </w:t>
      </w:r>
    </w:p>
    <w:p w14:paraId="5C78B436"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
    <w:p w14:paraId="1DA653E3" w14:textId="77777777" w:rsidR="00130785" w:rsidRPr="00470C7C" w:rsidRDefault="00130785" w:rsidP="00130785">
      <w:pPr>
        <w:tabs>
          <w:tab w:val="clear" w:pos="4419"/>
          <w:tab w:val="clear" w:pos="8838"/>
        </w:tabs>
        <w:ind w:left="708"/>
        <w:jc w:val="both"/>
        <w:rPr>
          <w:rFonts w:eastAsia="MS Mincho" w:cs="Times New Roman"/>
          <w:i/>
          <w:sz w:val="16"/>
          <w:szCs w:val="16"/>
          <w:lang w:val="es-ES_tradnl" w:eastAsia="es-ES"/>
        </w:rPr>
      </w:pPr>
      <w:r w:rsidRPr="00470C7C">
        <w:rPr>
          <w:rFonts w:eastAsia="MS Mincho" w:cs="Times New Roman"/>
          <w:i/>
          <w:sz w:val="16"/>
          <w:szCs w:val="16"/>
          <w:lang w:val="es-ES_tradnl" w:eastAsia="es-ES"/>
        </w:rPr>
        <w:t xml:space="preserve">92. En lo que respecta al argumento del Estado de que para la fecha de emisión de la sentencia de la Corte Suprema no habría existido un consenso respecto a la orientación sexual como categoría prohibida de discriminación, </w:t>
      </w:r>
      <w:r w:rsidRPr="00470C7C">
        <w:rPr>
          <w:rFonts w:eastAsia="MS Mincho" w:cs="Times New Roman"/>
          <w:i/>
          <w:sz w:val="16"/>
          <w:szCs w:val="16"/>
          <w:u w:val="single"/>
          <w:lang w:val="es-ES_tradnl" w:eastAsia="es-ES"/>
        </w:rPr>
        <w:t>la Corte resalta que la presunta falta de un consenso al interior de algunos países sobre el respeto pleno por los derechos de las minorías sexuales no puede ser considerado</w:t>
      </w:r>
      <w:r w:rsidRPr="00470C7C">
        <w:rPr>
          <w:rFonts w:eastAsia="MS Mincho" w:cs="Times New Roman"/>
          <w:i/>
          <w:sz w:val="16"/>
          <w:szCs w:val="16"/>
          <w:lang w:val="es-ES_tradnl" w:eastAsia="es-ES"/>
        </w:rPr>
        <w:t xml:space="preserve"> como un argumento válido para negarles o restringirles sus derechos humanos o </w:t>
      </w:r>
      <w:r w:rsidRPr="00470C7C">
        <w:rPr>
          <w:rFonts w:eastAsia="MS Mincho" w:cs="Times New Roman"/>
          <w:i/>
          <w:sz w:val="16"/>
          <w:szCs w:val="16"/>
          <w:u w:val="single"/>
          <w:lang w:val="es-ES_tradnl" w:eastAsia="es-ES"/>
        </w:rPr>
        <w:t>para perpetuar y reproducir la discriminación histórica y estructural que estas minorías han sufrido</w:t>
      </w:r>
      <w:r w:rsidRPr="00470C7C">
        <w:rPr>
          <w:rFonts w:eastAsia="MS Mincho" w:cs="Times New Roman"/>
          <w:i/>
          <w:sz w:val="16"/>
          <w:szCs w:val="16"/>
          <w:lang w:val="es-ES_tradnl" w:eastAsia="es-ES"/>
        </w:rPr>
        <w:t xml:space="preserve"> […]. </w:t>
      </w:r>
      <w:r w:rsidRPr="00470C7C">
        <w:rPr>
          <w:rFonts w:eastAsia="MS Mincho" w:cs="Times New Roman"/>
          <w:sz w:val="16"/>
          <w:szCs w:val="16"/>
          <w:lang w:val="es-ES_tradnl" w:eastAsia="es-ES"/>
        </w:rPr>
        <w:t>(Énfasis añadido).</w:t>
      </w:r>
    </w:p>
    <w:p w14:paraId="10ECDDE5" w14:textId="77777777" w:rsidR="00130785" w:rsidRPr="00470C7C" w:rsidRDefault="00130785" w:rsidP="00130785">
      <w:pPr>
        <w:tabs>
          <w:tab w:val="clear" w:pos="4419"/>
          <w:tab w:val="clear" w:pos="8838"/>
        </w:tabs>
        <w:ind w:left="708"/>
        <w:jc w:val="both"/>
        <w:rPr>
          <w:rFonts w:eastAsia="MS Mincho" w:cs="Times New Roman"/>
          <w:i/>
          <w:sz w:val="16"/>
          <w:szCs w:val="16"/>
          <w:lang w:val="es-ES_tradnl" w:eastAsia="es-ES"/>
        </w:rPr>
      </w:pPr>
    </w:p>
    <w:p w14:paraId="6A095708" w14:textId="77777777" w:rsidR="00130785" w:rsidRPr="00470C7C" w:rsidRDefault="00130785" w:rsidP="00130785">
      <w:pPr>
        <w:tabs>
          <w:tab w:val="clear" w:pos="4419"/>
          <w:tab w:val="clear" w:pos="8838"/>
        </w:tabs>
        <w:rPr>
          <w:rFonts w:eastAsia="MS Mincho" w:cs="Times New Roman"/>
          <w:i/>
          <w:sz w:val="16"/>
          <w:szCs w:val="16"/>
          <w:lang w:val="es-ES_tradnl" w:eastAsia="es-ES"/>
        </w:rPr>
      </w:pPr>
    </w:p>
    <w:p w14:paraId="035CBAA2" w14:textId="77777777" w:rsidR="00130785" w:rsidRPr="00470C7C" w:rsidRDefault="00130785" w:rsidP="008B0BCC">
      <w:pPr>
        <w:numPr>
          <w:ilvl w:val="0"/>
          <w:numId w:val="26"/>
        </w:numPr>
        <w:tabs>
          <w:tab w:val="clear" w:pos="4419"/>
          <w:tab w:val="clear" w:pos="8838"/>
        </w:tabs>
        <w:contextualSpacing/>
        <w:jc w:val="both"/>
        <w:rPr>
          <w:rFonts w:eastAsia="Cambria" w:cs="Times New Roman"/>
          <w:i/>
          <w:szCs w:val="20"/>
          <w:lang w:val="es-ES_tradnl"/>
        </w:rPr>
      </w:pPr>
      <w:r w:rsidRPr="00470C7C">
        <w:rPr>
          <w:rFonts w:eastAsia="Cambria" w:cs="Times New Roman"/>
          <w:szCs w:val="20"/>
        </w:rPr>
        <w:t>E</w:t>
      </w:r>
      <w:r w:rsidRPr="00470C7C">
        <w:rPr>
          <w:rFonts w:eastAsia="Cambria" w:cs="Times New Roman"/>
          <w:szCs w:val="20"/>
          <w:lang w:val="es-ES_tradnl"/>
        </w:rPr>
        <w:t xml:space="preserve">n cuanto a las reparaciones el Tribunal Interamericano en dicho caso consideró que: </w:t>
      </w:r>
    </w:p>
    <w:p w14:paraId="17707B79" w14:textId="77777777" w:rsidR="00130785" w:rsidRPr="00470C7C" w:rsidRDefault="00130785" w:rsidP="00130785">
      <w:pPr>
        <w:tabs>
          <w:tab w:val="clear" w:pos="4419"/>
          <w:tab w:val="clear" w:pos="8838"/>
        </w:tabs>
        <w:contextualSpacing/>
        <w:jc w:val="both"/>
        <w:rPr>
          <w:rFonts w:eastAsia="Cambria" w:cs="Times New Roman"/>
          <w:i/>
          <w:szCs w:val="20"/>
          <w:lang w:val="es-ES_tradnl"/>
        </w:rPr>
      </w:pPr>
    </w:p>
    <w:p w14:paraId="513D8149" w14:textId="77777777" w:rsidR="00130785" w:rsidRPr="00470C7C" w:rsidRDefault="00130785" w:rsidP="00130785">
      <w:pPr>
        <w:tabs>
          <w:tab w:val="clear" w:pos="4419"/>
          <w:tab w:val="clear" w:pos="8838"/>
        </w:tabs>
        <w:ind w:left="708"/>
        <w:jc w:val="both"/>
        <w:rPr>
          <w:rFonts w:eastAsia="MS Mincho" w:cs="Times New Roman"/>
          <w:i/>
          <w:sz w:val="16"/>
          <w:szCs w:val="16"/>
          <w:lang w:val="es-ES_tradnl" w:eastAsia="es-ES"/>
        </w:rPr>
      </w:pPr>
      <w:r w:rsidRPr="00470C7C">
        <w:rPr>
          <w:rFonts w:eastAsia="MS Mincho" w:cs="Times New Roman"/>
          <w:i/>
          <w:sz w:val="16"/>
          <w:szCs w:val="16"/>
          <w:lang w:val="es-ES_tradnl" w:eastAsia="es-ES"/>
        </w:rPr>
        <w:t xml:space="preserve">267. La Corte resalta que algunos actos discriminatorios analizados en capítulos previos </w:t>
      </w:r>
      <w:r w:rsidRPr="00470C7C">
        <w:rPr>
          <w:rFonts w:eastAsia="MS Mincho" w:cs="Times New Roman"/>
          <w:i/>
          <w:sz w:val="16"/>
          <w:szCs w:val="16"/>
          <w:u w:val="single"/>
          <w:lang w:val="es-ES_tradnl" w:eastAsia="es-ES"/>
        </w:rPr>
        <w:t>se relacionaron con la reproducción de estereotipos que están asociados a la discriminación estructural e histórica que han sufrido las minorías sexuales</w:t>
      </w:r>
      <w:r w:rsidRPr="00470C7C">
        <w:rPr>
          <w:rFonts w:eastAsia="MS Mincho" w:cs="Times New Roman"/>
          <w:i/>
          <w:sz w:val="16"/>
          <w:szCs w:val="16"/>
          <w:lang w:val="es-ES_tradnl" w:eastAsia="es-ES"/>
        </w:rPr>
        <w:t xml:space="preserve"> […], particularmente en cuestiones relacionadas con el acceso a la justicia y la aplicación del derecho interno. Por ello, algunas de </w:t>
      </w:r>
      <w:r w:rsidRPr="00470C7C">
        <w:rPr>
          <w:rFonts w:eastAsia="MS Mincho" w:cs="Times New Roman"/>
          <w:i/>
          <w:sz w:val="16"/>
          <w:szCs w:val="16"/>
          <w:u w:val="single"/>
          <w:lang w:val="es-ES_tradnl" w:eastAsia="es-ES"/>
        </w:rPr>
        <w:t>las reparaciones deben tener una vocación transformadora de dicha situación, de tal forma que las mismas tengan un efecto no solo sustitutivo sino también correctivo</w:t>
      </w:r>
      <w:r w:rsidRPr="00470C7C">
        <w:rPr>
          <w:rFonts w:eastAsia="MS Mincho" w:cs="Times New Roman"/>
          <w:i/>
          <w:sz w:val="16"/>
          <w:szCs w:val="16"/>
          <w:lang w:val="es-ES_tradnl" w:eastAsia="es-ES"/>
        </w:rPr>
        <w:t xml:space="preserve"> hacia cambios estructurales que desarticulen aquellos estereotipos y prácticas que perpetúan la discriminación contra la población LGTBI. (</w:t>
      </w:r>
      <w:r w:rsidRPr="00470C7C">
        <w:rPr>
          <w:rFonts w:eastAsia="MS Mincho" w:cs="Times New Roman"/>
          <w:sz w:val="16"/>
          <w:szCs w:val="16"/>
          <w:lang w:val="es-ES_tradnl" w:eastAsia="es-ES"/>
        </w:rPr>
        <w:t>Énfasis añadido)</w:t>
      </w:r>
      <w:r w:rsidRPr="00470C7C">
        <w:rPr>
          <w:rFonts w:eastAsia="MS Mincho" w:cs="Times New Roman"/>
          <w:sz w:val="16"/>
          <w:szCs w:val="20"/>
          <w:vertAlign w:val="superscript"/>
          <w:lang w:val="es-ES_tradnl" w:eastAsia="es-ES"/>
        </w:rPr>
        <w:footnoteReference w:id="637"/>
      </w:r>
      <w:r w:rsidRPr="00470C7C">
        <w:rPr>
          <w:rFonts w:eastAsia="MS Mincho" w:cs="Times New Roman"/>
          <w:sz w:val="16"/>
          <w:szCs w:val="16"/>
          <w:lang w:val="es-ES_tradnl" w:eastAsia="es-ES"/>
        </w:rPr>
        <w:t>.</w:t>
      </w:r>
      <w:r w:rsidRPr="00470C7C">
        <w:rPr>
          <w:rFonts w:eastAsia="MS Mincho" w:cs="Times New Roman"/>
          <w:i/>
          <w:sz w:val="16"/>
          <w:szCs w:val="16"/>
          <w:lang w:val="es-ES_tradnl" w:eastAsia="es-ES"/>
        </w:rPr>
        <w:t xml:space="preserve"> </w:t>
      </w:r>
    </w:p>
    <w:p w14:paraId="3F95AD6E" w14:textId="77777777" w:rsidR="00130785" w:rsidRPr="00470C7C" w:rsidRDefault="00130785" w:rsidP="00130785">
      <w:pPr>
        <w:tabs>
          <w:tab w:val="clear" w:pos="4419"/>
          <w:tab w:val="clear" w:pos="8838"/>
        </w:tabs>
        <w:rPr>
          <w:rFonts w:eastAsia="MS Mincho" w:cs="Times New Roman"/>
          <w:szCs w:val="20"/>
          <w:lang w:val="es-ES_tradnl" w:eastAsia="es-ES"/>
        </w:rPr>
      </w:pPr>
    </w:p>
    <w:p w14:paraId="6C2B1B9E" w14:textId="77777777" w:rsidR="00130785" w:rsidRPr="00470C7C" w:rsidRDefault="00130785" w:rsidP="008B0BCC">
      <w:pPr>
        <w:numPr>
          <w:ilvl w:val="0"/>
          <w:numId w:val="26"/>
        </w:numPr>
        <w:tabs>
          <w:tab w:val="clear" w:pos="4419"/>
          <w:tab w:val="clear" w:pos="8838"/>
        </w:tabs>
        <w:jc w:val="both"/>
        <w:rPr>
          <w:rFonts w:eastAsia="MS Mincho" w:cs="Times New Roman"/>
          <w:szCs w:val="20"/>
          <w:lang w:val="es-ES_tradnl" w:eastAsia="es-ES"/>
        </w:rPr>
      </w:pPr>
      <w:r w:rsidRPr="00470C7C">
        <w:rPr>
          <w:rFonts w:eastAsia="MS Mincho" w:cs="Times New Roman"/>
          <w:szCs w:val="20"/>
          <w:lang w:val="es-ES_tradnl" w:eastAsia="es-ES"/>
        </w:rPr>
        <w:t xml:space="preserve">Finalmente, en el caso </w:t>
      </w:r>
      <w:proofErr w:type="spellStart"/>
      <w:r w:rsidRPr="00470C7C">
        <w:rPr>
          <w:rFonts w:eastAsia="MS Mincho" w:cs="Times New Roman"/>
          <w:i/>
          <w:szCs w:val="20"/>
          <w:lang w:val="es-ES_tradnl" w:eastAsia="es-ES"/>
        </w:rPr>
        <w:t>Nadege</w:t>
      </w:r>
      <w:proofErr w:type="spellEnd"/>
      <w:r w:rsidRPr="00470C7C">
        <w:rPr>
          <w:rFonts w:eastAsia="MS Mincho" w:cs="Times New Roman"/>
          <w:i/>
          <w:szCs w:val="20"/>
          <w:lang w:val="es-ES_tradnl" w:eastAsia="es-ES"/>
        </w:rPr>
        <w:t xml:space="preserve"> </w:t>
      </w:r>
      <w:proofErr w:type="spellStart"/>
      <w:r w:rsidRPr="00470C7C">
        <w:rPr>
          <w:rFonts w:eastAsia="MS Mincho" w:cs="Times New Roman"/>
          <w:i/>
          <w:szCs w:val="20"/>
          <w:lang w:val="es-ES_tradnl" w:eastAsia="es-ES"/>
        </w:rPr>
        <w:t>Dorzema</w:t>
      </w:r>
      <w:proofErr w:type="spellEnd"/>
      <w:r w:rsidRPr="00470C7C">
        <w:rPr>
          <w:rFonts w:eastAsia="MS Mincho" w:cs="Times New Roman"/>
          <w:i/>
          <w:szCs w:val="20"/>
          <w:lang w:val="es-ES_tradnl" w:eastAsia="es-ES"/>
        </w:rPr>
        <w:t xml:space="preserve"> y otros Vs. República Dominicana</w:t>
      </w:r>
      <w:r w:rsidRPr="00470C7C">
        <w:rPr>
          <w:rFonts w:eastAsia="MS Mincho" w:cs="Times New Roman"/>
          <w:szCs w:val="20"/>
          <w:lang w:val="es-ES_tradnl" w:eastAsia="es-ES"/>
        </w:rPr>
        <w:t xml:space="preserve">, de 2012, sin pronunciarse sobre la discriminación estructural, consideró sobre la discriminación indirecta y de facto lo siguiente: </w:t>
      </w:r>
    </w:p>
    <w:p w14:paraId="4CCF6140" w14:textId="77777777" w:rsidR="00130785" w:rsidRPr="00470C7C" w:rsidRDefault="00130785" w:rsidP="00130785">
      <w:pPr>
        <w:tabs>
          <w:tab w:val="clear" w:pos="4419"/>
          <w:tab w:val="clear" w:pos="8838"/>
        </w:tabs>
        <w:rPr>
          <w:rFonts w:eastAsia="MS Mincho" w:cs="Times New Roman"/>
          <w:szCs w:val="20"/>
          <w:lang w:val="es-ES_tradnl" w:eastAsia="es-ES"/>
        </w:rPr>
      </w:pPr>
    </w:p>
    <w:p w14:paraId="4AD2C0F8" w14:textId="77777777" w:rsidR="00130785" w:rsidRPr="00470C7C" w:rsidRDefault="00130785" w:rsidP="00130785">
      <w:pPr>
        <w:tabs>
          <w:tab w:val="clear" w:pos="4419"/>
          <w:tab w:val="clear" w:pos="8838"/>
        </w:tabs>
        <w:ind w:left="708"/>
        <w:contextualSpacing/>
        <w:jc w:val="both"/>
        <w:rPr>
          <w:rFonts w:eastAsia="Cambria" w:cs="Times New Roman"/>
          <w:sz w:val="16"/>
          <w:szCs w:val="16"/>
          <w:lang w:val="es-ES_tradnl"/>
        </w:rPr>
      </w:pPr>
      <w:r w:rsidRPr="00470C7C">
        <w:rPr>
          <w:rFonts w:eastAsia="Cambria" w:cs="Times New Roman"/>
          <w:i/>
          <w:sz w:val="16"/>
          <w:szCs w:val="16"/>
          <w:lang w:val="es-ES_tradnl"/>
        </w:rPr>
        <w:t xml:space="preserve">235. </w:t>
      </w:r>
      <w:r w:rsidRPr="00470C7C">
        <w:rPr>
          <w:rFonts w:eastAsia="Cambria" w:cs="Times New Roman"/>
          <w:i/>
          <w:sz w:val="16"/>
          <w:szCs w:val="16"/>
          <w:u w:val="single"/>
          <w:lang w:val="es-ES_tradnl"/>
        </w:rPr>
        <w:t>La Corte estima que una violación del derecho a la igualdad y no discriminación se produce también ante situaciones y casos de discriminación indirecta</w:t>
      </w:r>
      <w:r w:rsidRPr="00470C7C">
        <w:rPr>
          <w:rFonts w:eastAsia="Cambria" w:cs="Times New Roman"/>
          <w:sz w:val="16"/>
          <w:szCs w:val="16"/>
          <w:lang w:val="es-ES_tradnl"/>
        </w:rPr>
        <w:t xml:space="preserve"> […]. </w:t>
      </w:r>
    </w:p>
    <w:p w14:paraId="1241D971" w14:textId="77777777" w:rsidR="00130785" w:rsidRPr="00470C7C" w:rsidRDefault="00130785" w:rsidP="00130785">
      <w:pPr>
        <w:tabs>
          <w:tab w:val="clear" w:pos="4419"/>
          <w:tab w:val="clear" w:pos="8838"/>
        </w:tabs>
        <w:ind w:left="708"/>
        <w:contextualSpacing/>
        <w:jc w:val="both"/>
        <w:rPr>
          <w:rFonts w:eastAsia="Cambria" w:cs="Times New Roman"/>
          <w:sz w:val="16"/>
          <w:szCs w:val="16"/>
          <w:lang w:val="es-ES_tradnl"/>
        </w:rPr>
      </w:pPr>
    </w:p>
    <w:p w14:paraId="033F7462" w14:textId="77777777" w:rsidR="00130785" w:rsidRPr="00470C7C" w:rsidRDefault="00130785" w:rsidP="00130785">
      <w:pPr>
        <w:tabs>
          <w:tab w:val="clear" w:pos="4419"/>
          <w:tab w:val="clear" w:pos="8838"/>
        </w:tabs>
        <w:ind w:left="708"/>
        <w:contextualSpacing/>
        <w:jc w:val="both"/>
        <w:rPr>
          <w:rFonts w:eastAsia="Cambria" w:cs="Times New Roman"/>
          <w:i/>
          <w:sz w:val="16"/>
          <w:szCs w:val="16"/>
          <w:lang w:val="es-ES_tradnl"/>
        </w:rPr>
      </w:pPr>
      <w:r w:rsidRPr="00470C7C">
        <w:rPr>
          <w:rFonts w:eastAsia="Cambria" w:cs="Times New Roman"/>
          <w:i/>
          <w:sz w:val="16"/>
          <w:szCs w:val="16"/>
          <w:lang w:val="es-ES_tradnl"/>
        </w:rPr>
        <w:t xml:space="preserve">237. Por tanto la Corte observa que, en el presente caso, la situación de especial vulnerabilidad de los migrantes haitianos se debió́, </w:t>
      </w:r>
      <w:r w:rsidRPr="00470C7C">
        <w:rPr>
          <w:rFonts w:eastAsia="Cambria" w:cs="Times New Roman"/>
          <w:i/>
          <w:iCs/>
          <w:sz w:val="16"/>
          <w:szCs w:val="16"/>
          <w:lang w:val="es-ES_tradnl"/>
        </w:rPr>
        <w:t xml:space="preserve">inter </w:t>
      </w:r>
      <w:proofErr w:type="spellStart"/>
      <w:r w:rsidRPr="00470C7C">
        <w:rPr>
          <w:rFonts w:eastAsia="Cambria" w:cs="Times New Roman"/>
          <w:i/>
          <w:iCs/>
          <w:sz w:val="16"/>
          <w:szCs w:val="16"/>
          <w:lang w:val="es-ES_tradnl"/>
        </w:rPr>
        <w:t>alia</w:t>
      </w:r>
      <w:proofErr w:type="spellEnd"/>
      <w:r w:rsidRPr="00470C7C">
        <w:rPr>
          <w:rFonts w:eastAsia="Cambria" w:cs="Times New Roman"/>
          <w:i/>
          <w:iCs/>
          <w:sz w:val="16"/>
          <w:szCs w:val="16"/>
          <w:lang w:val="es-ES_tradnl"/>
        </w:rPr>
        <w:t xml:space="preserve">, </w:t>
      </w:r>
      <w:r w:rsidRPr="00470C7C">
        <w:rPr>
          <w:rFonts w:eastAsia="Cambria" w:cs="Times New Roman"/>
          <w:i/>
          <w:sz w:val="16"/>
          <w:szCs w:val="16"/>
          <w:lang w:val="es-ES_tradnl"/>
        </w:rPr>
        <w:t xml:space="preserve">a: i) la falta de medidas preventivas para enfrentar de manera adecuada situaciones relacionadas con el control migratorio en la frontera terrestre con Haití́ y en consideración de su situación de vulnerabilidad; </w:t>
      </w:r>
      <w:proofErr w:type="spellStart"/>
      <w:r w:rsidRPr="00470C7C">
        <w:rPr>
          <w:rFonts w:eastAsia="Cambria" w:cs="Times New Roman"/>
          <w:i/>
          <w:sz w:val="16"/>
          <w:szCs w:val="16"/>
          <w:lang w:val="es-ES_tradnl"/>
        </w:rPr>
        <w:t>ii</w:t>
      </w:r>
      <w:proofErr w:type="spellEnd"/>
      <w:r w:rsidRPr="00470C7C">
        <w:rPr>
          <w:rFonts w:eastAsia="Cambria" w:cs="Times New Roman"/>
          <w:i/>
          <w:sz w:val="16"/>
          <w:szCs w:val="16"/>
          <w:lang w:val="es-ES_tradnl"/>
        </w:rPr>
        <w:t xml:space="preserve">) la violencia desplegada a través del uso ilegitimo y desproporcionado de la fuerza en contra de personas migrantes desarmadas; </w:t>
      </w:r>
      <w:proofErr w:type="spellStart"/>
      <w:r w:rsidRPr="00470C7C">
        <w:rPr>
          <w:rFonts w:eastAsia="Cambria" w:cs="Times New Roman"/>
          <w:i/>
          <w:sz w:val="16"/>
          <w:szCs w:val="16"/>
          <w:lang w:val="es-ES_tradnl"/>
        </w:rPr>
        <w:t>iii</w:t>
      </w:r>
      <w:proofErr w:type="spellEnd"/>
      <w:r w:rsidRPr="00470C7C">
        <w:rPr>
          <w:rFonts w:eastAsia="Cambria" w:cs="Times New Roman"/>
          <w:i/>
          <w:sz w:val="16"/>
          <w:szCs w:val="16"/>
          <w:lang w:val="es-ES_tradnl"/>
        </w:rPr>
        <w:t xml:space="preserve">) la falta de investigación con motivo de dicha violencia, la falta de declaraciones y participación de las víctimas en el proceso penal y la impunidad de los hechos; </w:t>
      </w:r>
      <w:proofErr w:type="spellStart"/>
      <w:r w:rsidRPr="00470C7C">
        <w:rPr>
          <w:rFonts w:eastAsia="Cambria" w:cs="Times New Roman"/>
          <w:i/>
          <w:sz w:val="16"/>
          <w:szCs w:val="16"/>
          <w:lang w:val="es-ES_tradnl"/>
        </w:rPr>
        <w:t>iv</w:t>
      </w:r>
      <w:proofErr w:type="spellEnd"/>
      <w:r w:rsidRPr="00470C7C">
        <w:rPr>
          <w:rFonts w:eastAsia="Cambria" w:cs="Times New Roman"/>
          <w:i/>
          <w:sz w:val="16"/>
          <w:szCs w:val="16"/>
          <w:lang w:val="es-ES_tradnl"/>
        </w:rPr>
        <w:t>) las detenciones y expulsión colectiva sin las debidas garantías; v) la falta de una atención y tratamiento médico adecuado a las víctimas heridas, y vi) el tratamiento denigrante a los cadáveres y la falta de su entrega a los familiares.</w:t>
      </w:r>
    </w:p>
    <w:p w14:paraId="34608D26" w14:textId="77777777" w:rsidR="00130785" w:rsidRPr="00470C7C" w:rsidRDefault="00130785" w:rsidP="00130785">
      <w:pPr>
        <w:tabs>
          <w:tab w:val="clear" w:pos="4419"/>
          <w:tab w:val="clear" w:pos="8838"/>
        </w:tabs>
        <w:ind w:left="708"/>
        <w:contextualSpacing/>
        <w:jc w:val="both"/>
        <w:rPr>
          <w:rFonts w:eastAsia="Cambria" w:cs="Times New Roman"/>
          <w:i/>
          <w:sz w:val="16"/>
          <w:szCs w:val="16"/>
          <w:lang w:val="es-ES_tradnl"/>
        </w:rPr>
      </w:pPr>
    </w:p>
    <w:p w14:paraId="7713B176" w14:textId="77777777" w:rsidR="00130785" w:rsidRPr="00470C7C" w:rsidRDefault="00130785" w:rsidP="00130785">
      <w:pPr>
        <w:tabs>
          <w:tab w:val="clear" w:pos="4419"/>
          <w:tab w:val="clear" w:pos="8838"/>
        </w:tabs>
        <w:ind w:left="708"/>
        <w:contextualSpacing/>
        <w:jc w:val="both"/>
        <w:rPr>
          <w:rFonts w:eastAsia="Cambria" w:cs="Times New Roman"/>
          <w:i/>
          <w:sz w:val="16"/>
          <w:szCs w:val="16"/>
          <w:lang w:val="es-ES_tradnl"/>
        </w:rPr>
      </w:pPr>
      <w:r w:rsidRPr="00470C7C">
        <w:rPr>
          <w:rFonts w:eastAsia="Cambria" w:cs="Times New Roman"/>
          <w:i/>
          <w:sz w:val="16"/>
          <w:szCs w:val="16"/>
          <w:u w:val="single"/>
          <w:lang w:val="es-ES_tradnl"/>
        </w:rPr>
        <w:t xml:space="preserve">238. Todo lo anterior evidencia que, en el presente caso, existió́ una discriminación </w:t>
      </w:r>
      <w:r w:rsidRPr="00470C7C">
        <w:rPr>
          <w:rFonts w:eastAsia="Cambria" w:cs="Times New Roman"/>
          <w:i/>
          <w:iCs/>
          <w:sz w:val="16"/>
          <w:szCs w:val="16"/>
          <w:u w:val="single"/>
          <w:lang w:val="es-ES_tradnl"/>
        </w:rPr>
        <w:t xml:space="preserve">de facto </w:t>
      </w:r>
      <w:r w:rsidRPr="00470C7C">
        <w:rPr>
          <w:rFonts w:eastAsia="Cambria" w:cs="Times New Roman"/>
          <w:i/>
          <w:sz w:val="16"/>
          <w:szCs w:val="16"/>
          <w:u w:val="single"/>
          <w:lang w:val="es-ES_tradnl"/>
        </w:rPr>
        <w:t>en perjuicio de las víctimas del caso por su condición de migrantes, lo cual derivó en una marginalización en el goce de los derechos que la Corte declaró violados en esta Sentencia</w:t>
      </w:r>
      <w:r w:rsidRPr="00470C7C">
        <w:rPr>
          <w:rFonts w:eastAsia="Cambria" w:cs="Times New Roman"/>
          <w:i/>
          <w:sz w:val="16"/>
          <w:szCs w:val="16"/>
          <w:lang w:val="es-ES_tradnl"/>
        </w:rPr>
        <w:t>. Por tanto, la Corte concluye que el Estado no respetó ni garantizó los derechos de los migrantes haitianos sin discriminación, en contravención del artículo 1.1 de la Convención Americana en relación con los artículos 2, 4, 5, 7, 8, 22.9 y 25 de la misma</w:t>
      </w:r>
      <w:r w:rsidRPr="00470C7C">
        <w:rPr>
          <w:rFonts w:eastAsia="Cambria" w:cs="Times New Roman"/>
          <w:i/>
          <w:sz w:val="16"/>
          <w:szCs w:val="20"/>
          <w:vertAlign w:val="superscript"/>
          <w:lang w:val="es-ES_tradnl"/>
        </w:rPr>
        <w:footnoteReference w:id="638"/>
      </w:r>
      <w:r w:rsidRPr="00470C7C">
        <w:rPr>
          <w:rFonts w:eastAsia="Cambria" w:cs="Times New Roman"/>
          <w:i/>
          <w:sz w:val="16"/>
          <w:szCs w:val="16"/>
          <w:lang w:val="es-ES_tradnl"/>
        </w:rPr>
        <w:t xml:space="preserve">. </w:t>
      </w:r>
      <w:r w:rsidRPr="00470C7C">
        <w:rPr>
          <w:rFonts w:eastAsia="Cambria" w:cs="Times New Roman"/>
          <w:sz w:val="16"/>
          <w:szCs w:val="16"/>
          <w:lang w:val="es-ES_tradnl"/>
        </w:rPr>
        <w:t>(Énfasis añadido).</w:t>
      </w:r>
    </w:p>
    <w:p w14:paraId="498BF7B9" w14:textId="77777777" w:rsidR="00130785" w:rsidRPr="00470C7C" w:rsidRDefault="00130785" w:rsidP="00130785">
      <w:pPr>
        <w:tabs>
          <w:tab w:val="clear" w:pos="4419"/>
          <w:tab w:val="clear" w:pos="8838"/>
        </w:tabs>
        <w:rPr>
          <w:rFonts w:eastAsia="MS Mincho" w:cs="Times New Roman"/>
          <w:i/>
          <w:sz w:val="16"/>
          <w:szCs w:val="16"/>
          <w:lang w:val="es-ES_tradnl" w:eastAsia="es-ES"/>
        </w:rPr>
      </w:pPr>
    </w:p>
    <w:p w14:paraId="19AB57CA"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Arial"/>
          <w:szCs w:val="20"/>
          <w:lang w:val="es-ES_tradnl"/>
        </w:rPr>
        <w:t xml:space="preserve">Así, la Corte IDH ha evaluado el impacto que tiene la discriminación indirecta en contextos de discriminación </w:t>
      </w:r>
      <w:r w:rsidRPr="00470C7C">
        <w:rPr>
          <w:rFonts w:eastAsia="Cambria" w:cs="Arial"/>
          <w:i/>
          <w:szCs w:val="20"/>
          <w:lang w:val="es-ES_tradnl"/>
        </w:rPr>
        <w:t>de</w:t>
      </w:r>
      <w:r w:rsidRPr="00470C7C">
        <w:rPr>
          <w:rFonts w:eastAsia="Cambria" w:cs="Arial"/>
          <w:szCs w:val="20"/>
          <w:lang w:val="es-ES_tradnl"/>
        </w:rPr>
        <w:t xml:space="preserve"> </w:t>
      </w:r>
      <w:r w:rsidRPr="00470C7C">
        <w:rPr>
          <w:rFonts w:eastAsia="Cambria" w:cs="Arial"/>
          <w:i/>
          <w:szCs w:val="20"/>
          <w:lang w:val="es-ES_tradnl"/>
        </w:rPr>
        <w:t>facto</w:t>
      </w:r>
      <w:r w:rsidRPr="00470C7C">
        <w:rPr>
          <w:rFonts w:eastAsia="Cambria" w:cs="Times New Roman"/>
          <w:szCs w:val="20"/>
          <w:vertAlign w:val="superscript"/>
          <w:lang w:val="es-ES_tradnl"/>
        </w:rPr>
        <w:footnoteReference w:id="639"/>
      </w:r>
      <w:r w:rsidRPr="00470C7C">
        <w:rPr>
          <w:rFonts w:eastAsia="Cambria" w:cs="Arial"/>
          <w:szCs w:val="20"/>
          <w:lang w:val="es-ES_tradnl"/>
        </w:rPr>
        <w:t xml:space="preserve">. De esta forma, la discriminación indirecta (o resultado) se configura cuando las normas y prácticas son aparentemente neutras, pero el resultado de su contenido o aplicación constituyen un impacto desproporcionado en personas o grupos de personas en situación de desventaja histórica justo en razón de esa desventaja; sin que exista una justificación objetiva y razonable, que se materializa con la existencia de factores estructurales y contextuales que deben ser analizados caso por caso. </w:t>
      </w:r>
    </w:p>
    <w:p w14:paraId="5D53A338"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6CA97614"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estos cuatro casos el Tribunal Interamericano ha reconocido la existencia de factores estructurales, indirectos o de hecho en el goce y ejercicio de algunos derechos contemplados en la Convención Americana. En este sentido, el principio de igualdad entendido como prohibición de discriminación es una concepción limitada para algunas situaciones que se basan en discriminaciones indirectas que tienen su fundamento en circunstancias de </w:t>
      </w:r>
      <w:r w:rsidRPr="00470C7C">
        <w:rPr>
          <w:rFonts w:eastAsia="Cambria" w:cs="Times New Roman"/>
          <w:i/>
          <w:szCs w:val="20"/>
          <w:lang w:val="es-ES_tradnl"/>
        </w:rPr>
        <w:t>facto</w:t>
      </w:r>
      <w:r w:rsidRPr="00470C7C">
        <w:rPr>
          <w:rFonts w:eastAsia="Cambria" w:cs="Times New Roman"/>
          <w:szCs w:val="20"/>
          <w:lang w:val="es-ES_tradnl"/>
        </w:rPr>
        <w:t xml:space="preserve">; de esta manera resulta necesario entender la no discriminación a la luz de una situación de desventaja que presentan algunos grupos y por lo tanto los pueden someter a condiciones históricas de discriminación, que en ocasiones se encuentran avaladas por la sociedad. </w:t>
      </w:r>
      <w:r w:rsidRPr="00470C7C">
        <w:rPr>
          <w:rFonts w:eastAsia="Cambria" w:cs="Arial"/>
          <w:lang w:val="es-ES_tradnl"/>
        </w:rPr>
        <w:t xml:space="preserve">Los elementos estructurales y contextuales que se producen por la discriminación indirecta </w:t>
      </w:r>
      <w:proofErr w:type="gramStart"/>
      <w:r w:rsidRPr="00470C7C">
        <w:rPr>
          <w:rFonts w:eastAsia="Cambria" w:cs="Arial"/>
          <w:lang w:val="es-ES_tradnl"/>
        </w:rPr>
        <w:t>o</w:t>
      </w:r>
      <w:proofErr w:type="gramEnd"/>
      <w:r w:rsidRPr="00470C7C">
        <w:rPr>
          <w:rFonts w:eastAsia="Cambria" w:cs="Arial"/>
          <w:lang w:val="es-ES_tradnl"/>
        </w:rPr>
        <w:t xml:space="preserve"> de hecho, permiten determinar si a la luz del artículo 1.1 de la Convención Americana un grupo determinado de personas está frente a una situación de discriminación estructural. </w:t>
      </w:r>
    </w:p>
    <w:p w14:paraId="3C23DC32" w14:textId="77777777" w:rsidR="00130785" w:rsidRPr="00470C7C" w:rsidRDefault="00130785" w:rsidP="00130785">
      <w:pPr>
        <w:tabs>
          <w:tab w:val="clear" w:pos="4419"/>
          <w:tab w:val="clear" w:pos="8838"/>
        </w:tabs>
        <w:rPr>
          <w:rFonts w:eastAsia="MS Mincho" w:cs="Arial"/>
          <w:sz w:val="24"/>
          <w:szCs w:val="24"/>
          <w:lang w:val="es-ES_tradnl" w:eastAsia="es-ES"/>
        </w:rPr>
      </w:pPr>
    </w:p>
    <w:p w14:paraId="46C3389D"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Arial"/>
          <w:lang w:val="es-ES_tradnl"/>
        </w:rPr>
        <w:t>Estos son algunos elementos que deben ser tomados en consideración, a modo enunciativo más no limitativo, para determinar si derivado del contexto o patrones colectivos o masivos estamos frente a una discriminación estructural. En este sentido, los casos mencionados han tenido en consideración que se trata de: i) un grupo o grupos de personas que tienen características inmutables o inmodificables por la propia voluntad de la persona o bien que están relacionados</w:t>
      </w:r>
      <w:r w:rsidRPr="00470C7C">
        <w:rPr>
          <w:rFonts w:eastAsia="Cambria" w:cs="System Font Regular"/>
          <w:szCs w:val="20"/>
          <w:lang w:val="es-ES_tradnl"/>
        </w:rPr>
        <w:t xml:space="preserve"> </w:t>
      </w:r>
      <w:r w:rsidRPr="00470C7C">
        <w:rPr>
          <w:rFonts w:eastAsia="Cambria" w:cs="Arial"/>
          <w:lang w:val="es-ES_tradnl"/>
        </w:rPr>
        <w:t xml:space="preserve">a factores históricos de prácticas discriminatorias, pudiendo ser este grupo de personas minoría o mayoría; </w:t>
      </w:r>
      <w:proofErr w:type="spellStart"/>
      <w:r w:rsidRPr="00470C7C">
        <w:rPr>
          <w:rFonts w:eastAsia="Cambria" w:cs="Arial"/>
          <w:lang w:val="es-ES_tradnl"/>
        </w:rPr>
        <w:t>ii</w:t>
      </w:r>
      <w:proofErr w:type="spellEnd"/>
      <w:r w:rsidRPr="00470C7C">
        <w:rPr>
          <w:rFonts w:eastAsia="Cambria" w:cs="Arial"/>
          <w:lang w:val="es-ES_tradnl"/>
        </w:rPr>
        <w:t xml:space="preserve">) que estos grupos se han encontrado en una situación sistemática e histórica de exclusión, marginación o subordinación que les impiden acceder a condiciones básicas de desarrollo humano; </w:t>
      </w:r>
      <w:proofErr w:type="spellStart"/>
      <w:r w:rsidRPr="00470C7C">
        <w:rPr>
          <w:rFonts w:eastAsia="Cambria" w:cs="Arial"/>
          <w:lang w:val="es-ES_tradnl"/>
        </w:rPr>
        <w:t>iii</w:t>
      </w:r>
      <w:proofErr w:type="spellEnd"/>
      <w:r w:rsidRPr="00470C7C">
        <w:rPr>
          <w:rFonts w:eastAsia="Cambria" w:cs="Arial"/>
          <w:lang w:val="es-ES_tradnl"/>
        </w:rPr>
        <w:t xml:space="preserve">) que la situación de exclusión, marginación o subordinación se centra en una zona geográfica determinada o bien puede ser generalizada en todo el territorio de un Estado que en algunos casos puede ser intergeneracional, y </w:t>
      </w:r>
      <w:proofErr w:type="spellStart"/>
      <w:r w:rsidRPr="00470C7C">
        <w:rPr>
          <w:rFonts w:eastAsia="Cambria" w:cs="Arial"/>
          <w:lang w:val="es-ES_tradnl"/>
        </w:rPr>
        <w:t>iv</w:t>
      </w:r>
      <w:proofErr w:type="spellEnd"/>
      <w:r w:rsidRPr="00470C7C">
        <w:rPr>
          <w:rFonts w:eastAsia="Cambria" w:cs="Arial"/>
          <w:lang w:val="es-ES_tradnl"/>
        </w:rPr>
        <w:t xml:space="preserve">) que las personas pertenecientes a estos grupos, sin importar la intención de la norma, la neutralidad o la mención expresa de alguna distinción o restricción explícita basada en las enunciaciones e interpretaciones del artículo 1.1 de la Convención Americana, son víctimas de discriminación indirecta o bien de discriminación </w:t>
      </w:r>
      <w:r w:rsidRPr="00470C7C">
        <w:rPr>
          <w:rFonts w:eastAsia="Cambria" w:cs="Arial"/>
          <w:i/>
          <w:lang w:val="es-ES_tradnl"/>
        </w:rPr>
        <w:t>de</w:t>
      </w:r>
      <w:r w:rsidRPr="00470C7C">
        <w:rPr>
          <w:rFonts w:eastAsia="Cambria" w:cs="Arial"/>
          <w:lang w:val="es-ES_tradnl"/>
        </w:rPr>
        <w:t xml:space="preserve"> </w:t>
      </w:r>
      <w:r w:rsidRPr="00470C7C">
        <w:rPr>
          <w:rFonts w:eastAsia="Cambria" w:cs="Arial"/>
          <w:i/>
          <w:lang w:val="es-ES_tradnl"/>
        </w:rPr>
        <w:t>facto,</w:t>
      </w:r>
      <w:r w:rsidRPr="00470C7C">
        <w:rPr>
          <w:rFonts w:eastAsia="Cambria" w:cs="Arial"/>
          <w:lang w:val="es-ES_tradnl"/>
        </w:rPr>
        <w:t xml:space="preserve"> por las actuaciones o aplicación de medidas o acciones implementadas por el Estado.</w:t>
      </w:r>
    </w:p>
    <w:p w14:paraId="4A5FBFB1" w14:textId="77777777" w:rsidR="00130785" w:rsidRPr="00470C7C" w:rsidRDefault="00130785" w:rsidP="00130785">
      <w:pPr>
        <w:tabs>
          <w:tab w:val="clear" w:pos="4419"/>
          <w:tab w:val="clear" w:pos="8838"/>
        </w:tabs>
        <w:contextualSpacing/>
        <w:jc w:val="both"/>
        <w:rPr>
          <w:rFonts w:eastAsia="Cambria" w:cs="System Font Regular"/>
          <w:szCs w:val="20"/>
          <w:lang w:val="es-ES_tradnl"/>
        </w:rPr>
      </w:pPr>
    </w:p>
    <w:p w14:paraId="5649CF47" w14:textId="77777777" w:rsidR="00130785" w:rsidRPr="00470C7C" w:rsidRDefault="00130785" w:rsidP="00130785">
      <w:pPr>
        <w:tabs>
          <w:tab w:val="clear" w:pos="4419"/>
          <w:tab w:val="clear" w:pos="8838"/>
        </w:tabs>
        <w:contextualSpacing/>
        <w:jc w:val="both"/>
        <w:rPr>
          <w:rFonts w:eastAsia="Cambria" w:cs="System Font Regular"/>
          <w:szCs w:val="20"/>
          <w:lang w:val="es-ES_tradnl"/>
        </w:rPr>
      </w:pPr>
    </w:p>
    <w:p w14:paraId="68A1B8CC" w14:textId="77777777" w:rsidR="00130785" w:rsidRPr="00470C7C" w:rsidRDefault="00130785" w:rsidP="00130785">
      <w:pPr>
        <w:tabs>
          <w:tab w:val="clear" w:pos="4419"/>
          <w:tab w:val="clear" w:pos="8838"/>
        </w:tabs>
        <w:spacing w:line="360" w:lineRule="auto"/>
        <w:contextualSpacing/>
        <w:jc w:val="center"/>
        <w:rPr>
          <w:rFonts w:eastAsia="Cambria" w:cs="Times New Roman"/>
          <w:szCs w:val="20"/>
          <w:lang w:val="es-ES_tradnl"/>
        </w:rPr>
      </w:pPr>
      <w:r w:rsidRPr="00470C7C">
        <w:rPr>
          <w:rFonts w:eastAsia="Cambria" w:cs="Times New Roman"/>
          <w:szCs w:val="20"/>
          <w:lang w:val="es-ES_tradnl"/>
        </w:rPr>
        <w:t xml:space="preserve">VI. EL ALCANCE DE LA DISCRIMINACIÓN ESTRUCTURAL HISTÓRICA EN EL CASO DE LOS TRABAJADORES DE LA HACIENDA BRASIL VERDE </w:t>
      </w:r>
    </w:p>
    <w:p w14:paraId="1F3B5A6E" w14:textId="77777777" w:rsidR="00130785" w:rsidRPr="00470C7C" w:rsidRDefault="00130785" w:rsidP="00130785">
      <w:pPr>
        <w:tabs>
          <w:tab w:val="clear" w:pos="4419"/>
          <w:tab w:val="clear" w:pos="8838"/>
        </w:tabs>
        <w:rPr>
          <w:rFonts w:eastAsia="MS Mincho" w:cs="System Font Regular"/>
          <w:sz w:val="24"/>
          <w:szCs w:val="24"/>
          <w:lang w:val="es-ES_tradnl" w:eastAsia="es-ES"/>
        </w:rPr>
      </w:pPr>
    </w:p>
    <w:p w14:paraId="4308EC27" w14:textId="77777777" w:rsidR="00130785" w:rsidRPr="00470C7C" w:rsidRDefault="00130785" w:rsidP="008B0BCC">
      <w:pPr>
        <w:numPr>
          <w:ilvl w:val="0"/>
          <w:numId w:val="26"/>
        </w:numPr>
        <w:tabs>
          <w:tab w:val="clear" w:pos="4419"/>
          <w:tab w:val="clear" w:pos="8838"/>
        </w:tabs>
        <w:contextualSpacing/>
        <w:jc w:val="both"/>
        <w:rPr>
          <w:rFonts w:eastAsia="Cambria" w:cs="Times New Roman"/>
          <w:lang w:val="es-ES_tradnl"/>
        </w:rPr>
      </w:pPr>
      <w:r w:rsidRPr="00470C7C">
        <w:rPr>
          <w:rFonts w:eastAsia="Cambria" w:cs="Times New Roman"/>
          <w:lang w:val="es-ES_tradnl"/>
        </w:rPr>
        <w:t>En el presente caso la Corte IDH dio por probado que el comercio de esclavos ha estado históricamente ligado al trabajo forzoso en Brasil</w:t>
      </w:r>
      <w:r w:rsidRPr="00470C7C">
        <w:rPr>
          <w:rFonts w:eastAsia="Cambria" w:cs="Times New Roman"/>
          <w:szCs w:val="20"/>
          <w:vertAlign w:val="superscript"/>
          <w:lang w:val="es-ES_tradnl"/>
        </w:rPr>
        <w:footnoteReference w:id="640"/>
      </w:r>
      <w:r w:rsidRPr="00470C7C">
        <w:rPr>
          <w:rFonts w:eastAsia="Cambria" w:cs="Times New Roman"/>
          <w:lang w:val="es-ES_tradnl"/>
        </w:rPr>
        <w:t>. Sin embargo, a pesar de haberse abolido la esclavitud (1888), la pobreza y la concentración de la propiedad de las tierras fueron causas estructurales que provocaron la continuación del trabajo esclavo en Brasil y al no tener tierras propias ni situaciones laborales estables muchos trabajadores en Brasil se sometían a situaciones de explotación aceptando el riesgo de caer en condiciones de trabajo inhumanas y degradantes. Para 2010 la OIT consideró que existían aproximadamente 25.000 personas sometidas a trabajo forzoso en territorio brasileño</w:t>
      </w:r>
      <w:r w:rsidRPr="00470C7C">
        <w:rPr>
          <w:rFonts w:eastAsia="Cambria" w:cs="Times New Roman"/>
          <w:szCs w:val="20"/>
          <w:vertAlign w:val="superscript"/>
          <w:lang w:val="es-ES_tradnl"/>
        </w:rPr>
        <w:footnoteReference w:id="641"/>
      </w:r>
      <w:r w:rsidRPr="00470C7C">
        <w:rPr>
          <w:rFonts w:eastAsia="Cambria" w:cs="Times New Roman"/>
          <w:lang w:val="es-ES_tradnl"/>
        </w:rPr>
        <w:t xml:space="preserve">.  Además, quedó probado que la mayor cantidad de víctimas de trabajo esclavo en Brasil son trabajadores originarios de las regiones de los estados que se caracterizan por ser los más pobres, con mayores índices de analfabetismo y de empleo rural (Maranhão, </w:t>
      </w:r>
      <w:proofErr w:type="spellStart"/>
      <w:r w:rsidRPr="00470C7C">
        <w:rPr>
          <w:rFonts w:eastAsia="Cambria" w:cs="Times New Roman"/>
          <w:lang w:val="es-ES_tradnl"/>
        </w:rPr>
        <w:t>Píauí</w:t>
      </w:r>
      <w:proofErr w:type="spellEnd"/>
      <w:r w:rsidRPr="00470C7C">
        <w:rPr>
          <w:rFonts w:eastAsia="Cambria" w:cs="Times New Roman"/>
          <w:lang w:val="es-ES_tradnl"/>
        </w:rPr>
        <w:t xml:space="preserve">, </w:t>
      </w:r>
      <w:proofErr w:type="spellStart"/>
      <w:r w:rsidRPr="00470C7C">
        <w:rPr>
          <w:rFonts w:eastAsia="Cambria" w:cs="Times New Roman"/>
          <w:lang w:val="es-ES_tradnl"/>
        </w:rPr>
        <w:t>Tocatins</w:t>
      </w:r>
      <w:proofErr w:type="spellEnd"/>
      <w:r w:rsidRPr="00470C7C">
        <w:rPr>
          <w:rFonts w:eastAsia="Cambria" w:cs="Times New Roman"/>
          <w:lang w:val="es-ES_tradnl"/>
        </w:rPr>
        <w:t>), entre otros. Los trabajadores de estos estados se dirigen a éstos con mayor demanda de trabajo esclavo: Pará, Mato Grosso y Tocantins</w:t>
      </w:r>
      <w:r w:rsidRPr="00470C7C">
        <w:rPr>
          <w:rFonts w:eastAsia="Cambria" w:cs="Times New Roman"/>
          <w:szCs w:val="20"/>
          <w:vertAlign w:val="superscript"/>
          <w:lang w:val="es-ES_tradnl"/>
        </w:rPr>
        <w:footnoteReference w:id="642"/>
      </w:r>
      <w:r w:rsidRPr="00470C7C">
        <w:rPr>
          <w:rFonts w:eastAsia="Cambria" w:cs="Times New Roman"/>
          <w:lang w:val="es-ES_tradnl"/>
        </w:rPr>
        <w:t>. Los trabajadores, en su mayoría hombres pobres afrodescendientes o morenos (mulatos) entre 18 y 40 años, son reclutados en sus estados de origen por los “gatos” para trabajar en Estados alejados, con la promesa de salarios atractivos</w:t>
      </w:r>
      <w:r w:rsidRPr="00470C7C">
        <w:rPr>
          <w:rFonts w:eastAsia="Cambria" w:cs="Times New Roman"/>
          <w:szCs w:val="20"/>
          <w:vertAlign w:val="superscript"/>
          <w:lang w:val="es-ES_tradnl"/>
        </w:rPr>
        <w:footnoteReference w:id="643"/>
      </w:r>
      <w:r w:rsidRPr="00470C7C">
        <w:rPr>
          <w:rFonts w:eastAsia="Cambria" w:cs="Times New Roman"/>
          <w:lang w:val="es-ES_tradnl"/>
        </w:rPr>
        <w:t xml:space="preserve">. </w:t>
      </w:r>
    </w:p>
    <w:p w14:paraId="485864DE" w14:textId="77777777" w:rsidR="00130785" w:rsidRPr="00470C7C" w:rsidRDefault="00130785" w:rsidP="00130785">
      <w:pPr>
        <w:tabs>
          <w:tab w:val="clear" w:pos="4419"/>
          <w:tab w:val="clear" w:pos="8838"/>
        </w:tabs>
        <w:contextualSpacing/>
        <w:jc w:val="both"/>
        <w:rPr>
          <w:rFonts w:eastAsia="Cambria" w:cs="Times New Roman"/>
          <w:lang w:val="es-ES_tradnl"/>
        </w:rPr>
      </w:pPr>
    </w:p>
    <w:p w14:paraId="0222642E" w14:textId="77777777" w:rsidR="00130785" w:rsidRPr="00470C7C" w:rsidRDefault="00130785" w:rsidP="008B0BCC">
      <w:pPr>
        <w:numPr>
          <w:ilvl w:val="0"/>
          <w:numId w:val="26"/>
        </w:numPr>
        <w:tabs>
          <w:tab w:val="clear" w:pos="4419"/>
          <w:tab w:val="clear" w:pos="8838"/>
        </w:tabs>
        <w:contextualSpacing/>
        <w:jc w:val="both"/>
        <w:rPr>
          <w:rFonts w:eastAsia="Cambria" w:cs="Times New Roman"/>
          <w:lang w:val="es-ES_tradnl"/>
        </w:rPr>
      </w:pPr>
      <w:r w:rsidRPr="00470C7C">
        <w:rPr>
          <w:rFonts w:eastAsia="Cambria" w:cs="Times New Roman"/>
          <w:lang w:val="es-ES_tradnl"/>
        </w:rPr>
        <w:t xml:space="preserve">En cuanto a la localización geográfica de las haciendas, </w:t>
      </w:r>
      <w:r w:rsidRPr="00470C7C">
        <w:rPr>
          <w:rFonts w:eastAsia="Cambria" w:cs="Times New Roman"/>
          <w:szCs w:val="20"/>
          <w:lang w:val="es-ES"/>
        </w:rPr>
        <w:t>la Corte IDH consideró que esta localización era por sí misma un elemento que limitaba la libertad de los trabajadores, puesto que muchas veces el acceso a centros urbanos era casi imposible, debido no solo a la distancia sino también a la precariedad de las vías de acceso</w:t>
      </w:r>
      <w:r w:rsidRPr="00470C7C">
        <w:rPr>
          <w:rFonts w:eastAsia="Cambria" w:cs="Times New Roman"/>
          <w:lang w:val="es-ES_tradnl"/>
        </w:rPr>
        <w:t>. De igual modo, debido a su extrema pobreza, su desesperación para trabajar y su situación de vulnerabilidad, aceptan condiciones de trabajo precarias</w:t>
      </w:r>
      <w:r w:rsidRPr="00470C7C">
        <w:rPr>
          <w:rFonts w:eastAsia="Cambria" w:cs="Times New Roman"/>
          <w:szCs w:val="20"/>
          <w:vertAlign w:val="superscript"/>
          <w:lang w:val="es-ES_tradnl"/>
        </w:rPr>
        <w:footnoteReference w:id="644"/>
      </w:r>
      <w:r w:rsidRPr="00470C7C">
        <w:rPr>
          <w:rFonts w:eastAsia="Cambria" w:cs="Times New Roman"/>
          <w:lang w:val="es-ES_tradnl"/>
        </w:rPr>
        <w:t>.</w:t>
      </w:r>
      <w:r w:rsidRPr="00470C7C">
        <w:rPr>
          <w:rFonts w:eastAsia="Cambria" w:cs="Times New Roman"/>
          <w:b/>
          <w:lang w:val="es-ES_tradnl"/>
        </w:rPr>
        <w:t xml:space="preserve"> </w:t>
      </w:r>
      <w:r w:rsidRPr="00470C7C">
        <w:rPr>
          <w:rFonts w:eastAsia="Cambria" w:cs="Times New Roman"/>
          <w:lang w:val="es-ES_tradnl"/>
        </w:rPr>
        <w:t>Respecto a las investigaciones por estos hechos, de acuerdo con la OIT la impunidad respecto al sometimiento a trabajo esclavo se debe a la articulación de los terratenientes con sectores de los poderes federales, estaduales y municipales de Brasil. Muchos terratenientes ejercen dominio e influencia en diferentes instancias del poder nacional, ya sea de forma directa e indirecta</w:t>
      </w:r>
      <w:r w:rsidRPr="00470C7C">
        <w:rPr>
          <w:rFonts w:eastAsia="Cambria" w:cs="Times New Roman"/>
          <w:szCs w:val="20"/>
          <w:vertAlign w:val="superscript"/>
          <w:lang w:val="es-ES_tradnl"/>
        </w:rPr>
        <w:footnoteReference w:id="645"/>
      </w:r>
      <w:r w:rsidRPr="00470C7C">
        <w:rPr>
          <w:rFonts w:eastAsia="Cambria" w:cs="Times New Roman"/>
          <w:lang w:val="es-ES_tradnl"/>
        </w:rPr>
        <w:t>.</w:t>
      </w:r>
      <w:r w:rsidRPr="00470C7C">
        <w:rPr>
          <w:rFonts w:eastAsia="Cambria" w:cs="Times New Roman"/>
          <w:b/>
          <w:lang w:val="es-ES_tradnl"/>
        </w:rPr>
        <w:t xml:space="preserve"> </w:t>
      </w:r>
      <w:r w:rsidRPr="00470C7C">
        <w:rPr>
          <w:rFonts w:eastAsia="Cambria" w:cs="Times New Roman"/>
          <w:lang w:val="es-ES_tradnl"/>
        </w:rPr>
        <w:t>La Hacienda Brasil Verde se encontraba en el Estado de Pará</w:t>
      </w:r>
      <w:r w:rsidRPr="00470C7C">
        <w:rPr>
          <w:rFonts w:eastAsia="Cambria" w:cs="Times New Roman"/>
          <w:szCs w:val="20"/>
          <w:vertAlign w:val="superscript"/>
          <w:lang w:val="es-ES_tradnl"/>
        </w:rPr>
        <w:footnoteReference w:id="646"/>
      </w:r>
      <w:r w:rsidRPr="00470C7C">
        <w:rPr>
          <w:rFonts w:eastAsia="Cambria" w:cs="Times New Roman"/>
          <w:lang w:val="es-ES_tradnl"/>
        </w:rPr>
        <w:t>.</w:t>
      </w:r>
      <w:r w:rsidRPr="00470C7C">
        <w:rPr>
          <w:rFonts w:eastAsia="Cambria" w:cs="Times New Roman"/>
          <w:b/>
          <w:lang w:val="es-ES_tradnl"/>
        </w:rPr>
        <w:t xml:space="preserve"> </w:t>
      </w:r>
    </w:p>
    <w:p w14:paraId="7C69EFC8" w14:textId="77777777" w:rsidR="00130785" w:rsidRPr="00470C7C" w:rsidRDefault="00130785" w:rsidP="00130785">
      <w:pPr>
        <w:tabs>
          <w:tab w:val="clear" w:pos="4419"/>
          <w:tab w:val="clear" w:pos="8838"/>
        </w:tabs>
        <w:contextualSpacing/>
        <w:jc w:val="both"/>
        <w:rPr>
          <w:rFonts w:eastAsia="Cambria" w:cs="Times New Roman"/>
          <w:lang w:val="es-ES_tradnl"/>
        </w:rPr>
      </w:pPr>
    </w:p>
    <w:p w14:paraId="0720B8E8" w14:textId="77777777" w:rsidR="00130785" w:rsidRPr="00470C7C" w:rsidRDefault="00130785" w:rsidP="008B0BCC">
      <w:pPr>
        <w:numPr>
          <w:ilvl w:val="0"/>
          <w:numId w:val="26"/>
        </w:numPr>
        <w:tabs>
          <w:tab w:val="clear" w:pos="4419"/>
          <w:tab w:val="clear" w:pos="8838"/>
        </w:tabs>
        <w:contextualSpacing/>
        <w:jc w:val="both"/>
        <w:rPr>
          <w:rFonts w:eastAsia="Cambria" w:cs="Times New Roman"/>
          <w:b/>
          <w:lang w:val="es-ES_tradnl"/>
        </w:rPr>
      </w:pPr>
      <w:r w:rsidRPr="00470C7C">
        <w:rPr>
          <w:rFonts w:eastAsia="Cambria" w:cs="Times New Roman"/>
          <w:lang w:val="es-ES_tradnl"/>
        </w:rPr>
        <w:t>La Corte declaró en la Sentencia que los trabajadores rescatados de la Hacienda Brasil Verde se encontraban en una situación de servidumbre por deuda y de sometimiento a trabajos forzosos y que existían factores que potencializaban su vulnerabilidad</w:t>
      </w:r>
      <w:r w:rsidRPr="00470C7C">
        <w:rPr>
          <w:rFonts w:eastAsia="Cambria" w:cs="Times New Roman"/>
          <w:szCs w:val="20"/>
          <w:vertAlign w:val="superscript"/>
          <w:lang w:val="es-ES_tradnl"/>
        </w:rPr>
        <w:footnoteReference w:id="647"/>
      </w:r>
      <w:r w:rsidRPr="00470C7C">
        <w:rPr>
          <w:rFonts w:eastAsia="Cambria" w:cs="Times New Roman"/>
          <w:lang w:val="es-ES_tradnl"/>
        </w:rPr>
        <w:t>.</w:t>
      </w:r>
      <w:r w:rsidRPr="00470C7C">
        <w:rPr>
          <w:rFonts w:eastAsia="Cambria" w:cs="Times New Roman"/>
          <w:b/>
          <w:lang w:val="es-ES_tradnl"/>
        </w:rPr>
        <w:t xml:space="preserve"> </w:t>
      </w:r>
      <w:r w:rsidRPr="00470C7C">
        <w:rPr>
          <w:rFonts w:eastAsia="Cambria" w:cs="Times New Roman"/>
          <w:lang w:val="es-ES_tradnl"/>
        </w:rPr>
        <w:t>El Tribunal también consideró que dados los hechos del presente caso y dadas las características específicas a las que fueron sometidos los 85 trabajadores rescatados en el año 2000, sobrepasaban los extremos de servidumbre por deudas y trabajo forzoso para llegar a cumplir con los elementos más estrictos de la definición de esclavitud establecida por la Corte</w:t>
      </w:r>
      <w:r w:rsidRPr="00470C7C">
        <w:rPr>
          <w:rFonts w:eastAsia="Cambria" w:cs="Times New Roman"/>
          <w:szCs w:val="20"/>
          <w:vertAlign w:val="superscript"/>
          <w:lang w:val="es-ES_tradnl"/>
        </w:rPr>
        <w:footnoteReference w:id="648"/>
      </w:r>
      <w:r w:rsidRPr="00470C7C">
        <w:rPr>
          <w:rFonts w:eastAsia="Cambria" w:cs="Times New Roman"/>
          <w:lang w:val="es-ES_tradnl"/>
        </w:rPr>
        <w:t>.</w:t>
      </w:r>
      <w:r w:rsidRPr="00470C7C">
        <w:rPr>
          <w:rFonts w:eastAsia="Cambria" w:cs="Times New Roman"/>
          <w:b/>
          <w:lang w:val="es-ES_tradnl"/>
        </w:rPr>
        <w:t xml:space="preserve"> </w:t>
      </w:r>
    </w:p>
    <w:p w14:paraId="0D626065" w14:textId="77777777" w:rsidR="00130785" w:rsidRPr="00470C7C" w:rsidRDefault="00130785" w:rsidP="00130785">
      <w:pPr>
        <w:tabs>
          <w:tab w:val="clear" w:pos="4419"/>
          <w:tab w:val="clear" w:pos="8838"/>
        </w:tabs>
        <w:contextualSpacing/>
        <w:jc w:val="both"/>
        <w:rPr>
          <w:rFonts w:eastAsia="MS Mincho" w:cs="System Font Regular"/>
          <w:i/>
          <w:szCs w:val="20"/>
          <w:lang w:val="es-ES_tradnl" w:eastAsia="es-ES"/>
        </w:rPr>
      </w:pPr>
    </w:p>
    <w:p w14:paraId="1218BA71" w14:textId="77777777" w:rsidR="00130785" w:rsidRPr="00470C7C" w:rsidRDefault="00130785" w:rsidP="008B0BCC">
      <w:pPr>
        <w:numPr>
          <w:ilvl w:val="0"/>
          <w:numId w:val="26"/>
        </w:numPr>
        <w:tabs>
          <w:tab w:val="clear" w:pos="4419"/>
          <w:tab w:val="clear" w:pos="8838"/>
        </w:tabs>
        <w:contextualSpacing/>
        <w:jc w:val="both"/>
        <w:rPr>
          <w:rFonts w:eastAsia="MS Mincho" w:cs="System Font Regular"/>
          <w:i/>
          <w:szCs w:val="20"/>
          <w:lang w:val="es-ES_tradnl" w:eastAsia="es-ES"/>
        </w:rPr>
      </w:pPr>
      <w:r w:rsidRPr="00470C7C">
        <w:rPr>
          <w:rFonts w:eastAsia="MS Mincho" w:cs="System Font Regular"/>
          <w:szCs w:val="20"/>
          <w:lang w:val="es-ES_tradnl" w:eastAsia="es-ES"/>
        </w:rPr>
        <w:t xml:space="preserve">El caso </w:t>
      </w:r>
      <w:r w:rsidRPr="00470C7C">
        <w:rPr>
          <w:rFonts w:eastAsia="MS Mincho" w:cs="System Font Regular"/>
          <w:i/>
          <w:szCs w:val="20"/>
          <w:lang w:val="es-ES_tradnl" w:eastAsia="es-ES"/>
        </w:rPr>
        <w:t xml:space="preserve">Trabajadores de la Hacienda Brasil Verde Vs. Brasil </w:t>
      </w:r>
      <w:r w:rsidRPr="00470C7C">
        <w:rPr>
          <w:rFonts w:eastAsia="MS Mincho" w:cs="System Font Regular"/>
          <w:szCs w:val="20"/>
          <w:lang w:val="es-ES_tradnl" w:eastAsia="es-ES"/>
        </w:rPr>
        <w:t xml:space="preserve">constituye la primera vez en la que Tribunal Interamericano reconoce la existencia de una </w:t>
      </w:r>
      <w:r w:rsidRPr="00470C7C">
        <w:rPr>
          <w:rFonts w:eastAsia="MS Mincho" w:cs="System Font Regular"/>
          <w:i/>
          <w:szCs w:val="20"/>
          <w:lang w:val="es-ES_tradnl" w:eastAsia="es-ES"/>
        </w:rPr>
        <w:t xml:space="preserve">discriminación estructural histórica </w:t>
      </w:r>
      <w:r w:rsidRPr="00470C7C">
        <w:rPr>
          <w:rFonts w:eastAsia="MS Mincho" w:cs="System Font Regular"/>
          <w:szCs w:val="20"/>
          <w:lang w:val="es-ES_tradnl" w:eastAsia="es-ES"/>
        </w:rPr>
        <w:t xml:space="preserve">dado el contexto en el cual se suscitaron las violaciones de derechos humanos de las 85 víctimas. En este sentido, también constituye el primer caso en donde expresamente la Corte IDH encuentra responsabilidad internacional contra un Estado por perpetuar esta situación estructural histórica de exclusión. En este sentido, en la Sentencia se expone que: </w:t>
      </w:r>
    </w:p>
    <w:p w14:paraId="59B539EC" w14:textId="77777777" w:rsidR="00130785" w:rsidRPr="00470C7C" w:rsidRDefault="00130785" w:rsidP="00130785">
      <w:pPr>
        <w:tabs>
          <w:tab w:val="clear" w:pos="4419"/>
          <w:tab w:val="clear" w:pos="8838"/>
        </w:tabs>
        <w:contextualSpacing/>
        <w:jc w:val="both"/>
        <w:rPr>
          <w:rFonts w:eastAsia="MS Mincho" w:cs="System Font Regular"/>
          <w:szCs w:val="20"/>
          <w:lang w:val="es-ES_tradnl" w:eastAsia="es-ES"/>
        </w:rPr>
      </w:pPr>
      <w:r w:rsidRPr="00470C7C">
        <w:rPr>
          <w:rFonts w:eastAsia="MS Mincho" w:cs="System Font Regular"/>
          <w:szCs w:val="20"/>
          <w:lang w:val="es-ES_tradnl" w:eastAsia="es-ES"/>
        </w:rPr>
        <w:t xml:space="preserve"> </w:t>
      </w:r>
    </w:p>
    <w:p w14:paraId="187BE768" w14:textId="77777777" w:rsidR="00130785" w:rsidRPr="00470C7C" w:rsidRDefault="00130785" w:rsidP="00130785">
      <w:pPr>
        <w:tabs>
          <w:tab w:val="clear" w:pos="4419"/>
          <w:tab w:val="clear" w:pos="8838"/>
        </w:tabs>
        <w:ind w:left="708"/>
        <w:jc w:val="both"/>
        <w:rPr>
          <w:rFonts w:eastAsia="MS Mincho" w:cs="Times New Roman"/>
          <w:sz w:val="16"/>
          <w:szCs w:val="16"/>
          <w:lang w:val="es-ES_tradnl" w:eastAsia="es-ES"/>
        </w:rPr>
      </w:pPr>
      <w:r w:rsidRPr="00470C7C">
        <w:rPr>
          <w:rFonts w:eastAsia="MS Mincho" w:cs="Times New Roman"/>
          <w:sz w:val="16"/>
          <w:szCs w:val="16"/>
          <w:lang w:val="es-ES_tradnl" w:eastAsia="es-ES"/>
        </w:rPr>
        <w:t xml:space="preserve">343. En razón de todo lo expuesto, el Tribunal considera que el Estado violó el derecho a no ser sometido a esclavitud y trata de personas, en violación del artículo 6.1 de la Convención Americana sobre Derechos Humanos, en relación con los artículos 1.1, 3, 5, 7, 11 y 22 del mismo instrumento, en perjuicio de los 85 trabajadores rescatados el 15 de marzo de 2000 en la Hacienda Brasil Verde, listados en el párrafo 206 de la presente Sentencia. Adicionalmente, respecto al señor Antonio Francisco da Silva esa violación ocurrió también en relación con el artículo 19 de la Convención Americana sobre Derechos Humanos, por ser niño al momento de los hechos. </w:t>
      </w:r>
      <w:r w:rsidRPr="00470C7C">
        <w:rPr>
          <w:rFonts w:eastAsia="MS Mincho" w:cs="Times New Roman"/>
          <w:sz w:val="16"/>
          <w:szCs w:val="16"/>
          <w:u w:val="single"/>
          <w:lang w:val="es-ES_tradnl" w:eastAsia="es-ES"/>
        </w:rPr>
        <w:t>Finalmente, Brasil es responsable por la violación del artículo 6.1 de la Convención Americana, en relación con el artículo 1.1 del mismo instrumento, producida en el marco de una situación de discriminación estructural histórica en razón de la posición económica de los 85 trabajadores identificados en el párrafo 206 de la presente Sentencia</w:t>
      </w:r>
      <w:r w:rsidRPr="00470C7C">
        <w:rPr>
          <w:rFonts w:eastAsia="MS Mincho" w:cs="Times New Roman"/>
          <w:sz w:val="16"/>
          <w:szCs w:val="16"/>
          <w:lang w:val="es-ES_tradnl" w:eastAsia="es-ES"/>
        </w:rPr>
        <w:t xml:space="preserve">. </w:t>
      </w:r>
    </w:p>
    <w:p w14:paraId="64693DFF" w14:textId="77777777" w:rsidR="00130785" w:rsidRPr="00470C7C" w:rsidRDefault="00130785" w:rsidP="00130785">
      <w:pPr>
        <w:tabs>
          <w:tab w:val="clear" w:pos="4419"/>
          <w:tab w:val="clear" w:pos="8838"/>
        </w:tabs>
        <w:contextualSpacing/>
        <w:jc w:val="both"/>
        <w:rPr>
          <w:rFonts w:eastAsia="Cambria" w:cs="Times New Roman"/>
          <w:sz w:val="16"/>
          <w:szCs w:val="16"/>
          <w:lang w:val="es-ES_tradnl"/>
        </w:rPr>
      </w:pPr>
    </w:p>
    <w:p w14:paraId="347C48D6" w14:textId="77777777" w:rsidR="00130785" w:rsidRPr="00470C7C" w:rsidRDefault="00130785" w:rsidP="00130785">
      <w:pPr>
        <w:tabs>
          <w:tab w:val="clear" w:pos="4419"/>
          <w:tab w:val="clear" w:pos="8838"/>
        </w:tabs>
        <w:ind w:firstLine="708"/>
        <w:contextualSpacing/>
        <w:jc w:val="center"/>
        <w:rPr>
          <w:rFonts w:eastAsia="Cambria" w:cs="Times New Roman"/>
          <w:sz w:val="16"/>
          <w:szCs w:val="16"/>
          <w:lang w:val="es-ES_tradnl"/>
        </w:rPr>
      </w:pPr>
      <w:r w:rsidRPr="00470C7C">
        <w:rPr>
          <w:rFonts w:eastAsia="Cambria" w:cs="Times New Roman"/>
          <w:sz w:val="16"/>
          <w:szCs w:val="16"/>
          <w:lang w:val="es-ES_tradnl"/>
        </w:rPr>
        <w:t>PUNTOS RESOLUTIVOS</w:t>
      </w:r>
    </w:p>
    <w:p w14:paraId="1F03147C" w14:textId="77777777" w:rsidR="00130785" w:rsidRPr="00470C7C" w:rsidRDefault="00130785" w:rsidP="00130785">
      <w:pPr>
        <w:tabs>
          <w:tab w:val="clear" w:pos="4419"/>
          <w:tab w:val="clear" w:pos="8838"/>
          <w:tab w:val="left" w:pos="720"/>
        </w:tabs>
        <w:ind w:right="-90"/>
        <w:contextualSpacing/>
        <w:jc w:val="both"/>
        <w:rPr>
          <w:rFonts w:eastAsia="Cambria" w:cs="Times New Roman"/>
          <w:sz w:val="16"/>
          <w:szCs w:val="16"/>
          <w:lang w:val="es-ES_tradnl" w:eastAsia="es-ES"/>
        </w:rPr>
      </w:pPr>
    </w:p>
    <w:p w14:paraId="54358B3F" w14:textId="77777777" w:rsidR="00130785" w:rsidRPr="00470C7C" w:rsidRDefault="00130785" w:rsidP="00130785">
      <w:pPr>
        <w:tabs>
          <w:tab w:val="clear" w:pos="4419"/>
          <w:tab w:val="clear" w:pos="8838"/>
          <w:tab w:val="left" w:pos="720"/>
        </w:tabs>
        <w:ind w:left="708" w:right="-90"/>
        <w:contextualSpacing/>
        <w:jc w:val="both"/>
        <w:rPr>
          <w:rFonts w:eastAsia="Cambria" w:cs="Times New Roman"/>
          <w:sz w:val="16"/>
          <w:szCs w:val="16"/>
          <w:lang w:val="es-ES_tradnl" w:eastAsia="es-ES"/>
        </w:rPr>
      </w:pPr>
      <w:r w:rsidRPr="00470C7C">
        <w:rPr>
          <w:rFonts w:eastAsia="Cambria" w:cs="Times New Roman"/>
          <w:sz w:val="16"/>
          <w:szCs w:val="16"/>
          <w:lang w:val="es-ES_tradnl" w:eastAsia="es-ES"/>
        </w:rPr>
        <w:tab/>
        <w:t xml:space="preserve">4. </w:t>
      </w:r>
      <w:r w:rsidRPr="00470C7C">
        <w:rPr>
          <w:rFonts w:eastAsia="Cambria" w:cs="Times New Roman"/>
          <w:sz w:val="16"/>
          <w:szCs w:val="16"/>
          <w:u w:val="single"/>
          <w:lang w:val="es-ES_tradnl" w:eastAsia="es-ES"/>
        </w:rPr>
        <w:t>El Estado es responsable por la violación del artículo 6.1 de la Convención Americana, en relación con el artículo 1.1 del mismo instrumento, producida en el marco de una situación de discriminación estructural histórica, en razón de la posición económica de los 85 trabajadores identificados</w:t>
      </w:r>
      <w:r w:rsidRPr="00470C7C">
        <w:rPr>
          <w:rFonts w:eastAsia="Cambria" w:cs="Times New Roman"/>
          <w:sz w:val="16"/>
          <w:szCs w:val="16"/>
          <w:lang w:val="es-ES_tradnl" w:eastAsia="es-ES"/>
        </w:rPr>
        <w:t xml:space="preserve"> en el párrafo 206 de la presente Sentencia, en los términos de los párrafos 342 y 343 de la presente Sentencia</w:t>
      </w:r>
      <w:r w:rsidRPr="00470C7C">
        <w:rPr>
          <w:rFonts w:eastAsia="Cambria" w:cs="Times New Roman"/>
          <w:sz w:val="16"/>
          <w:szCs w:val="20"/>
          <w:vertAlign w:val="superscript"/>
          <w:lang w:val="es-ES_tradnl" w:eastAsia="es-ES"/>
        </w:rPr>
        <w:footnoteReference w:id="649"/>
      </w:r>
      <w:r w:rsidRPr="00470C7C">
        <w:rPr>
          <w:rFonts w:eastAsia="Cambria" w:cs="Times New Roman"/>
          <w:sz w:val="16"/>
          <w:szCs w:val="16"/>
          <w:lang w:val="es-ES_tradnl" w:eastAsia="es-ES"/>
        </w:rPr>
        <w:t xml:space="preserve">. </w:t>
      </w:r>
      <w:r w:rsidRPr="00470C7C">
        <w:rPr>
          <w:rFonts w:eastAsia="MS Mincho" w:cs="Times New Roman"/>
          <w:sz w:val="16"/>
          <w:szCs w:val="16"/>
          <w:lang w:val="es-ES_tradnl" w:eastAsia="es-ES"/>
        </w:rPr>
        <w:t>(Énfasis añadido).</w:t>
      </w:r>
    </w:p>
    <w:p w14:paraId="252BE48D" w14:textId="77777777" w:rsidR="00130785" w:rsidRPr="00470C7C" w:rsidRDefault="00130785" w:rsidP="00130785">
      <w:pPr>
        <w:tabs>
          <w:tab w:val="clear" w:pos="4419"/>
          <w:tab w:val="clear" w:pos="8838"/>
        </w:tabs>
        <w:contextualSpacing/>
        <w:jc w:val="both"/>
        <w:rPr>
          <w:rFonts w:eastAsia="Cambria" w:cs="Times New Roman"/>
          <w:lang w:val="es-ES_tradnl"/>
        </w:rPr>
      </w:pPr>
    </w:p>
    <w:p w14:paraId="1FEBC7F2" w14:textId="77777777" w:rsidR="00130785" w:rsidRPr="00470C7C" w:rsidRDefault="00130785" w:rsidP="008B0BCC">
      <w:pPr>
        <w:numPr>
          <w:ilvl w:val="0"/>
          <w:numId w:val="26"/>
        </w:numPr>
        <w:tabs>
          <w:tab w:val="clear" w:pos="4419"/>
          <w:tab w:val="clear" w:pos="8838"/>
        </w:tabs>
        <w:contextualSpacing/>
        <w:jc w:val="both"/>
        <w:rPr>
          <w:rFonts w:eastAsia="Cambria" w:cs="Times New Roman"/>
          <w:lang w:val="es-ES_tradnl"/>
        </w:rPr>
      </w:pPr>
      <w:r w:rsidRPr="00470C7C">
        <w:rPr>
          <w:rFonts w:eastAsia="Cambria" w:cs="Times New Roman"/>
          <w:lang w:val="es-ES_tradnl"/>
        </w:rPr>
        <w:t xml:space="preserve">Si bien la problemática de la existencia de pobreza y la extrema pobreza en la región interamericana incumbe a todos los Estados que forman parte del Sistema Interamericano, para los efectos de análisis del presente caso, es importante resaltar la situación de pobreza —que podría enmarcarse dentro de una pobreza estructural— que originó en primera instancia que los 85 trabajadores sean objeto de trata de personas y que tuvo como consecuencia que las víctimas sean sometidas a trabajo forzoso y servidumbre por deudas. Dos aspectos fundamentales que han concurrido en el presente caso, y que fueron determinantes para configurar la discriminación por situación económica derivada de la pobreza, fueron: i) concentración del fenómeno de trabajo esclavo en un área geográfica específica y su perpetuación histórica; y </w:t>
      </w:r>
      <w:proofErr w:type="spellStart"/>
      <w:r w:rsidRPr="00470C7C">
        <w:rPr>
          <w:rFonts w:eastAsia="Cambria" w:cs="Times New Roman"/>
          <w:lang w:val="es-ES_tradnl"/>
        </w:rPr>
        <w:t>ii</w:t>
      </w:r>
      <w:proofErr w:type="spellEnd"/>
      <w:r w:rsidRPr="00470C7C">
        <w:rPr>
          <w:rFonts w:eastAsia="Cambria" w:cs="Times New Roman"/>
          <w:lang w:val="es-ES_tradnl"/>
        </w:rPr>
        <w:t xml:space="preserve">) la imposibilidad de las 85 víctimas de obtener mediante su trabajo condiciones básicas de desarrollo humano. </w:t>
      </w:r>
    </w:p>
    <w:p w14:paraId="336256C5" w14:textId="77777777" w:rsidR="00130785" w:rsidRPr="00470C7C" w:rsidRDefault="00130785" w:rsidP="00130785">
      <w:pPr>
        <w:tabs>
          <w:tab w:val="clear" w:pos="4419"/>
          <w:tab w:val="clear" w:pos="8838"/>
        </w:tabs>
        <w:contextualSpacing/>
        <w:jc w:val="both"/>
        <w:rPr>
          <w:rFonts w:eastAsia="Cambria" w:cs="Times New Roman"/>
          <w:lang w:val="es-ES_tradnl"/>
        </w:rPr>
      </w:pPr>
    </w:p>
    <w:p w14:paraId="5EA7A4D2" w14:textId="77777777" w:rsidR="00130785" w:rsidRPr="00470C7C" w:rsidRDefault="00130785" w:rsidP="008B0BCC">
      <w:pPr>
        <w:numPr>
          <w:ilvl w:val="0"/>
          <w:numId w:val="26"/>
        </w:numPr>
        <w:tabs>
          <w:tab w:val="clear" w:pos="4419"/>
          <w:tab w:val="clear" w:pos="8838"/>
        </w:tabs>
        <w:contextualSpacing/>
        <w:jc w:val="both"/>
        <w:rPr>
          <w:rFonts w:eastAsia="Cambria" w:cs="Times New Roman"/>
          <w:b/>
          <w:szCs w:val="20"/>
          <w:lang w:val="es-ES_tradnl"/>
        </w:rPr>
      </w:pPr>
      <w:r w:rsidRPr="00470C7C">
        <w:rPr>
          <w:rFonts w:eastAsia="Cambria" w:cs="Times New Roman"/>
          <w:szCs w:val="20"/>
          <w:lang w:val="es-ES_tradnl"/>
        </w:rPr>
        <w:t>Es importante aclarar que en muchos casos es probable que no exista una intencionalidad directa de confinar a los miembros de un grupo a los estratos inferiores de la estructura social, ni de colocarlos en situaciones de desventaja sistemática; es probable que ni siquiera sea posible identificar con claridad cuáles, o cuál fue o fueron los factores concretos, las decisiones o las prácticas que contribuyeron para llegar a ese resultado de desventaja sistemática. En este sentido, lo relevante es determinar si existió una afectación a la prohibición de discriminación y si un grupo de personas ha</w:t>
      </w:r>
      <w:r w:rsidRPr="00470C7C">
        <w:rPr>
          <w:rFonts w:eastAsia="Cambria" w:cs="Times New Roman"/>
          <w:vanish/>
          <w:lang w:val="es-ES_tradnl"/>
        </w:rPr>
        <w:t xml:space="preserve">  la Hacienda Brasil Verde tenian ia estructural - nta  a Interamericano tado por perpetuar esta situacio a las personas qie viv</w:t>
      </w:r>
      <w:r w:rsidRPr="00470C7C">
        <w:rPr>
          <w:rFonts w:eastAsia="Cambria" w:cs="Times New Roman"/>
          <w:szCs w:val="20"/>
          <w:lang w:val="es-ES_tradnl"/>
        </w:rPr>
        <w:t xml:space="preserve"> resultado excluido continuamente en ámbitos relevantes e imprescindibles para el desarrollo autónomo de la persona.</w:t>
      </w:r>
    </w:p>
    <w:p w14:paraId="606B03A6" w14:textId="77777777" w:rsidR="00130785" w:rsidRPr="00470C7C" w:rsidRDefault="00130785" w:rsidP="00130785">
      <w:pPr>
        <w:tabs>
          <w:tab w:val="clear" w:pos="4419"/>
          <w:tab w:val="clear" w:pos="8838"/>
        </w:tabs>
        <w:rPr>
          <w:rFonts w:eastAsia="MS Mincho" w:cs="Arial"/>
          <w:sz w:val="24"/>
          <w:szCs w:val="24"/>
          <w:lang w:val="es-ES_tradnl" w:eastAsia="es-ES"/>
        </w:rPr>
      </w:pPr>
    </w:p>
    <w:p w14:paraId="0477DEB6"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Arial"/>
          <w:lang w:val="es-ES_tradnl"/>
        </w:rPr>
        <w:t xml:space="preserve">  Derivado del contexto, las 85 víctimas del presente caso, habían sido objeto de trata de personas por la captación y el reclutamiento de trabajadores a través de fraude, engaño y falsas promesas desde las regiones más pobres del país y que esta captación tenía como finalidad la explotación laboral en Brasil</w:t>
      </w:r>
      <w:r w:rsidRPr="00470C7C">
        <w:rPr>
          <w:rFonts w:eastAsia="Cambria" w:cs="Times New Roman"/>
          <w:szCs w:val="20"/>
          <w:vertAlign w:val="superscript"/>
          <w:lang w:val="es-ES_tradnl"/>
        </w:rPr>
        <w:footnoteReference w:id="650"/>
      </w:r>
      <w:r w:rsidRPr="00470C7C">
        <w:rPr>
          <w:rFonts w:eastAsia="Cambria" w:cs="Arial"/>
          <w:lang w:val="es-ES_tradnl"/>
        </w:rPr>
        <w:t xml:space="preserve"> .</w:t>
      </w:r>
      <w:r w:rsidRPr="00470C7C">
        <w:rPr>
          <w:rFonts w:eastAsia="Cambria" w:cs="Arial"/>
          <w:b/>
          <w:lang w:val="es-ES_tradnl"/>
        </w:rPr>
        <w:t xml:space="preserve"> </w:t>
      </w:r>
    </w:p>
    <w:p w14:paraId="05A792B6" w14:textId="77777777" w:rsidR="00130785" w:rsidRPr="00470C7C" w:rsidRDefault="00130785" w:rsidP="00130785">
      <w:pPr>
        <w:tabs>
          <w:tab w:val="clear" w:pos="4419"/>
          <w:tab w:val="clear" w:pos="8838"/>
        </w:tabs>
        <w:rPr>
          <w:rFonts w:eastAsia="MS Mincho" w:cs="Arial"/>
          <w:sz w:val="24"/>
          <w:szCs w:val="24"/>
          <w:lang w:val="es-ES_tradnl" w:eastAsia="es-ES"/>
        </w:rPr>
      </w:pPr>
    </w:p>
    <w:p w14:paraId="08B3F223"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Arial"/>
          <w:lang w:val="es-ES_tradnl"/>
        </w:rPr>
        <w:t xml:space="preserve">En este sentido, teniendo en consideración que en el presente caso se configuró: i) un grupo de personas que requerían </w:t>
      </w:r>
      <w:r w:rsidRPr="00470C7C">
        <w:rPr>
          <w:rFonts w:eastAsia="Cambria" w:cs="Times New Roman"/>
          <w:lang w:val="es-ES_tradnl"/>
        </w:rPr>
        <w:t>protección especial por ser personas trabajadoras que fueron objeto de trata de personas, y que dada su situación de pobreza mediante engaño, alcanzaron el umbral de esclavitud</w:t>
      </w:r>
      <w:r w:rsidRPr="00470C7C">
        <w:rPr>
          <w:rFonts w:eastAsia="Cambria" w:cs="Arial"/>
          <w:lang w:val="es-ES_tradnl"/>
        </w:rPr>
        <w:t xml:space="preserve">; </w:t>
      </w:r>
      <w:proofErr w:type="spellStart"/>
      <w:r w:rsidRPr="00470C7C">
        <w:rPr>
          <w:rFonts w:eastAsia="Cambria" w:cs="Arial"/>
          <w:lang w:val="es-ES_tradnl"/>
        </w:rPr>
        <w:t>ii</w:t>
      </w:r>
      <w:proofErr w:type="spellEnd"/>
      <w:r w:rsidRPr="00470C7C">
        <w:rPr>
          <w:rFonts w:eastAsia="Cambria" w:cs="Arial"/>
          <w:lang w:val="es-ES_tradnl"/>
        </w:rPr>
        <w:t xml:space="preserve">) las personas estaban sometidas a esta práctica histórica y sistemática que los mantuvo en una situación de exclusión y marginación; </w:t>
      </w:r>
      <w:proofErr w:type="spellStart"/>
      <w:r w:rsidRPr="00470C7C">
        <w:rPr>
          <w:rFonts w:eastAsia="Cambria" w:cs="Arial"/>
          <w:lang w:val="es-ES_tradnl"/>
        </w:rPr>
        <w:t>iii</w:t>
      </w:r>
      <w:proofErr w:type="spellEnd"/>
      <w:r w:rsidRPr="00470C7C">
        <w:rPr>
          <w:rFonts w:eastAsia="Cambria" w:cs="Arial"/>
          <w:lang w:val="es-ES_tradnl"/>
        </w:rPr>
        <w:t xml:space="preserve">) que si bien este caso se circunscribe en el estado de Pará y en la Hacienda Brasil Verde, también se toma en consideración las miles de víctimas que siguen siendo liberadas por autoridades brasileñas en especial en el sur del Estado de Pará; y </w:t>
      </w:r>
      <w:proofErr w:type="spellStart"/>
      <w:r w:rsidRPr="00470C7C">
        <w:rPr>
          <w:rFonts w:eastAsia="Cambria" w:cs="Arial"/>
          <w:lang w:val="es-ES_tradnl"/>
        </w:rPr>
        <w:t>iv</w:t>
      </w:r>
      <w:proofErr w:type="spellEnd"/>
      <w:r w:rsidRPr="00470C7C">
        <w:rPr>
          <w:rFonts w:eastAsia="Cambria" w:cs="Arial"/>
          <w:lang w:val="es-ES_tradnl"/>
        </w:rPr>
        <w:t xml:space="preserve">) en el presente caso el fenómeno de esclavitud del cual fueron objeto 85 víctimas fue una discriminación indirecta y </w:t>
      </w:r>
      <w:r w:rsidRPr="00470C7C">
        <w:rPr>
          <w:rFonts w:eastAsia="Cambria" w:cs="Arial"/>
          <w:i/>
          <w:lang w:val="es-ES_tradnl"/>
        </w:rPr>
        <w:t>de</w:t>
      </w:r>
      <w:r w:rsidRPr="00470C7C">
        <w:rPr>
          <w:rFonts w:eastAsia="Cambria" w:cs="Arial"/>
          <w:lang w:val="es-ES_tradnl"/>
        </w:rPr>
        <w:t xml:space="preserve"> </w:t>
      </w:r>
      <w:r w:rsidRPr="00470C7C">
        <w:rPr>
          <w:rFonts w:eastAsia="Cambria" w:cs="Arial"/>
          <w:i/>
          <w:lang w:val="es-ES_tradnl"/>
        </w:rPr>
        <w:t>facto</w:t>
      </w:r>
      <w:r w:rsidRPr="00470C7C">
        <w:rPr>
          <w:rFonts w:eastAsia="Cambria" w:cs="Arial"/>
          <w:lang w:val="es-ES_tradnl"/>
        </w:rPr>
        <w:t xml:space="preserve"> por la ineficacia de las prácticas estatales para evitar su prevención y erradicación. El Tribunal Interamericano concluyó que los 85 trabajadores de la Hacienda Brasil Verde fueron víctimas de una discriminación estructural histórica que se presentó dentro del Estado brasileño por el fenómeno de esclavitud en los términos de la Sentencia</w:t>
      </w:r>
      <w:r w:rsidRPr="00470C7C">
        <w:rPr>
          <w:rFonts w:eastAsia="Cambria" w:cs="Times New Roman"/>
          <w:szCs w:val="20"/>
          <w:vertAlign w:val="superscript"/>
          <w:lang w:val="es-ES_tradnl"/>
        </w:rPr>
        <w:footnoteReference w:id="651"/>
      </w:r>
      <w:r w:rsidRPr="00470C7C">
        <w:rPr>
          <w:rFonts w:eastAsia="Cambria" w:cs="Arial"/>
          <w:lang w:val="es-ES_tradnl"/>
        </w:rPr>
        <w:t>.</w:t>
      </w:r>
    </w:p>
    <w:p w14:paraId="7A5CEE05" w14:textId="77777777" w:rsidR="00130785" w:rsidRPr="00470C7C" w:rsidRDefault="00130785" w:rsidP="00130785">
      <w:pPr>
        <w:tabs>
          <w:tab w:val="clear" w:pos="4419"/>
          <w:tab w:val="clear" w:pos="8838"/>
        </w:tabs>
        <w:jc w:val="both"/>
        <w:rPr>
          <w:rFonts w:eastAsia="Cambria" w:cs="Arial"/>
          <w:lang w:val="es-ES_tradnl"/>
        </w:rPr>
      </w:pPr>
    </w:p>
    <w:p w14:paraId="5A2436B1"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Arial"/>
          <w:lang w:val="es-ES_tradnl"/>
        </w:rPr>
        <w:t xml:space="preserve">El reconocimiento de la </w:t>
      </w:r>
      <w:r w:rsidRPr="00470C7C">
        <w:rPr>
          <w:rFonts w:eastAsia="Cambria" w:cs="Arial"/>
          <w:i/>
          <w:lang w:val="es-ES_tradnl"/>
        </w:rPr>
        <w:t>discriminación estructural histórica</w:t>
      </w:r>
      <w:r w:rsidRPr="00470C7C">
        <w:rPr>
          <w:rFonts w:eastAsia="Cambria" w:cs="Arial"/>
          <w:lang w:val="es-ES_tradnl"/>
        </w:rPr>
        <w:t xml:space="preserve"> por el fenómeno de trabajo esclavo es de vital importancia, pues no se trata de cualquier tipo de personas quienes eran objeto de la captación por los </w:t>
      </w:r>
      <w:r w:rsidRPr="00470C7C">
        <w:rPr>
          <w:rFonts w:eastAsia="Cambria" w:cs="Arial"/>
          <w:i/>
          <w:lang w:val="es-ES_tradnl"/>
        </w:rPr>
        <w:t xml:space="preserve">gatos, </w:t>
      </w:r>
      <w:r w:rsidRPr="00470C7C">
        <w:rPr>
          <w:rFonts w:eastAsia="Cambria" w:cs="Arial"/>
          <w:lang w:val="es-ES_tradnl"/>
        </w:rPr>
        <w:t>sino que eran personas con un tipo de perfil específico, en el cual la pobreza en la que vivían era un factor crucial de vulnerabilidad. En los términos de la Sentencia, la Corte IDH se pronunció y consideró que:</w:t>
      </w:r>
    </w:p>
    <w:p w14:paraId="3A530E53" w14:textId="77777777" w:rsidR="00130785" w:rsidRPr="00470C7C" w:rsidRDefault="00130785" w:rsidP="00130785">
      <w:pPr>
        <w:tabs>
          <w:tab w:val="clear" w:pos="4419"/>
          <w:tab w:val="clear" w:pos="8838"/>
        </w:tabs>
        <w:rPr>
          <w:rFonts w:eastAsia="MS Mincho" w:cs="Arial"/>
          <w:sz w:val="24"/>
          <w:szCs w:val="24"/>
          <w:lang w:val="es-ES_tradnl" w:eastAsia="es-ES"/>
        </w:rPr>
      </w:pPr>
    </w:p>
    <w:p w14:paraId="1F5960D1" w14:textId="77777777" w:rsidR="00130785" w:rsidRPr="00470C7C" w:rsidRDefault="00130785" w:rsidP="00130785">
      <w:pPr>
        <w:tabs>
          <w:tab w:val="clear" w:pos="4419"/>
          <w:tab w:val="clear" w:pos="8838"/>
        </w:tabs>
        <w:ind w:left="708"/>
        <w:contextualSpacing/>
        <w:jc w:val="both"/>
        <w:rPr>
          <w:rFonts w:eastAsia="Cambria" w:cs="Times New Roman"/>
          <w:sz w:val="16"/>
          <w:szCs w:val="16"/>
          <w:lang w:val="es-ES_tradnl"/>
        </w:rPr>
      </w:pPr>
      <w:r w:rsidRPr="00470C7C">
        <w:rPr>
          <w:rFonts w:eastAsia="Cambria" w:cs="Times New Roman"/>
          <w:sz w:val="16"/>
          <w:szCs w:val="16"/>
          <w:lang w:val="es-ES_tradnl"/>
        </w:rPr>
        <w:t>339. […] en el presente caso</w:t>
      </w:r>
      <w:r w:rsidRPr="00470C7C">
        <w:rPr>
          <w:rFonts w:eastAsia="Cambria" w:cs="Times New Roman"/>
          <w:sz w:val="16"/>
          <w:szCs w:val="16"/>
          <w:u w:val="single"/>
          <w:lang w:val="es-ES_tradnl"/>
        </w:rPr>
        <w:t xml:space="preserve"> algunas características de particular victimización compartidas por los 85 trabajadores rescatados</w:t>
      </w:r>
      <w:r w:rsidRPr="00470C7C">
        <w:rPr>
          <w:rFonts w:eastAsia="Cambria" w:cs="Times New Roman"/>
          <w:sz w:val="16"/>
          <w:szCs w:val="16"/>
          <w:lang w:val="es-ES_tradnl"/>
        </w:rPr>
        <w:t xml:space="preserve"> el 15 de marzo de 2000: </w:t>
      </w:r>
      <w:r w:rsidRPr="00470C7C">
        <w:rPr>
          <w:rFonts w:eastAsia="Cambria" w:cs="Times New Roman"/>
          <w:b/>
          <w:sz w:val="16"/>
          <w:szCs w:val="16"/>
          <w:lang w:val="es-ES_tradnl"/>
        </w:rPr>
        <w:t>[i)]se encontraban en una situación de pobreza, [</w:t>
      </w:r>
      <w:proofErr w:type="spellStart"/>
      <w:r w:rsidRPr="00470C7C">
        <w:rPr>
          <w:rFonts w:eastAsia="Cambria" w:cs="Times New Roman"/>
          <w:b/>
          <w:sz w:val="16"/>
          <w:szCs w:val="16"/>
          <w:lang w:val="es-ES_tradnl"/>
        </w:rPr>
        <w:t>ii</w:t>
      </w:r>
      <w:proofErr w:type="spellEnd"/>
      <w:r w:rsidRPr="00470C7C">
        <w:rPr>
          <w:rFonts w:eastAsia="Cambria" w:cs="Times New Roman"/>
          <w:b/>
          <w:sz w:val="16"/>
          <w:szCs w:val="16"/>
          <w:lang w:val="es-ES_tradnl"/>
        </w:rPr>
        <w:t>)]provenían de las regiones más pobres del país, [</w:t>
      </w:r>
      <w:proofErr w:type="spellStart"/>
      <w:r w:rsidRPr="00470C7C">
        <w:rPr>
          <w:rFonts w:eastAsia="Cambria" w:cs="Times New Roman"/>
          <w:b/>
          <w:sz w:val="16"/>
          <w:szCs w:val="16"/>
          <w:lang w:val="es-ES_tradnl"/>
        </w:rPr>
        <w:t>iii</w:t>
      </w:r>
      <w:proofErr w:type="spellEnd"/>
      <w:r w:rsidRPr="00470C7C">
        <w:rPr>
          <w:rFonts w:eastAsia="Cambria" w:cs="Times New Roman"/>
          <w:b/>
          <w:sz w:val="16"/>
          <w:szCs w:val="16"/>
          <w:lang w:val="es-ES_tradnl"/>
        </w:rPr>
        <w:t>)]con menor desarrollo humano y perspectivas de trabajo y empleo, [</w:t>
      </w:r>
      <w:proofErr w:type="spellStart"/>
      <w:r w:rsidRPr="00470C7C">
        <w:rPr>
          <w:rFonts w:eastAsia="Cambria" w:cs="Times New Roman"/>
          <w:b/>
          <w:sz w:val="16"/>
          <w:szCs w:val="16"/>
          <w:lang w:val="es-ES_tradnl"/>
        </w:rPr>
        <w:t>iv</w:t>
      </w:r>
      <w:proofErr w:type="spellEnd"/>
      <w:r w:rsidRPr="00470C7C">
        <w:rPr>
          <w:rFonts w:eastAsia="Cambria" w:cs="Times New Roman"/>
          <w:b/>
          <w:sz w:val="16"/>
          <w:szCs w:val="16"/>
          <w:lang w:val="es-ES_tradnl"/>
        </w:rPr>
        <w:t>)] eran analfabetas, y [v)] tenían poca o nula escolarización.</w:t>
      </w:r>
      <w:r w:rsidRPr="00470C7C">
        <w:rPr>
          <w:rFonts w:eastAsia="Cambria" w:cs="Times New Roman"/>
          <w:sz w:val="16"/>
          <w:szCs w:val="16"/>
          <w:lang w:val="es-ES_tradnl"/>
        </w:rPr>
        <w:t xml:space="preserve"> Lo anterior los colocaba en una situación que los hacía más susceptibles de ser reclutados mediante falsas promesas y engaños. </w:t>
      </w:r>
      <w:r w:rsidRPr="00470C7C">
        <w:rPr>
          <w:rFonts w:eastAsia="Cambria" w:cs="Times New Roman"/>
          <w:b/>
          <w:sz w:val="16"/>
          <w:szCs w:val="16"/>
          <w:lang w:val="es-ES_tradnl"/>
        </w:rPr>
        <w:t>Dicha situación de riesgo inmediato para un grupo determinado de personas con características idénticas y originarios de las mismas regiones del país, tiene orígenes históricos y era conocida desde, al menos, 1995,</w:t>
      </w:r>
      <w:r w:rsidRPr="00470C7C">
        <w:rPr>
          <w:rFonts w:eastAsia="Cambria" w:cs="Times New Roman"/>
          <w:sz w:val="16"/>
          <w:szCs w:val="16"/>
          <w:lang w:val="es-ES_tradnl"/>
        </w:rPr>
        <w:t xml:space="preserve"> cuando el Gobierno de Brasil reconoció expresamente la existencia de “trabajo esclavo” en el país </w:t>
      </w:r>
      <w:r w:rsidRPr="00470C7C">
        <w:rPr>
          <w:rFonts w:eastAsia="Cambria" w:cs="Times New Roman"/>
          <w:sz w:val="16"/>
          <w:szCs w:val="20"/>
          <w:vertAlign w:val="superscript"/>
          <w:lang w:val="es-ES_tradnl"/>
        </w:rPr>
        <w:footnoteReference w:id="652"/>
      </w:r>
      <w:r w:rsidRPr="00470C7C">
        <w:rPr>
          <w:rFonts w:eastAsia="Cambria" w:cs="Times New Roman"/>
          <w:sz w:val="16"/>
          <w:szCs w:val="16"/>
          <w:lang w:val="es-ES_tradnl"/>
        </w:rPr>
        <w:t>. (Énfasis añadido).</w:t>
      </w:r>
    </w:p>
    <w:p w14:paraId="42E40386" w14:textId="77777777" w:rsidR="00130785" w:rsidRPr="00470C7C" w:rsidRDefault="00130785" w:rsidP="00130785">
      <w:pPr>
        <w:tabs>
          <w:tab w:val="clear" w:pos="4419"/>
          <w:tab w:val="clear" w:pos="8838"/>
        </w:tabs>
        <w:jc w:val="both"/>
        <w:rPr>
          <w:rFonts w:eastAsia="Cambria" w:cs="Arial"/>
          <w:lang w:val="es-ES_tradnl"/>
        </w:rPr>
      </w:pPr>
      <w:r w:rsidRPr="00470C7C">
        <w:rPr>
          <w:rFonts w:eastAsia="Cambria" w:cs="Arial"/>
          <w:lang w:val="es-ES_tradnl"/>
        </w:rPr>
        <w:t xml:space="preserve"> </w:t>
      </w:r>
    </w:p>
    <w:p w14:paraId="4067FE1A"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rPr>
      </w:pPr>
      <w:r w:rsidRPr="00470C7C">
        <w:rPr>
          <w:rFonts w:eastAsia="Cambria" w:cs="System Font Regular"/>
          <w:szCs w:val="20"/>
          <w:lang w:val="es-ES_tradnl"/>
        </w:rPr>
        <w:t>En cuanto a la discriminación estructural para la determinación de la responsabilidad internacional:</w:t>
      </w:r>
    </w:p>
    <w:p w14:paraId="708BFDCA" w14:textId="77777777" w:rsidR="00130785" w:rsidRPr="00470C7C" w:rsidRDefault="00130785" w:rsidP="00130785">
      <w:pPr>
        <w:tabs>
          <w:tab w:val="clear" w:pos="4419"/>
          <w:tab w:val="clear" w:pos="8838"/>
        </w:tabs>
        <w:contextualSpacing/>
        <w:jc w:val="both"/>
        <w:rPr>
          <w:rFonts w:eastAsia="Cambria" w:cs="System Font Regular"/>
          <w:szCs w:val="20"/>
        </w:rPr>
      </w:pPr>
      <w:r w:rsidRPr="00470C7C">
        <w:rPr>
          <w:rFonts w:eastAsia="Cambria" w:cs="System Font Regular"/>
          <w:szCs w:val="20"/>
        </w:rPr>
        <w:t xml:space="preserve"> </w:t>
      </w:r>
    </w:p>
    <w:p w14:paraId="45942020" w14:textId="77777777" w:rsidR="00130785" w:rsidRPr="00470C7C" w:rsidRDefault="00130785" w:rsidP="00130785">
      <w:pPr>
        <w:tabs>
          <w:tab w:val="clear" w:pos="4419"/>
          <w:tab w:val="clear" w:pos="8838"/>
        </w:tabs>
        <w:ind w:left="708"/>
        <w:contextualSpacing/>
        <w:jc w:val="both"/>
        <w:rPr>
          <w:rFonts w:eastAsia="Cambria" w:cs="Times New Roman"/>
          <w:sz w:val="16"/>
          <w:szCs w:val="16"/>
          <w:lang w:val="es-ES_tradnl"/>
        </w:rPr>
      </w:pPr>
      <w:r w:rsidRPr="00470C7C">
        <w:rPr>
          <w:rFonts w:eastAsia="MS Mincho" w:cs="System Font Regular"/>
          <w:sz w:val="16"/>
          <w:szCs w:val="16"/>
          <w:lang w:val="es-ES_tradnl" w:eastAsia="es-ES"/>
        </w:rPr>
        <w:t xml:space="preserve">338. </w:t>
      </w:r>
      <w:r w:rsidRPr="00470C7C">
        <w:rPr>
          <w:rFonts w:eastAsia="Cambria" w:cs="Times New Roman"/>
          <w:sz w:val="16"/>
          <w:szCs w:val="16"/>
          <w:u w:val="single"/>
          <w:lang w:val="es-ES_tradnl"/>
        </w:rPr>
        <w:t>La Corte estima que el Estado incurre en responsabilidad internacional en aquellos casos en que, habiendo discriminación estructural, no adopta medidas específicas respecto a la situación particular de victimización en que se concreta la vulnerabilidad sobre un círculo de personas individualizadas.</w:t>
      </w:r>
      <w:r w:rsidRPr="00470C7C">
        <w:rPr>
          <w:rFonts w:eastAsia="Cambria" w:cs="Times New Roman"/>
          <w:sz w:val="16"/>
          <w:szCs w:val="16"/>
          <w:lang w:val="es-ES_tradnl"/>
        </w:rPr>
        <w:t xml:space="preserve"> La propia victimización de estas demuestra su particular vulnerabilidad, lo que demanda una acción de protección también particular, que en el caso de las personas reclutadas en la Hacienda Brasil Verde se ha omitido</w:t>
      </w:r>
      <w:r w:rsidRPr="00470C7C">
        <w:rPr>
          <w:rFonts w:eastAsia="Cambria" w:cs="Times New Roman"/>
          <w:sz w:val="16"/>
          <w:szCs w:val="20"/>
          <w:vertAlign w:val="superscript"/>
          <w:lang w:val="es-ES_tradnl"/>
        </w:rPr>
        <w:footnoteReference w:id="653"/>
      </w:r>
      <w:r w:rsidRPr="00470C7C">
        <w:rPr>
          <w:rFonts w:eastAsia="Cambria" w:cs="Times New Roman"/>
          <w:sz w:val="16"/>
          <w:szCs w:val="16"/>
          <w:lang w:val="es-ES_tradnl"/>
        </w:rPr>
        <w:t>. (Énfasis añadido).</w:t>
      </w:r>
    </w:p>
    <w:p w14:paraId="5EA13B46" w14:textId="77777777" w:rsidR="00130785" w:rsidRPr="00470C7C" w:rsidRDefault="00130785" w:rsidP="00130785">
      <w:pPr>
        <w:tabs>
          <w:tab w:val="clear" w:pos="4419"/>
          <w:tab w:val="clear" w:pos="8838"/>
        </w:tabs>
        <w:jc w:val="both"/>
        <w:rPr>
          <w:rFonts w:eastAsia="Cambria" w:cs="Arial"/>
          <w:lang w:val="es-ES_tradnl"/>
        </w:rPr>
      </w:pPr>
    </w:p>
    <w:p w14:paraId="6A6BC97D"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Arial"/>
          <w:lang w:val="es-ES_tradnl"/>
        </w:rPr>
        <w:t xml:space="preserve">En otras palabras, la existencia de la discriminación estructural, en sí, es una situación reprochable a los Estados por mantener a amplios sectores, o grupos de la población, particularmente en una situación de exclusión social. Sin embargo, ante esta palpable situación de discriminación estructural —como los hechos reconocidos en el presente caso— si un Estado teniendo conocimiento de la existencia de esta problemática dentro de su territorio y respecto de un grupo determinable no toma las medidas suficientes y efectivas para contrarrestar esta situación en concreto, acarrea un situación de mayor vulnerabilidad para las víctimas, en especial por el conocimiento latente de riesgo que presentan; situación, en particular, que puede ser valorada por Tribunal Interamericano. </w:t>
      </w:r>
    </w:p>
    <w:p w14:paraId="441DB12D" w14:textId="77777777" w:rsidR="00130785" w:rsidRPr="00470C7C" w:rsidRDefault="00130785" w:rsidP="00130785">
      <w:pPr>
        <w:tabs>
          <w:tab w:val="clear" w:pos="4419"/>
          <w:tab w:val="clear" w:pos="8838"/>
        </w:tabs>
        <w:rPr>
          <w:rFonts w:eastAsia="MS Mincho" w:cs="Arial"/>
          <w:sz w:val="24"/>
          <w:szCs w:val="24"/>
          <w:lang w:val="es-ES_tradnl" w:eastAsia="es-ES"/>
        </w:rPr>
      </w:pPr>
    </w:p>
    <w:p w14:paraId="4222F359"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Arial"/>
          <w:lang w:val="es-ES_tradnl"/>
        </w:rPr>
        <w:t>Lo anterior no excluye la obligación del Estado de implementar a nivel interno acciones de carácter general;</w:t>
      </w:r>
      <w:r w:rsidRPr="00470C7C">
        <w:rPr>
          <w:rFonts w:eastAsia="Cambria" w:cs="Times New Roman"/>
          <w:lang w:val="es-ES_tradnl"/>
        </w:rPr>
        <w:t xml:space="preserve"> es muy importante considerar la naturaleza individual y colectiva de los beneficiarios de ciertas obligaciones estatales para garantizar la efectividad de los derechos. En este sentido, las normas que respondan a una situación individual, se conocerán como medidas de igualación positiva; las que compensen una desigualdad grupal, se denominarán acciones de igualación positiva</w:t>
      </w:r>
      <w:r w:rsidRPr="00470C7C">
        <w:rPr>
          <w:rFonts w:eastAsia="Cambria" w:cs="Times New Roman"/>
          <w:szCs w:val="20"/>
          <w:vertAlign w:val="superscript"/>
          <w:lang w:val="es-ES_tradnl"/>
        </w:rPr>
        <w:footnoteReference w:id="654"/>
      </w:r>
      <w:r w:rsidRPr="00470C7C">
        <w:rPr>
          <w:rFonts w:eastAsia="Cambria" w:cs="Times New Roman"/>
          <w:lang w:val="es-ES_tradnl"/>
        </w:rPr>
        <w:t xml:space="preserve">. </w:t>
      </w:r>
    </w:p>
    <w:p w14:paraId="51DE7BAA" w14:textId="77777777" w:rsidR="00130785" w:rsidRPr="00470C7C" w:rsidRDefault="00130785" w:rsidP="00130785">
      <w:pPr>
        <w:tabs>
          <w:tab w:val="clear" w:pos="4419"/>
          <w:tab w:val="clear" w:pos="8838"/>
        </w:tabs>
        <w:rPr>
          <w:rFonts w:eastAsia="MS Mincho" w:cs="Times New Roman"/>
          <w:sz w:val="24"/>
          <w:szCs w:val="24"/>
          <w:lang w:val="es-ES_tradnl" w:eastAsia="es-ES"/>
        </w:rPr>
      </w:pPr>
    </w:p>
    <w:p w14:paraId="5F3B1CE5"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Times New Roman"/>
          <w:lang w:val="es-ES_tradnl"/>
        </w:rPr>
        <w:t>En el presente caso, la Corte IDH consideró que al momento de los hechos, las acciones generales para combatir el fenómeno de trabajo esclavo —pues ya se sabía de la existencia de la problemática del trabajo esclavo en Brasil—  que se habían implementado desde 1995 al 2000 no habían sido suficientes y efectivas; en adición a lo anterior, el Tribunal Interamericano al referirse a la expresión</w:t>
      </w:r>
      <w:r w:rsidRPr="00470C7C">
        <w:rPr>
          <w:rFonts w:eastAsia="Cambria" w:cs="Times New Roman"/>
          <w:i/>
          <w:lang w:val="es-ES_tradnl"/>
        </w:rPr>
        <w:t xml:space="preserve"> </w:t>
      </w:r>
      <w:r w:rsidRPr="00470C7C">
        <w:rPr>
          <w:rFonts w:eastAsia="Cambria" w:cs="Times New Roman"/>
          <w:i/>
          <w:szCs w:val="20"/>
          <w:lang w:val="es-ES_tradnl"/>
        </w:rPr>
        <w:t>“no adopta medidas específicas respecto a la situación particular</w:t>
      </w:r>
      <w:r w:rsidRPr="00470C7C">
        <w:rPr>
          <w:rFonts w:eastAsia="Cambria" w:cs="Times New Roman"/>
          <w:i/>
          <w:sz w:val="16"/>
          <w:szCs w:val="16"/>
          <w:lang w:val="es-ES_tradnl"/>
        </w:rPr>
        <w:t xml:space="preserve">”, </w:t>
      </w:r>
      <w:r w:rsidRPr="00470C7C">
        <w:rPr>
          <w:rFonts w:eastAsia="Cambria" w:cs="Times New Roman"/>
          <w:szCs w:val="20"/>
          <w:lang w:val="es-ES_tradnl"/>
        </w:rPr>
        <w:t xml:space="preserve">lo hace en el sentido de que, con independencia de las acciones generales implementadas, cuando sea identificable un sector específico del grupo (por ejemplo, geográficamente) el Estado debe implementar medidas adicionales a las acciones generales para revertir esa situación que requiere la actuación prioritaria de la estructura estatal. </w:t>
      </w:r>
    </w:p>
    <w:p w14:paraId="79D06BDB" w14:textId="77777777" w:rsidR="00130785" w:rsidRPr="00470C7C" w:rsidRDefault="00130785" w:rsidP="00130785">
      <w:pPr>
        <w:tabs>
          <w:tab w:val="clear" w:pos="4419"/>
          <w:tab w:val="clear" w:pos="8838"/>
        </w:tabs>
        <w:jc w:val="both"/>
        <w:rPr>
          <w:rFonts w:eastAsia="Cambria" w:cs="Arial"/>
          <w:lang w:val="es-ES_tradnl"/>
        </w:rPr>
      </w:pPr>
    </w:p>
    <w:p w14:paraId="4BC6BBA0" w14:textId="77777777" w:rsidR="00130785" w:rsidRPr="00470C7C" w:rsidRDefault="00130785" w:rsidP="008B0BCC">
      <w:pPr>
        <w:numPr>
          <w:ilvl w:val="0"/>
          <w:numId w:val="26"/>
        </w:numPr>
        <w:tabs>
          <w:tab w:val="clear" w:pos="4419"/>
          <w:tab w:val="clear" w:pos="8838"/>
        </w:tabs>
        <w:jc w:val="both"/>
        <w:rPr>
          <w:rFonts w:eastAsia="Cambria" w:cs="Arial"/>
          <w:lang w:val="es-ES_tradnl"/>
        </w:rPr>
      </w:pPr>
      <w:r w:rsidRPr="00470C7C">
        <w:rPr>
          <w:rFonts w:eastAsia="Cambria" w:cs="System Font Regular"/>
          <w:szCs w:val="20"/>
          <w:lang w:val="es-ES_tradnl"/>
        </w:rPr>
        <w:t xml:space="preserve">Con independencia de lo anterior, este aspecto resulta de fundamental importancia y relevancia, pues las discriminaciones estructurales tienen un componente de continuidad histórica que se perpetúa de manera sistemática en las sociedades actuales; y que, además, en la doctrina y en la jurisprudencia no había sido consolidada como un aspecto fundamental de la discriminación que sufren algunos grupos que han sido excluidos y marginados. </w:t>
      </w:r>
    </w:p>
    <w:p w14:paraId="2218C7C3" w14:textId="77777777" w:rsidR="00130785" w:rsidRPr="00470C7C" w:rsidRDefault="00130785" w:rsidP="00130785">
      <w:pPr>
        <w:tabs>
          <w:tab w:val="clear" w:pos="4419"/>
          <w:tab w:val="clear" w:pos="8838"/>
        </w:tabs>
        <w:contextualSpacing/>
        <w:jc w:val="both"/>
        <w:rPr>
          <w:rFonts w:eastAsia="Cambria" w:cs="System Font Regular"/>
          <w:szCs w:val="20"/>
          <w:lang w:val="es-ES_tradnl"/>
        </w:rPr>
      </w:pPr>
    </w:p>
    <w:p w14:paraId="2BB44721"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Times New Roman"/>
          <w:szCs w:val="20"/>
          <w:lang w:val="es-ES_tradnl"/>
        </w:rPr>
        <w:t xml:space="preserve">De esta manera, lo que la Corte IDH consolida, al reconocer la existencia de este tipo de discriminaciones de naturaleza histórica, es que la prohibición de discriminación persigue como finalidad la de evitar la materialización de grupos que se encuentren sometidos, excluidos o marginalizados que deriven de consecuencias sociales, económicas o políticas o medidas públicas. Por otro lado, la discriminación estructural histórica que presentan los individuos en los hechos no se vincula con la </w:t>
      </w:r>
      <w:proofErr w:type="spellStart"/>
      <w:r w:rsidRPr="00470C7C">
        <w:rPr>
          <w:rFonts w:eastAsia="Cambria" w:cs="Times New Roman"/>
          <w:szCs w:val="20"/>
          <w:lang w:val="es-ES_tradnl"/>
        </w:rPr>
        <w:t>irrazonabilidad</w:t>
      </w:r>
      <w:proofErr w:type="spellEnd"/>
      <w:r w:rsidRPr="00470C7C">
        <w:rPr>
          <w:rFonts w:eastAsia="Cambria" w:cs="Times New Roman"/>
          <w:szCs w:val="20"/>
          <w:lang w:val="es-ES_tradnl"/>
        </w:rPr>
        <w:t xml:space="preserve"> o arbitrariedad de un criterio expresado dentro de la norma o los efectos directos en un caso en concreto. </w:t>
      </w:r>
    </w:p>
    <w:p w14:paraId="3E1974CF" w14:textId="77777777" w:rsidR="00130785" w:rsidRPr="00470C7C" w:rsidRDefault="00130785" w:rsidP="00130785">
      <w:pPr>
        <w:tabs>
          <w:tab w:val="clear" w:pos="4419"/>
          <w:tab w:val="clear" w:pos="8838"/>
        </w:tabs>
        <w:rPr>
          <w:rFonts w:eastAsia="MS Mincho" w:cs="Times New Roman"/>
          <w:sz w:val="24"/>
          <w:szCs w:val="20"/>
          <w:lang w:val="es-ES_tradnl" w:eastAsia="es-ES"/>
        </w:rPr>
      </w:pPr>
    </w:p>
    <w:p w14:paraId="71A30F66" w14:textId="77777777" w:rsidR="00130785" w:rsidRPr="00470C7C" w:rsidRDefault="00130785" w:rsidP="008B0BCC">
      <w:pPr>
        <w:numPr>
          <w:ilvl w:val="0"/>
          <w:numId w:val="26"/>
        </w:numPr>
        <w:tabs>
          <w:tab w:val="clear" w:pos="4419"/>
          <w:tab w:val="clear" w:pos="8838"/>
        </w:tabs>
        <w:contextualSpacing/>
        <w:jc w:val="both"/>
        <w:rPr>
          <w:rFonts w:eastAsia="Cambria" w:cs="System Font Regular"/>
          <w:szCs w:val="20"/>
          <w:lang w:val="es-ES_tradnl"/>
        </w:rPr>
      </w:pPr>
      <w:r w:rsidRPr="00470C7C">
        <w:rPr>
          <w:rFonts w:eastAsia="Cambria" w:cs="Times New Roman"/>
          <w:szCs w:val="20"/>
          <w:lang w:val="es-ES_tradnl"/>
        </w:rPr>
        <w:t>Por el contrario, la ineficacia, la incapacidad y la aplicación deficiente de acciones generales para prevenir la discriminación a nivel interno de un Estado pueden llegar a producir y perpetuar, por años, la existencia de discriminación para ciertos grupos desventajados; como lo son las personas sometidas a trabajo esclavo que dadas sus condiciones de pobreza resultan un especial foco de vulnerabilidad brasileña, a la luz del artículo 6.1 de la Convención Americana en relación del artículo 1.1 del mismo instrumento</w:t>
      </w:r>
      <w:r w:rsidRPr="00470C7C">
        <w:rPr>
          <w:rFonts w:eastAsia="Cambria" w:cs="Times New Roman"/>
          <w:szCs w:val="20"/>
          <w:vertAlign w:val="superscript"/>
          <w:lang w:val="es-ES_tradnl"/>
        </w:rPr>
        <w:footnoteReference w:id="655"/>
      </w:r>
      <w:r w:rsidRPr="00470C7C">
        <w:rPr>
          <w:rFonts w:eastAsia="Cambria" w:cs="Times New Roman"/>
          <w:szCs w:val="20"/>
          <w:lang w:val="es-ES_tradnl"/>
        </w:rPr>
        <w:t>.</w:t>
      </w:r>
    </w:p>
    <w:p w14:paraId="1792B2F8" w14:textId="77777777" w:rsidR="00130785" w:rsidRPr="00470C7C" w:rsidRDefault="00130785" w:rsidP="00130785">
      <w:pPr>
        <w:tabs>
          <w:tab w:val="clear" w:pos="4419"/>
          <w:tab w:val="clear" w:pos="8838"/>
        </w:tabs>
        <w:contextualSpacing/>
        <w:jc w:val="both"/>
        <w:rPr>
          <w:rFonts w:eastAsia="Cambria" w:cs="System Font Regular"/>
          <w:szCs w:val="20"/>
          <w:lang w:val="es-ES_tradnl"/>
        </w:rPr>
      </w:pPr>
    </w:p>
    <w:p w14:paraId="71E891C2" w14:textId="77777777" w:rsidR="00130785" w:rsidRPr="00470C7C" w:rsidRDefault="00130785" w:rsidP="00130785">
      <w:pPr>
        <w:tabs>
          <w:tab w:val="clear" w:pos="4419"/>
          <w:tab w:val="clear" w:pos="8838"/>
        </w:tabs>
        <w:contextualSpacing/>
        <w:jc w:val="center"/>
        <w:rPr>
          <w:rFonts w:eastAsia="Cambria" w:cs="Times New Roman"/>
          <w:szCs w:val="20"/>
          <w:lang w:val="es-ES_tradnl"/>
        </w:rPr>
      </w:pPr>
      <w:r w:rsidRPr="00470C7C">
        <w:rPr>
          <w:rFonts w:eastAsia="Cambria" w:cs="Times New Roman"/>
          <w:szCs w:val="20"/>
          <w:lang w:val="es-ES_tradnl"/>
        </w:rPr>
        <w:t>VII. CONCLUSIONES</w:t>
      </w:r>
    </w:p>
    <w:p w14:paraId="022CAC20" w14:textId="77777777" w:rsidR="00130785" w:rsidRPr="00470C7C" w:rsidRDefault="00130785" w:rsidP="00130785">
      <w:pPr>
        <w:tabs>
          <w:tab w:val="clear" w:pos="4419"/>
          <w:tab w:val="clear" w:pos="8838"/>
        </w:tabs>
        <w:contextualSpacing/>
        <w:jc w:val="both"/>
        <w:rPr>
          <w:rFonts w:eastAsia="Cambria" w:cs="Times New Roman"/>
          <w:szCs w:val="20"/>
          <w:lang w:val="es-ES_tradnl"/>
        </w:rPr>
      </w:pPr>
    </w:p>
    <w:p w14:paraId="06D409CA"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Como se ha tratado de exponer en el presente voto, a diferencia de los Sistemas Europeo y Africano de Derechos Humanos, los Sistemas Universal e Interamericano muestran una tendencia a considerar que las personas que se encuentran en situación de pobreza constituyen un grupo en situación de vulnerabilidad diferenciado de los grupos tradicionalmente identificados; dicha condición se reconoce como categoría de especial protección y</w:t>
      </w:r>
      <w:r w:rsidRPr="00470C7C" w:rsidDel="0053059F">
        <w:rPr>
          <w:rFonts w:eastAsia="Cambria" w:cs="Times New Roman"/>
          <w:szCs w:val="20"/>
          <w:lang w:val="es-ES_tradnl"/>
        </w:rPr>
        <w:t xml:space="preserve"> </w:t>
      </w:r>
      <w:r w:rsidRPr="00470C7C">
        <w:rPr>
          <w:rFonts w:eastAsia="Cambria" w:cs="Times New Roman"/>
          <w:szCs w:val="20"/>
          <w:lang w:val="es-ES_tradnl"/>
        </w:rPr>
        <w:t>parte de la prohibición de discriminación por “posición económica” contemplada de manera expresa en el artículo 1.1 de la Convención Americana.</w:t>
      </w:r>
    </w:p>
    <w:p w14:paraId="0F884CC6" w14:textId="77777777" w:rsidR="00130785" w:rsidRPr="00470C7C" w:rsidRDefault="00130785" w:rsidP="00130785">
      <w:pPr>
        <w:tabs>
          <w:tab w:val="clear" w:pos="4419"/>
          <w:tab w:val="clear" w:pos="8838"/>
        </w:tabs>
        <w:contextualSpacing/>
        <w:jc w:val="both"/>
        <w:rPr>
          <w:rFonts w:eastAsia="Cambria" w:cs="Times New Roman"/>
          <w:b/>
          <w:i/>
          <w:szCs w:val="20"/>
          <w:lang w:val="es-ES_tradnl"/>
        </w:rPr>
      </w:pPr>
    </w:p>
    <w:p w14:paraId="7AF60FD9" w14:textId="77777777" w:rsidR="00130785" w:rsidRPr="00470C7C" w:rsidRDefault="00130785" w:rsidP="008B0BCC">
      <w:pPr>
        <w:numPr>
          <w:ilvl w:val="0"/>
          <w:numId w:val="26"/>
        </w:numPr>
        <w:tabs>
          <w:tab w:val="clear" w:pos="4419"/>
          <w:tab w:val="clear" w:pos="8838"/>
        </w:tabs>
        <w:contextualSpacing/>
        <w:jc w:val="both"/>
        <w:rPr>
          <w:rFonts w:eastAsia="Cambria" w:cs="Times New Roman"/>
          <w:szCs w:val="20"/>
          <w:lang w:val="es-ES_tradnl"/>
        </w:rPr>
      </w:pPr>
      <w:r w:rsidRPr="00470C7C">
        <w:rPr>
          <w:rFonts w:eastAsia="Cambria" w:cs="Times New Roman"/>
          <w:szCs w:val="20"/>
          <w:lang w:val="es-ES_tradnl"/>
        </w:rPr>
        <w:t xml:space="preserve">En el presente caso, la situación de especial vulnerabilidad por la posición de pobreza que presentaban los 85 trabajadores, los orilló a que fueran víctimas de trata de personas debido al </w:t>
      </w:r>
      <w:r w:rsidRPr="00470C7C">
        <w:rPr>
          <w:rFonts w:eastAsia="Cambria" w:cs="Times New Roman"/>
          <w:i/>
          <w:szCs w:val="20"/>
          <w:lang w:val="es-ES_tradnl"/>
        </w:rPr>
        <w:t>modus operandi</w:t>
      </w:r>
      <w:r w:rsidRPr="00470C7C">
        <w:rPr>
          <w:rFonts w:eastAsia="Cambria" w:cs="Times New Roman"/>
          <w:szCs w:val="20"/>
          <w:lang w:val="es-ES_tradnl"/>
        </w:rPr>
        <w:t xml:space="preserve"> existente en la zona del Estado de Pará; y también considerando otras características similares, los hacían propensos a que aceptaran, mediante engaños, ofertas laborales en la Hacienda Brasil Verde, que se materializaron en formas de trabajo esclavo. Esta situación particular, no se enmarca de forma aislada, sino que como quedó explicitado en la Sentencia, tiene antecedentes históricos y que se habían perpetuado hacia sectores específicos de la población y determinadas zonas geográficas con posterioridad a 1995, fecha en que Brasil reconoció expresamente la existencia de “trabajo esclavo” en el país. De allí que conjuntamente se analizara la posición de pobreza como el factor estructural determinante para seguir perpetuando históricamente el trabajo esclavo en Brasil. </w:t>
      </w:r>
    </w:p>
    <w:p w14:paraId="4CCAF72C" w14:textId="77777777" w:rsidR="00130785" w:rsidRPr="00470C7C" w:rsidRDefault="00130785" w:rsidP="00130785">
      <w:pPr>
        <w:tabs>
          <w:tab w:val="clear" w:pos="4419"/>
          <w:tab w:val="clear" w:pos="8838"/>
        </w:tabs>
        <w:rPr>
          <w:rFonts w:eastAsia="MS Mincho" w:cs="Times New Roman"/>
          <w:b/>
          <w:i/>
          <w:sz w:val="24"/>
          <w:szCs w:val="20"/>
          <w:lang w:val="es-ES_tradnl" w:eastAsia="es-ES"/>
        </w:rPr>
      </w:pPr>
    </w:p>
    <w:p w14:paraId="21793478" w14:textId="77777777" w:rsidR="00130785" w:rsidRPr="00470C7C" w:rsidRDefault="00130785" w:rsidP="008B0BCC">
      <w:pPr>
        <w:numPr>
          <w:ilvl w:val="0"/>
          <w:numId w:val="26"/>
        </w:numPr>
        <w:tabs>
          <w:tab w:val="clear" w:pos="4419"/>
          <w:tab w:val="clear" w:pos="8838"/>
        </w:tabs>
        <w:contextualSpacing/>
        <w:jc w:val="both"/>
        <w:rPr>
          <w:rFonts w:eastAsia="Cambria" w:cs="Times New Roman"/>
          <w:strike/>
          <w:szCs w:val="20"/>
        </w:rPr>
      </w:pPr>
      <w:r w:rsidRPr="00470C7C">
        <w:rPr>
          <w:rFonts w:eastAsia="Cambria" w:cs="Times New Roman"/>
        </w:rPr>
        <w:t>Como se expresa en la Sentencia, la pobreza “es el principal factor de la esclavitud contemporánea en Brasil, por aumentar la vulnerabilidad de significativa parte de la población, haciéndoles presa fácil de los reclutadores para trabajo esclavo”</w:t>
      </w:r>
      <w:r w:rsidRPr="00470C7C">
        <w:rPr>
          <w:rFonts w:eastAsia="Cambria" w:cs="Times New Roman"/>
          <w:szCs w:val="20"/>
          <w:vertAlign w:val="superscript"/>
        </w:rPr>
        <w:footnoteReference w:id="656"/>
      </w:r>
      <w:r w:rsidRPr="00470C7C">
        <w:rPr>
          <w:rFonts w:eastAsia="Cambria" w:cs="Times New Roman"/>
        </w:rPr>
        <w:t xml:space="preserve">. </w:t>
      </w:r>
      <w:r w:rsidRPr="00470C7C">
        <w:rPr>
          <w:rFonts w:eastAsia="Cambria" w:cs="Times New Roman"/>
          <w:szCs w:val="20"/>
          <w:lang w:val="es-ES_tradnl"/>
        </w:rPr>
        <w:t xml:space="preserve">La pobreza, en el caso </w:t>
      </w:r>
      <w:r w:rsidRPr="00470C7C">
        <w:rPr>
          <w:rFonts w:eastAsia="Cambria" w:cs="Times New Roman"/>
          <w:i/>
          <w:szCs w:val="20"/>
          <w:lang w:val="es-ES_tradnl"/>
        </w:rPr>
        <w:t xml:space="preserve">sub judice, </w:t>
      </w:r>
      <w:r w:rsidRPr="00470C7C">
        <w:rPr>
          <w:rFonts w:eastAsia="Cambria" w:cs="Times New Roman"/>
          <w:szCs w:val="20"/>
          <w:lang w:val="es-ES_tradnl"/>
        </w:rPr>
        <w:t>no se enmarca como un fenómeno sino como una afectación de especial vulnerabilidad en donde la situación de exclusión y marginación, aunado a la denegación estructural y sistémica (con antecedentes históricos para el caso particular), tuvieron una afectación en los 85 trabajadores rescatados de la Hacienda Brasil Verde.</w:t>
      </w:r>
    </w:p>
    <w:p w14:paraId="41DE9F22" w14:textId="77777777" w:rsidR="00130785" w:rsidRPr="00470C7C" w:rsidRDefault="00130785" w:rsidP="00130785">
      <w:pPr>
        <w:tabs>
          <w:tab w:val="clear" w:pos="4419"/>
          <w:tab w:val="clear" w:pos="8838"/>
        </w:tabs>
        <w:contextualSpacing/>
        <w:jc w:val="both"/>
        <w:rPr>
          <w:rFonts w:eastAsia="Cambria" w:cs="Times New Roman"/>
          <w:strike/>
          <w:szCs w:val="20"/>
        </w:rPr>
      </w:pPr>
    </w:p>
    <w:p w14:paraId="148BB664" w14:textId="77777777" w:rsidR="00130785" w:rsidRPr="00470C7C" w:rsidRDefault="00130785" w:rsidP="008B0BCC">
      <w:pPr>
        <w:numPr>
          <w:ilvl w:val="0"/>
          <w:numId w:val="26"/>
        </w:numPr>
        <w:tabs>
          <w:tab w:val="clear" w:pos="4419"/>
          <w:tab w:val="clear" w:pos="8838"/>
        </w:tabs>
        <w:contextualSpacing/>
        <w:jc w:val="both"/>
        <w:rPr>
          <w:rFonts w:eastAsia="Cambria" w:cs="Times New Roman"/>
          <w:b/>
          <w:i/>
          <w:szCs w:val="20"/>
        </w:rPr>
      </w:pPr>
      <w:r w:rsidRPr="00470C7C">
        <w:rPr>
          <w:rFonts w:eastAsia="Cambria" w:cs="Times New Roman"/>
          <w:szCs w:val="20"/>
          <w:lang w:val="es-ES_tradnl"/>
        </w:rPr>
        <w:t>No puede pasar inadvertido para un juez interamericano que la esclavitud, en sus formas análogas y contemporáneas, tiene un origen y consecuencia en la pobreza, la inequidad y la exclusión social, repercutiendo en las democracias sustantivas de los países de la región</w:t>
      </w:r>
      <w:r w:rsidRPr="00470C7C">
        <w:rPr>
          <w:rFonts w:eastAsia="Cambria" w:cs="System Font Regular"/>
          <w:szCs w:val="20"/>
          <w:lang w:val="es-ES_tradnl"/>
        </w:rPr>
        <w:t>. De este modo, el análisis de la experiencia interamericana de protección de derechos humanos (civiles, políticos, económicos, sociales, culturales y ambientales) demanda que sean consideradas las peculiaridades de la región, ya que América Latina es la región con el más alto grado de desigualdad en el mundo</w:t>
      </w:r>
      <w:r w:rsidRPr="00470C7C">
        <w:rPr>
          <w:rFonts w:eastAsia="Cambria" w:cs="Times New Roman"/>
          <w:szCs w:val="20"/>
          <w:vertAlign w:val="superscript"/>
          <w:lang w:val="es-ES_tradnl"/>
        </w:rPr>
        <w:footnoteReference w:id="657"/>
      </w:r>
      <w:r w:rsidRPr="00470C7C">
        <w:rPr>
          <w:rFonts w:eastAsia="Cambria" w:cs="System Font Regular"/>
          <w:szCs w:val="20"/>
          <w:lang w:val="es-ES_tradnl"/>
        </w:rPr>
        <w:t>.</w:t>
      </w:r>
      <w:r w:rsidRPr="00470C7C">
        <w:rPr>
          <w:rFonts w:eastAsia="Cambria" w:cs="Times New Roman"/>
          <w:b/>
          <w:i/>
          <w:szCs w:val="20"/>
          <w:lang w:val="es-ES_tradnl"/>
        </w:rPr>
        <w:t xml:space="preserve"> </w:t>
      </w:r>
      <w:r w:rsidRPr="00470C7C">
        <w:rPr>
          <w:rFonts w:eastAsia="Cambria" w:cs="Times New Roman"/>
          <w:szCs w:val="20"/>
          <w:lang w:val="es-ES_tradnl"/>
        </w:rPr>
        <w:t xml:space="preserve">En ese sentido, los Estados en la región deben ser consecuentes con lo que proclama </w:t>
      </w:r>
      <w:r w:rsidRPr="00470C7C">
        <w:rPr>
          <w:rFonts w:eastAsia="Cambria" w:cs="Times"/>
          <w:szCs w:val="20"/>
          <w:lang w:val="es-ES_tradnl"/>
        </w:rPr>
        <w:t xml:space="preserve">la </w:t>
      </w:r>
      <w:r w:rsidRPr="00470C7C">
        <w:rPr>
          <w:rFonts w:eastAsia="Cambria" w:cs="Times"/>
          <w:i/>
          <w:szCs w:val="20"/>
          <w:lang w:val="es-ES_tradnl"/>
        </w:rPr>
        <w:t>Carta Social de las Américas</w:t>
      </w:r>
      <w:r w:rsidRPr="00470C7C">
        <w:rPr>
          <w:rFonts w:eastAsia="Cambria" w:cs="Times"/>
          <w:szCs w:val="20"/>
          <w:lang w:val="es-ES_tradnl"/>
        </w:rPr>
        <w:t xml:space="preserve"> (2012)</w:t>
      </w:r>
      <w:r w:rsidRPr="00470C7C">
        <w:rPr>
          <w:rFonts w:eastAsia="Cambria" w:cs="Times New Roman"/>
          <w:szCs w:val="20"/>
          <w:vertAlign w:val="superscript"/>
          <w:lang w:val="es-ES_tradnl"/>
        </w:rPr>
        <w:footnoteReference w:id="658"/>
      </w:r>
      <w:r w:rsidRPr="00470C7C">
        <w:rPr>
          <w:rFonts w:eastAsia="Cambria" w:cs="Times"/>
          <w:szCs w:val="20"/>
          <w:lang w:val="es-ES_tradnl"/>
        </w:rPr>
        <w:t xml:space="preserve"> y su </w:t>
      </w:r>
      <w:r w:rsidRPr="00470C7C">
        <w:rPr>
          <w:rFonts w:eastAsia="Cambria" w:cs="Times"/>
          <w:i/>
          <w:szCs w:val="20"/>
          <w:lang w:val="es-ES_tradnl"/>
        </w:rPr>
        <w:t>Plan de Acción</w:t>
      </w:r>
      <w:r w:rsidRPr="00470C7C">
        <w:rPr>
          <w:rFonts w:eastAsia="Cambria" w:cs="Times"/>
          <w:szCs w:val="20"/>
          <w:lang w:val="es-ES_tradnl"/>
        </w:rPr>
        <w:t xml:space="preserve"> (2015)</w:t>
      </w:r>
      <w:r w:rsidRPr="00470C7C">
        <w:rPr>
          <w:rFonts w:eastAsia="Cambria" w:cs="Times New Roman"/>
          <w:szCs w:val="20"/>
          <w:vertAlign w:val="superscript"/>
          <w:lang w:val="es-ES_tradnl"/>
        </w:rPr>
        <w:footnoteReference w:id="659"/>
      </w:r>
      <w:r w:rsidRPr="00470C7C">
        <w:rPr>
          <w:rFonts w:eastAsia="Cambria" w:cs="Times"/>
          <w:szCs w:val="20"/>
          <w:lang w:val="es-ES_tradnl"/>
        </w:rPr>
        <w:t xml:space="preserve">, para procurar y lograr progresivamente la realización plena de la </w:t>
      </w:r>
      <w:r w:rsidRPr="00470C7C">
        <w:rPr>
          <w:rFonts w:eastAsia="Cambria" w:cs="Times"/>
          <w:i/>
          <w:szCs w:val="20"/>
          <w:lang w:val="es-ES_tradnl"/>
        </w:rPr>
        <w:t>justicia social</w:t>
      </w:r>
      <w:r w:rsidRPr="00470C7C">
        <w:rPr>
          <w:rFonts w:eastAsia="Cambria" w:cs="Times"/>
          <w:szCs w:val="20"/>
          <w:lang w:val="es-ES_tradnl"/>
        </w:rPr>
        <w:t xml:space="preserve"> en nuestro continente.  </w:t>
      </w:r>
    </w:p>
    <w:p w14:paraId="4EE0E867" w14:textId="77777777" w:rsidR="00130785" w:rsidRPr="00470C7C" w:rsidRDefault="00130785" w:rsidP="00130785">
      <w:pPr>
        <w:tabs>
          <w:tab w:val="clear" w:pos="4419"/>
          <w:tab w:val="clear" w:pos="8838"/>
        </w:tabs>
        <w:contextualSpacing/>
        <w:jc w:val="both"/>
        <w:rPr>
          <w:rFonts w:eastAsia="Cambria" w:cs="Times New Roman"/>
          <w:b/>
          <w:i/>
          <w:szCs w:val="20"/>
          <w:lang w:val="es-ES_tradnl"/>
        </w:rPr>
      </w:pPr>
    </w:p>
    <w:p w14:paraId="25409B99" w14:textId="77777777" w:rsidR="00130785" w:rsidRPr="00470C7C" w:rsidRDefault="00130785" w:rsidP="00130785">
      <w:pPr>
        <w:tabs>
          <w:tab w:val="clear" w:pos="4419"/>
          <w:tab w:val="clear" w:pos="8838"/>
        </w:tabs>
        <w:ind w:left="3600" w:right="96" w:firstLine="720"/>
        <w:jc w:val="center"/>
        <w:rPr>
          <w:rFonts w:eastAsia="Calibri" w:cs="Times New Roman"/>
          <w:szCs w:val="20"/>
          <w:lang w:val="es-MX"/>
        </w:rPr>
      </w:pPr>
    </w:p>
    <w:p w14:paraId="3A9E10CD" w14:textId="77777777" w:rsidR="00130785" w:rsidRPr="00470C7C" w:rsidRDefault="00130785" w:rsidP="00130785">
      <w:pPr>
        <w:tabs>
          <w:tab w:val="clear" w:pos="4419"/>
          <w:tab w:val="clear" w:pos="8838"/>
        </w:tabs>
        <w:ind w:left="3600" w:right="96" w:firstLine="720"/>
        <w:jc w:val="center"/>
        <w:rPr>
          <w:rFonts w:eastAsia="Calibri" w:cs="Times New Roman"/>
          <w:szCs w:val="20"/>
          <w:lang w:val="es-MX"/>
        </w:rPr>
      </w:pPr>
    </w:p>
    <w:p w14:paraId="5CF7689B" w14:textId="77777777" w:rsidR="00130785" w:rsidRPr="00470C7C" w:rsidRDefault="00130785" w:rsidP="00130785">
      <w:pPr>
        <w:tabs>
          <w:tab w:val="clear" w:pos="4419"/>
          <w:tab w:val="clear" w:pos="8838"/>
        </w:tabs>
        <w:ind w:left="3600" w:right="96" w:firstLine="720"/>
        <w:jc w:val="center"/>
        <w:rPr>
          <w:rFonts w:eastAsia="Calibri" w:cs="Times New Roman"/>
          <w:szCs w:val="20"/>
          <w:lang w:val="es-MX"/>
        </w:rPr>
      </w:pPr>
    </w:p>
    <w:p w14:paraId="1A74DDE0" w14:textId="77777777" w:rsidR="00130785" w:rsidRPr="00470C7C" w:rsidRDefault="00130785" w:rsidP="00130785">
      <w:pPr>
        <w:tabs>
          <w:tab w:val="clear" w:pos="4419"/>
          <w:tab w:val="clear" w:pos="8838"/>
        </w:tabs>
        <w:ind w:left="3600" w:right="96" w:firstLine="720"/>
        <w:jc w:val="center"/>
        <w:rPr>
          <w:rFonts w:eastAsia="Calibri" w:cs="Times New Roman"/>
          <w:szCs w:val="20"/>
          <w:lang w:val="pt-BR"/>
        </w:rPr>
      </w:pPr>
      <w:r w:rsidRPr="00470C7C">
        <w:rPr>
          <w:rFonts w:eastAsia="Calibri" w:cs="Times New Roman"/>
          <w:szCs w:val="20"/>
          <w:lang w:val="pt-BR"/>
        </w:rPr>
        <w:t xml:space="preserve">Eduardo Ferrer </w:t>
      </w:r>
      <w:proofErr w:type="spellStart"/>
      <w:r w:rsidRPr="00470C7C">
        <w:rPr>
          <w:rFonts w:eastAsia="Calibri" w:cs="Times New Roman"/>
          <w:szCs w:val="20"/>
          <w:lang w:val="pt-BR"/>
        </w:rPr>
        <w:t>Mac-Gregor</w:t>
      </w:r>
      <w:proofErr w:type="spellEnd"/>
      <w:r w:rsidRPr="00470C7C">
        <w:rPr>
          <w:rFonts w:eastAsia="Calibri" w:cs="Times New Roman"/>
          <w:szCs w:val="20"/>
          <w:lang w:val="pt-BR"/>
        </w:rPr>
        <w:t xml:space="preserve"> </w:t>
      </w:r>
      <w:proofErr w:type="spellStart"/>
      <w:r w:rsidRPr="00470C7C">
        <w:rPr>
          <w:rFonts w:eastAsia="Calibri" w:cs="Times New Roman"/>
          <w:szCs w:val="20"/>
          <w:lang w:val="pt-BR"/>
        </w:rPr>
        <w:t>Poisot</w:t>
      </w:r>
      <w:proofErr w:type="spellEnd"/>
    </w:p>
    <w:p w14:paraId="10708C81" w14:textId="77777777" w:rsidR="00130785" w:rsidRPr="00470C7C" w:rsidRDefault="00130785" w:rsidP="00130785">
      <w:pPr>
        <w:tabs>
          <w:tab w:val="clear" w:pos="4419"/>
          <w:tab w:val="clear" w:pos="8838"/>
        </w:tabs>
        <w:ind w:left="3960" w:right="96" w:firstLine="360"/>
        <w:jc w:val="center"/>
        <w:rPr>
          <w:rFonts w:eastAsia="Calibri" w:cs="Times New Roman"/>
          <w:szCs w:val="20"/>
          <w:lang w:val="pt-BR"/>
        </w:rPr>
      </w:pPr>
      <w:proofErr w:type="spellStart"/>
      <w:r w:rsidRPr="00470C7C">
        <w:rPr>
          <w:rFonts w:eastAsia="Calibri" w:cs="Times New Roman"/>
          <w:szCs w:val="20"/>
          <w:lang w:val="pt-BR"/>
        </w:rPr>
        <w:t>Juez</w:t>
      </w:r>
      <w:proofErr w:type="spellEnd"/>
    </w:p>
    <w:p w14:paraId="48CAF832" w14:textId="77777777" w:rsidR="00130785" w:rsidRPr="00470C7C" w:rsidRDefault="00130785" w:rsidP="00130785">
      <w:pPr>
        <w:tabs>
          <w:tab w:val="clear" w:pos="4419"/>
          <w:tab w:val="clear" w:pos="8838"/>
        </w:tabs>
        <w:rPr>
          <w:rFonts w:eastAsia="MS Mincho" w:cs="Times New Roman"/>
          <w:szCs w:val="20"/>
          <w:lang w:eastAsia="es-ES"/>
        </w:rPr>
      </w:pPr>
    </w:p>
    <w:p w14:paraId="2DA06D02" w14:textId="77777777" w:rsidR="00130785" w:rsidRPr="00470C7C" w:rsidRDefault="00130785" w:rsidP="00130785">
      <w:pPr>
        <w:tabs>
          <w:tab w:val="clear" w:pos="4419"/>
          <w:tab w:val="clear" w:pos="8838"/>
        </w:tabs>
        <w:rPr>
          <w:rFonts w:eastAsia="MS Mincho" w:cs="Times New Roman"/>
          <w:szCs w:val="20"/>
          <w:lang w:eastAsia="es-ES"/>
        </w:rPr>
      </w:pPr>
      <w:r w:rsidRPr="00470C7C">
        <w:rPr>
          <w:rFonts w:eastAsia="MS Mincho" w:cs="Times New Roman"/>
          <w:szCs w:val="20"/>
          <w:lang w:eastAsia="es-ES"/>
        </w:rPr>
        <w:t>Pablo Saavedra Alessandri</w:t>
      </w:r>
    </w:p>
    <w:p w14:paraId="7E82AD34" w14:textId="77777777" w:rsidR="00130785" w:rsidRPr="00470C7C" w:rsidRDefault="00130785" w:rsidP="00130785">
      <w:pPr>
        <w:tabs>
          <w:tab w:val="clear" w:pos="4419"/>
          <w:tab w:val="clear" w:pos="8838"/>
        </w:tabs>
        <w:rPr>
          <w:rFonts w:eastAsia="MS Mincho" w:cs="Times New Roman"/>
          <w:szCs w:val="20"/>
          <w:lang w:eastAsia="es-ES"/>
        </w:rPr>
      </w:pPr>
      <w:r w:rsidRPr="00470C7C">
        <w:rPr>
          <w:rFonts w:eastAsia="MS Mincho" w:cs="Times New Roman"/>
          <w:szCs w:val="20"/>
          <w:lang w:eastAsia="es-ES"/>
        </w:rPr>
        <w:tab/>
        <w:t>Secretario</w:t>
      </w:r>
    </w:p>
    <w:p w14:paraId="763BAF08" w14:textId="77777777" w:rsidR="00130785" w:rsidRPr="00470C7C" w:rsidRDefault="00130785" w:rsidP="00F74CCF">
      <w:pPr>
        <w:tabs>
          <w:tab w:val="left" w:pos="720"/>
        </w:tabs>
        <w:ind w:right="-90"/>
        <w:contextualSpacing/>
        <w:rPr>
          <w:bCs/>
          <w:szCs w:val="20"/>
        </w:rPr>
        <w:sectPr w:rsidR="00130785" w:rsidRPr="00470C7C" w:rsidSect="00130785">
          <w:footerReference w:type="even" r:id="rId10"/>
          <w:footerReference w:type="default" r:id="rId11"/>
          <w:footnotePr>
            <w:numRestart w:val="eachSect"/>
          </w:footnotePr>
          <w:pgSz w:w="12240" w:h="15840"/>
          <w:pgMar w:top="1417" w:right="1701" w:bottom="1417" w:left="1701" w:header="708" w:footer="708" w:gutter="0"/>
          <w:pgNumType w:start="1"/>
          <w:cols w:space="708"/>
          <w:titlePg/>
          <w:docGrid w:linePitch="360"/>
        </w:sectPr>
      </w:pPr>
    </w:p>
    <w:p w14:paraId="6AB6AB95" w14:textId="77777777" w:rsidR="00130785" w:rsidRPr="00470C7C" w:rsidRDefault="00130785" w:rsidP="00130785">
      <w:pPr>
        <w:tabs>
          <w:tab w:val="clear" w:pos="4419"/>
          <w:tab w:val="clear" w:pos="8838"/>
        </w:tabs>
        <w:jc w:val="center"/>
        <w:rPr>
          <w:rFonts w:eastAsia="Calibri" w:cs="Times New Roman"/>
          <w:b/>
          <w:szCs w:val="20"/>
          <w:lang w:val="es-ES"/>
        </w:rPr>
      </w:pPr>
    </w:p>
    <w:p w14:paraId="7CE15FB2" w14:textId="77777777" w:rsidR="00130785" w:rsidRPr="00470C7C" w:rsidRDefault="00130785" w:rsidP="00130785">
      <w:pPr>
        <w:tabs>
          <w:tab w:val="clear" w:pos="4419"/>
          <w:tab w:val="clear" w:pos="8838"/>
        </w:tabs>
        <w:jc w:val="center"/>
        <w:rPr>
          <w:rFonts w:eastAsia="Calibri" w:cs="Times New Roman"/>
          <w:b/>
          <w:szCs w:val="20"/>
          <w:lang w:val="es-ES"/>
        </w:rPr>
      </w:pPr>
    </w:p>
    <w:p w14:paraId="6D21376F" w14:textId="77777777" w:rsidR="00130785" w:rsidRPr="00470C7C" w:rsidRDefault="00130785" w:rsidP="00130785">
      <w:pPr>
        <w:tabs>
          <w:tab w:val="clear" w:pos="4419"/>
          <w:tab w:val="clear" w:pos="8838"/>
        </w:tabs>
        <w:jc w:val="center"/>
        <w:rPr>
          <w:rFonts w:eastAsia="Calibri" w:cs="Times New Roman"/>
          <w:b/>
          <w:szCs w:val="20"/>
          <w:lang w:val="es-ES"/>
        </w:rPr>
      </w:pPr>
    </w:p>
    <w:p w14:paraId="2E587C43" w14:textId="77777777" w:rsidR="00130785" w:rsidRPr="00470C7C" w:rsidRDefault="00130785" w:rsidP="00130785">
      <w:pPr>
        <w:tabs>
          <w:tab w:val="clear" w:pos="4419"/>
          <w:tab w:val="clear" w:pos="8838"/>
        </w:tabs>
        <w:jc w:val="center"/>
        <w:rPr>
          <w:rFonts w:eastAsia="Calibri" w:cs="Times New Roman"/>
          <w:b/>
          <w:szCs w:val="20"/>
          <w:lang w:val="es-ES"/>
        </w:rPr>
      </w:pPr>
    </w:p>
    <w:p w14:paraId="13A3CF37" w14:textId="77777777" w:rsidR="00130785" w:rsidRPr="00470C7C" w:rsidRDefault="00130785" w:rsidP="00130785">
      <w:pPr>
        <w:tabs>
          <w:tab w:val="clear" w:pos="4419"/>
          <w:tab w:val="clear" w:pos="8838"/>
        </w:tabs>
        <w:jc w:val="center"/>
        <w:rPr>
          <w:rFonts w:eastAsia="Calibri" w:cs="Times New Roman"/>
          <w:b/>
          <w:szCs w:val="20"/>
          <w:lang w:val="es-ES"/>
        </w:rPr>
      </w:pPr>
    </w:p>
    <w:p w14:paraId="0E511F4A" w14:textId="77777777" w:rsidR="00130785" w:rsidRPr="00470C7C" w:rsidRDefault="00130785" w:rsidP="00130785">
      <w:pPr>
        <w:tabs>
          <w:tab w:val="clear" w:pos="4419"/>
          <w:tab w:val="clear" w:pos="8838"/>
        </w:tabs>
        <w:jc w:val="center"/>
        <w:rPr>
          <w:rFonts w:eastAsia="Calibri" w:cs="Times New Roman"/>
          <w:b/>
          <w:szCs w:val="20"/>
          <w:lang w:val="es-ES"/>
        </w:rPr>
      </w:pPr>
    </w:p>
    <w:p w14:paraId="592A1719" w14:textId="77777777" w:rsidR="00130785" w:rsidRPr="00470C7C" w:rsidRDefault="00130785" w:rsidP="00130785">
      <w:pPr>
        <w:tabs>
          <w:tab w:val="clear" w:pos="4419"/>
          <w:tab w:val="clear" w:pos="8838"/>
        </w:tabs>
        <w:jc w:val="center"/>
        <w:rPr>
          <w:rFonts w:eastAsia="Calibri" w:cs="Times New Roman"/>
          <w:b/>
          <w:szCs w:val="20"/>
          <w:lang w:val="es-ES"/>
        </w:rPr>
      </w:pPr>
      <w:r w:rsidRPr="00470C7C">
        <w:rPr>
          <w:rFonts w:eastAsia="Calibri" w:cs="Times New Roman"/>
          <w:b/>
          <w:szCs w:val="20"/>
          <w:lang w:val="es-ES"/>
        </w:rPr>
        <w:t>VOTO INDIVIDUAL CONCURRENTE DEL JUEZ EDUARDO VIO GROSSI,</w:t>
      </w:r>
    </w:p>
    <w:p w14:paraId="3EC50348" w14:textId="77777777" w:rsidR="00130785" w:rsidRPr="00470C7C" w:rsidRDefault="00130785" w:rsidP="00130785">
      <w:pPr>
        <w:tabs>
          <w:tab w:val="clear" w:pos="4419"/>
          <w:tab w:val="clear" w:pos="8838"/>
        </w:tabs>
        <w:jc w:val="center"/>
        <w:rPr>
          <w:rFonts w:eastAsia="Calibri" w:cs="Times New Roman"/>
          <w:b/>
          <w:szCs w:val="20"/>
          <w:lang w:val="es-ES"/>
        </w:rPr>
      </w:pPr>
      <w:r w:rsidRPr="00470C7C">
        <w:rPr>
          <w:rFonts w:eastAsia="Calibri" w:cs="Times New Roman"/>
          <w:b/>
          <w:szCs w:val="20"/>
          <w:lang w:val="es-ES"/>
        </w:rPr>
        <w:t>CORTE INTERAMERICANA DE DERECHOS HUMANOS</w:t>
      </w:r>
    </w:p>
    <w:p w14:paraId="271BBBE5" w14:textId="77777777" w:rsidR="00130785" w:rsidRPr="00470C7C" w:rsidRDefault="00130785" w:rsidP="00130785">
      <w:pPr>
        <w:tabs>
          <w:tab w:val="clear" w:pos="4419"/>
          <w:tab w:val="clear" w:pos="8838"/>
        </w:tabs>
        <w:jc w:val="center"/>
        <w:rPr>
          <w:rFonts w:eastAsia="Calibri" w:cs="Times New Roman"/>
          <w:b/>
          <w:szCs w:val="20"/>
          <w:lang w:val="es-ES"/>
        </w:rPr>
      </w:pPr>
      <w:r w:rsidRPr="00470C7C">
        <w:rPr>
          <w:rFonts w:eastAsia="Calibri" w:cs="Times New Roman"/>
          <w:b/>
          <w:szCs w:val="20"/>
          <w:lang w:val="es-ES"/>
        </w:rPr>
        <w:t xml:space="preserve">CASO TRABAJADORES DE LA HACIENDA BRASIL VERDE </w:t>
      </w:r>
      <w:r w:rsidRPr="00470C7C">
        <w:rPr>
          <w:rFonts w:eastAsia="Calibri" w:cs="Times New Roman"/>
          <w:b/>
          <w:i/>
          <w:szCs w:val="20"/>
          <w:lang w:val="es-ES"/>
        </w:rPr>
        <w:t>VS</w:t>
      </w:r>
      <w:r w:rsidRPr="00470C7C">
        <w:rPr>
          <w:rFonts w:eastAsia="Calibri" w:cs="Times New Roman"/>
          <w:b/>
          <w:szCs w:val="20"/>
          <w:lang w:val="es-ES"/>
        </w:rPr>
        <w:t>. BRASIL</w:t>
      </w:r>
    </w:p>
    <w:p w14:paraId="6E0418C1" w14:textId="77777777" w:rsidR="00130785" w:rsidRPr="00470C7C" w:rsidRDefault="00130785" w:rsidP="00130785">
      <w:pPr>
        <w:rPr>
          <w:rFonts w:eastAsia="Calibri" w:cs="Times New Roman"/>
          <w:b/>
          <w:szCs w:val="20"/>
          <w:lang w:val="es-ES"/>
        </w:rPr>
      </w:pPr>
      <w:r w:rsidRPr="00470C7C">
        <w:rPr>
          <w:rFonts w:eastAsia="Calibri" w:cs="Times New Roman"/>
          <w:b/>
          <w:szCs w:val="20"/>
          <w:lang w:val="es-ES"/>
        </w:rPr>
        <w:tab/>
        <w:t>SENTENCIA DE 20 OCTUBRE DE 2016</w:t>
      </w:r>
      <w:r w:rsidRPr="00470C7C">
        <w:rPr>
          <w:rFonts w:eastAsia="Calibri" w:cs="Times New Roman"/>
          <w:b/>
          <w:szCs w:val="20"/>
          <w:lang w:val="es-ES"/>
        </w:rPr>
        <w:tab/>
      </w:r>
    </w:p>
    <w:p w14:paraId="2E3698C7" w14:textId="77777777" w:rsidR="00130785" w:rsidRPr="00470C7C" w:rsidRDefault="00130785" w:rsidP="00130785">
      <w:pPr>
        <w:tabs>
          <w:tab w:val="clear" w:pos="4419"/>
          <w:tab w:val="clear" w:pos="8838"/>
        </w:tabs>
        <w:jc w:val="center"/>
        <w:rPr>
          <w:rFonts w:eastAsia="Calibri" w:cs="Times New Roman"/>
          <w:b/>
          <w:szCs w:val="20"/>
          <w:lang w:val="es-ES"/>
        </w:rPr>
      </w:pPr>
      <w:r w:rsidRPr="00470C7C">
        <w:rPr>
          <w:rFonts w:eastAsia="Calibri" w:cs="Times New Roman"/>
          <w:b/>
          <w:szCs w:val="20"/>
          <w:lang w:val="es-ES"/>
        </w:rPr>
        <w:t>(</w:t>
      </w:r>
      <w:r w:rsidRPr="00470C7C">
        <w:rPr>
          <w:rFonts w:eastAsia="Calibri" w:cs="Times New Roman"/>
          <w:b/>
          <w:i/>
          <w:szCs w:val="20"/>
          <w:lang w:val="es-ES"/>
        </w:rPr>
        <w:t>Excepciones Preliminares, Fondo, Reparaciones y Costas</w:t>
      </w:r>
      <w:r w:rsidRPr="00470C7C">
        <w:rPr>
          <w:rFonts w:eastAsia="Calibri" w:cs="Times New Roman"/>
          <w:b/>
          <w:szCs w:val="20"/>
          <w:lang w:val="es-ES"/>
        </w:rPr>
        <w:t>)</w:t>
      </w:r>
    </w:p>
    <w:p w14:paraId="7F8FDD16" w14:textId="77777777" w:rsidR="00130785" w:rsidRPr="00470C7C" w:rsidRDefault="00130785" w:rsidP="00130785">
      <w:pPr>
        <w:tabs>
          <w:tab w:val="clear" w:pos="4419"/>
          <w:tab w:val="clear" w:pos="8838"/>
        </w:tabs>
        <w:jc w:val="both"/>
        <w:rPr>
          <w:rFonts w:eastAsia="Calibri" w:cs="Times New Roman"/>
          <w:szCs w:val="20"/>
          <w:lang w:val="es-ES"/>
        </w:rPr>
      </w:pPr>
    </w:p>
    <w:p w14:paraId="4D218A2E" w14:textId="77777777" w:rsidR="00130785" w:rsidRPr="00470C7C" w:rsidRDefault="00130785" w:rsidP="008B0BCC">
      <w:pPr>
        <w:numPr>
          <w:ilvl w:val="0"/>
          <w:numId w:val="27"/>
        </w:numPr>
        <w:tabs>
          <w:tab w:val="clear" w:pos="4419"/>
          <w:tab w:val="clear" w:pos="8838"/>
        </w:tabs>
        <w:spacing w:after="200" w:line="276" w:lineRule="auto"/>
        <w:contextualSpacing/>
        <w:jc w:val="both"/>
        <w:rPr>
          <w:rFonts w:eastAsia="Calibri" w:cs="Times New Roman"/>
          <w:szCs w:val="20"/>
          <w:lang w:val="es-ES"/>
        </w:rPr>
      </w:pPr>
      <w:r w:rsidRPr="00470C7C">
        <w:rPr>
          <w:rFonts w:eastAsia="Calibri" w:cs="Times New Roman"/>
          <w:szCs w:val="20"/>
          <w:lang w:val="es-ES"/>
        </w:rPr>
        <w:t>Se emite el presente voto concurrente a la Sentencia del epígrafe</w:t>
      </w:r>
      <w:r w:rsidRPr="00470C7C">
        <w:rPr>
          <w:rFonts w:eastAsia="Calibri" w:cs="Times New Roman"/>
          <w:szCs w:val="20"/>
          <w:vertAlign w:val="superscript"/>
          <w:lang w:val="es-ES"/>
        </w:rPr>
        <w:footnoteReference w:id="660"/>
      </w:r>
      <w:r w:rsidRPr="00470C7C">
        <w:rPr>
          <w:rFonts w:eastAsia="Calibri" w:cs="Times New Roman"/>
          <w:szCs w:val="20"/>
          <w:lang w:val="es-ES"/>
        </w:rPr>
        <w:t xml:space="preserve">, con el propósito de reiterar que la referencia que en el Punto Resolutivo No. 4 de la misma se hace a la “discriminación estructural histórica”, no implica que se esté declarando, en </w:t>
      </w:r>
      <w:proofErr w:type="gramStart"/>
      <w:r w:rsidRPr="00470C7C">
        <w:rPr>
          <w:rFonts w:eastAsia="Calibri" w:cs="Times New Roman"/>
          <w:szCs w:val="20"/>
          <w:lang w:val="es-ES"/>
        </w:rPr>
        <w:t>general,  la</w:t>
      </w:r>
      <w:proofErr w:type="gramEnd"/>
      <w:r w:rsidRPr="00470C7C">
        <w:rPr>
          <w:rFonts w:eastAsia="Calibri" w:cs="Times New Roman"/>
          <w:szCs w:val="20"/>
          <w:lang w:val="es-ES"/>
        </w:rPr>
        <w:t xml:space="preserve"> responsabilidad internacional del Estado en virtud de ella.</w:t>
      </w:r>
    </w:p>
    <w:p w14:paraId="1ABEE3D9" w14:textId="77777777" w:rsidR="00130785" w:rsidRPr="00470C7C" w:rsidRDefault="00130785" w:rsidP="00130785">
      <w:pPr>
        <w:tabs>
          <w:tab w:val="clear" w:pos="4419"/>
          <w:tab w:val="clear" w:pos="8838"/>
        </w:tabs>
        <w:contextualSpacing/>
        <w:jc w:val="both"/>
        <w:rPr>
          <w:rFonts w:eastAsia="Calibri" w:cs="Times New Roman"/>
          <w:szCs w:val="20"/>
          <w:lang w:val="es-ES"/>
        </w:rPr>
      </w:pPr>
    </w:p>
    <w:p w14:paraId="2837CD35" w14:textId="77777777" w:rsidR="00130785" w:rsidRPr="00470C7C" w:rsidRDefault="00130785" w:rsidP="008B0BCC">
      <w:pPr>
        <w:numPr>
          <w:ilvl w:val="0"/>
          <w:numId w:val="27"/>
        </w:numPr>
        <w:tabs>
          <w:tab w:val="clear" w:pos="4419"/>
          <w:tab w:val="clear" w:pos="8838"/>
        </w:tabs>
        <w:spacing w:after="200" w:line="276" w:lineRule="auto"/>
        <w:contextualSpacing/>
        <w:jc w:val="both"/>
        <w:rPr>
          <w:rFonts w:eastAsia="Calibri" w:cs="Times New Roman"/>
          <w:szCs w:val="20"/>
          <w:lang w:val="es-ES"/>
        </w:rPr>
      </w:pPr>
      <w:r w:rsidRPr="00470C7C">
        <w:rPr>
          <w:rFonts w:eastAsia="Calibri" w:cs="Times New Roman"/>
          <w:szCs w:val="20"/>
          <w:lang w:val="es-ES"/>
        </w:rPr>
        <w:t>Efectivamente, dado que en la Sentencia no se formula pronunciamiento alguno sobre la “discriminación estructural histórica” en el Estado y que, empero, se consigna que en “1995 […] el Gobierno de Brasil reconoció expresamente la existencia de ‘trabajo esclavo’ en el país”</w:t>
      </w:r>
      <w:r w:rsidRPr="00470C7C">
        <w:rPr>
          <w:rFonts w:eastAsia="Calibri" w:cs="Times New Roman"/>
          <w:szCs w:val="20"/>
          <w:vertAlign w:val="superscript"/>
          <w:lang w:val="es-ES"/>
        </w:rPr>
        <w:footnoteReference w:id="661"/>
      </w:r>
      <w:r w:rsidRPr="00470C7C">
        <w:rPr>
          <w:rFonts w:eastAsia="Calibri" w:cs="Times New Roman"/>
          <w:szCs w:val="20"/>
          <w:lang w:val="es-ES"/>
        </w:rPr>
        <w:t>, adoptando posteriormente medidas al respecto</w:t>
      </w:r>
      <w:r w:rsidRPr="00470C7C">
        <w:rPr>
          <w:rFonts w:eastAsia="Calibri" w:cs="Times New Roman"/>
          <w:szCs w:val="20"/>
          <w:vertAlign w:val="superscript"/>
          <w:lang w:val="es-ES"/>
        </w:rPr>
        <w:footnoteReference w:id="662"/>
      </w:r>
      <w:r w:rsidRPr="00470C7C">
        <w:rPr>
          <w:rFonts w:eastAsia="Calibri" w:cs="Times New Roman"/>
          <w:szCs w:val="20"/>
          <w:lang w:val="es-ES"/>
        </w:rPr>
        <w:t>;  y teniendo presente que “[l]a Corte estima que el Estado incurre en responsabilidad internacional en aquellos casos en que, habiendo discriminación estructural, no adopta medidas específicas respecto a la situación particular de victimización en que se concreta la vulnerabilidad sobre un círculo de personas individualizadas”</w:t>
      </w:r>
      <w:r w:rsidRPr="00470C7C">
        <w:rPr>
          <w:rFonts w:eastAsia="Calibri" w:cs="Times New Roman"/>
          <w:szCs w:val="20"/>
          <w:vertAlign w:val="superscript"/>
          <w:lang w:val="es-ES"/>
        </w:rPr>
        <w:footnoteReference w:id="663"/>
      </w:r>
      <w:r w:rsidRPr="00470C7C">
        <w:rPr>
          <w:rFonts w:eastAsia="Calibri" w:cs="Times New Roman"/>
          <w:szCs w:val="20"/>
          <w:lang w:val="es-ES"/>
        </w:rPr>
        <w:t>, lo lógico es concluir, como lo hace la Sentencia, que “Brasil no demostró haber adoptado, respecto del presente caso y al momento de los hechos, las medidas específicas, conforme a las circunstancias ya conocidas de trabajadores en situación de esclavitud y de denuncias concretas contra la Hacienda Brasil Verde, para prevenir la ocurrencia de la violación al artículo 6.1 constatada en el presente caso”</w:t>
      </w:r>
      <w:r w:rsidRPr="00470C7C">
        <w:rPr>
          <w:rFonts w:eastAsia="Calibri" w:cs="Times New Roman"/>
          <w:szCs w:val="20"/>
          <w:vertAlign w:val="superscript"/>
          <w:lang w:val="es-ES"/>
        </w:rPr>
        <w:footnoteReference w:id="664"/>
      </w:r>
      <w:r w:rsidRPr="00470C7C">
        <w:rPr>
          <w:rFonts w:eastAsia="Calibri" w:cs="Times New Roman"/>
          <w:szCs w:val="20"/>
          <w:lang w:val="es-ES"/>
        </w:rPr>
        <w:t xml:space="preserve">.  </w:t>
      </w:r>
    </w:p>
    <w:p w14:paraId="7FC827C4" w14:textId="77777777" w:rsidR="00130785" w:rsidRPr="00470C7C" w:rsidRDefault="00130785" w:rsidP="00130785">
      <w:pPr>
        <w:tabs>
          <w:tab w:val="clear" w:pos="4419"/>
          <w:tab w:val="clear" w:pos="8838"/>
        </w:tabs>
        <w:spacing w:after="200" w:line="276" w:lineRule="auto"/>
        <w:ind w:left="720"/>
        <w:contextualSpacing/>
        <w:rPr>
          <w:rFonts w:eastAsia="Calibri" w:cs="Times New Roman"/>
          <w:szCs w:val="20"/>
          <w:lang w:val="es-ES"/>
        </w:rPr>
      </w:pPr>
    </w:p>
    <w:p w14:paraId="3CAA8F47" w14:textId="77777777" w:rsidR="00130785" w:rsidRPr="00470C7C" w:rsidRDefault="00130785" w:rsidP="008B0BCC">
      <w:pPr>
        <w:numPr>
          <w:ilvl w:val="0"/>
          <w:numId w:val="27"/>
        </w:numPr>
        <w:tabs>
          <w:tab w:val="clear" w:pos="4419"/>
          <w:tab w:val="clear" w:pos="8838"/>
        </w:tabs>
        <w:spacing w:after="200" w:line="276" w:lineRule="auto"/>
        <w:contextualSpacing/>
        <w:jc w:val="both"/>
        <w:rPr>
          <w:rFonts w:eastAsia="Calibri" w:cs="Times New Roman"/>
          <w:szCs w:val="20"/>
          <w:lang w:val="es-ES"/>
        </w:rPr>
      </w:pPr>
      <w:r w:rsidRPr="00470C7C">
        <w:rPr>
          <w:rFonts w:eastAsia="Calibri" w:cs="Times New Roman"/>
          <w:szCs w:val="20"/>
          <w:lang w:val="es-ES"/>
        </w:rPr>
        <w:t>A mayor abundamiento, cabe recalcar que en la Sentencia se indica que la “posición económica” de la persona es una de las causales de discriminación prohibidas por el artículo 1.1 de la Convención Americana”</w:t>
      </w:r>
      <w:r w:rsidRPr="00470C7C">
        <w:rPr>
          <w:rFonts w:eastAsia="Calibri" w:cs="Times New Roman"/>
          <w:szCs w:val="20"/>
          <w:vertAlign w:val="superscript"/>
          <w:lang w:val="es-ES"/>
        </w:rPr>
        <w:footnoteReference w:id="665"/>
      </w:r>
      <w:r w:rsidRPr="00470C7C">
        <w:rPr>
          <w:rFonts w:eastAsia="Calibri" w:cs="Times New Roman"/>
          <w:szCs w:val="20"/>
          <w:lang w:val="es-ES"/>
        </w:rPr>
        <w:t>; que “ [d]e la prueba aportada al expediente se advierte la existencia de una situación basada en la posición económica de las víctimas del rescate de 15 de marzo de 2000 que caracterizó un trato discriminatorio”</w:t>
      </w:r>
      <w:r w:rsidRPr="00470C7C">
        <w:rPr>
          <w:rFonts w:eastAsia="Calibri" w:cs="Times New Roman"/>
          <w:szCs w:val="20"/>
          <w:vertAlign w:val="superscript"/>
          <w:lang w:val="es-ES"/>
        </w:rPr>
        <w:footnoteReference w:id="666"/>
      </w:r>
      <w:r w:rsidRPr="00470C7C">
        <w:rPr>
          <w:rFonts w:eastAsia="Calibri" w:cs="Times New Roman"/>
          <w:szCs w:val="20"/>
          <w:lang w:val="es-ES"/>
        </w:rPr>
        <w:t>, y que “[l]a pobreza, en ese sentido, es el principal factor de la esclavitud contemporánea en Brasil, por aumentar la vulnerabilidad de significativa parte de la población, haciéndoles presa fácil de los reclutadores para trabajo esclavo”</w:t>
      </w:r>
      <w:r w:rsidRPr="00470C7C">
        <w:rPr>
          <w:rFonts w:eastAsia="Calibri" w:cs="Times New Roman"/>
          <w:szCs w:val="20"/>
          <w:vertAlign w:val="superscript"/>
          <w:lang w:val="es-ES"/>
        </w:rPr>
        <w:footnoteReference w:id="667"/>
      </w:r>
      <w:r w:rsidRPr="00470C7C">
        <w:rPr>
          <w:rFonts w:eastAsia="Calibri" w:cs="Times New Roman"/>
          <w:szCs w:val="20"/>
          <w:lang w:val="es-ES"/>
        </w:rPr>
        <w:t xml:space="preserve">.  En tal sentido, se podría afirmar que la discriminación que se tiene en consideración en la Sentencia se vincula más con la posición económica o la pobreza de las víctimas, </w:t>
      </w:r>
      <w:proofErr w:type="gramStart"/>
      <w:r w:rsidRPr="00470C7C">
        <w:rPr>
          <w:rFonts w:eastAsia="Calibri" w:cs="Times New Roman"/>
          <w:szCs w:val="20"/>
          <w:lang w:val="es-ES"/>
        </w:rPr>
        <w:t>que</w:t>
      </w:r>
      <w:proofErr w:type="gramEnd"/>
      <w:r w:rsidRPr="00470C7C">
        <w:rPr>
          <w:rFonts w:eastAsia="Calibri" w:cs="Times New Roman"/>
          <w:szCs w:val="20"/>
          <w:lang w:val="es-ES"/>
        </w:rPr>
        <w:t xml:space="preserve"> con su desempeño en trabajo de esclavos, el que sería una de las consecuencias de su posición económica o situación de pobreza</w:t>
      </w:r>
      <w:r w:rsidRPr="00470C7C">
        <w:rPr>
          <w:rFonts w:eastAsia="Calibri" w:cs="Times New Roman"/>
          <w:szCs w:val="20"/>
          <w:vertAlign w:val="superscript"/>
          <w:lang w:val="es-ES"/>
        </w:rPr>
        <w:footnoteReference w:id="668"/>
      </w:r>
      <w:r w:rsidRPr="00470C7C">
        <w:rPr>
          <w:rFonts w:eastAsia="Calibri" w:cs="Times New Roman"/>
          <w:szCs w:val="20"/>
          <w:lang w:val="es-ES"/>
        </w:rPr>
        <w:t>.</w:t>
      </w:r>
    </w:p>
    <w:p w14:paraId="7647610B" w14:textId="77777777" w:rsidR="00130785" w:rsidRPr="00470C7C" w:rsidRDefault="00130785" w:rsidP="00130785">
      <w:pPr>
        <w:tabs>
          <w:tab w:val="clear" w:pos="4419"/>
          <w:tab w:val="clear" w:pos="8838"/>
        </w:tabs>
        <w:spacing w:after="200" w:line="276" w:lineRule="auto"/>
        <w:ind w:left="720"/>
        <w:contextualSpacing/>
        <w:rPr>
          <w:rFonts w:eastAsia="Calibri" w:cs="Times New Roman"/>
          <w:szCs w:val="20"/>
          <w:lang w:val="es-ES"/>
        </w:rPr>
      </w:pPr>
    </w:p>
    <w:p w14:paraId="2B62E36D" w14:textId="77777777" w:rsidR="00130785" w:rsidRPr="00470C7C" w:rsidRDefault="00130785" w:rsidP="008B0BCC">
      <w:pPr>
        <w:numPr>
          <w:ilvl w:val="0"/>
          <w:numId w:val="27"/>
        </w:numPr>
        <w:tabs>
          <w:tab w:val="clear" w:pos="4419"/>
          <w:tab w:val="clear" w:pos="8838"/>
        </w:tabs>
        <w:spacing w:after="200" w:line="276" w:lineRule="auto"/>
        <w:contextualSpacing/>
        <w:jc w:val="both"/>
        <w:rPr>
          <w:rFonts w:eastAsia="Calibri" w:cs="Times New Roman"/>
          <w:szCs w:val="20"/>
          <w:lang w:val="es-ES"/>
        </w:rPr>
      </w:pPr>
      <w:r w:rsidRPr="00470C7C">
        <w:rPr>
          <w:rFonts w:eastAsia="Calibri" w:cs="Times New Roman"/>
          <w:szCs w:val="20"/>
          <w:lang w:val="es-ES"/>
        </w:rPr>
        <w:t>Vale decir, en mérito de que a la Corte solo le ha correspondido pronunciarse, acorde a los antecedentes que obran en autos, sobre el específico caso que le ha sido sometido, la responsabilidad internacional del Estado, declarada en el Punto Resolutivo No. 4 de la Sentencia, dice relación únicamente con la especial situación de los mencionados trabajadores, y no con la “discriminación estructural histórica” existente en el momento de los hechos del presente caso, la que, empero, constituye el contexto en que estos últimos tuvieron lugar y, en consecuencia y en cierta medida, los explica, más no los justifica</w:t>
      </w:r>
      <w:r w:rsidRPr="00470C7C">
        <w:rPr>
          <w:rFonts w:eastAsia="Calibri" w:cs="Times New Roman"/>
          <w:szCs w:val="20"/>
          <w:vertAlign w:val="superscript"/>
          <w:lang w:val="es-ES"/>
        </w:rPr>
        <w:footnoteReference w:id="669"/>
      </w:r>
      <w:r w:rsidRPr="00470C7C">
        <w:rPr>
          <w:rFonts w:eastAsia="Calibri" w:cs="Times New Roman"/>
          <w:szCs w:val="20"/>
          <w:lang w:val="es-ES"/>
        </w:rPr>
        <w:t>.</w:t>
      </w:r>
    </w:p>
    <w:p w14:paraId="0BBB8CF7" w14:textId="77777777" w:rsidR="00130785" w:rsidRPr="00470C7C" w:rsidRDefault="00130785" w:rsidP="00130785">
      <w:pPr>
        <w:tabs>
          <w:tab w:val="clear" w:pos="4419"/>
          <w:tab w:val="clear" w:pos="8838"/>
        </w:tabs>
        <w:jc w:val="both"/>
        <w:rPr>
          <w:rFonts w:eastAsia="Calibri" w:cs="Times New Roman"/>
          <w:szCs w:val="20"/>
          <w:lang w:val="es-ES"/>
        </w:rPr>
      </w:pPr>
    </w:p>
    <w:p w14:paraId="351B9455" w14:textId="77777777" w:rsidR="00130785" w:rsidRPr="00470C7C" w:rsidRDefault="00130785" w:rsidP="00130785">
      <w:pPr>
        <w:tabs>
          <w:tab w:val="clear" w:pos="4419"/>
          <w:tab w:val="clear" w:pos="8838"/>
        </w:tabs>
        <w:jc w:val="both"/>
        <w:rPr>
          <w:rFonts w:eastAsia="Calibri" w:cs="Times New Roman"/>
          <w:szCs w:val="20"/>
          <w:lang w:val="es-ES"/>
        </w:rPr>
      </w:pPr>
    </w:p>
    <w:p w14:paraId="7E1647FB" w14:textId="77777777" w:rsidR="00130785" w:rsidRPr="00470C7C" w:rsidRDefault="00130785" w:rsidP="00130785">
      <w:pPr>
        <w:tabs>
          <w:tab w:val="clear" w:pos="4419"/>
          <w:tab w:val="clear" w:pos="8838"/>
        </w:tabs>
        <w:jc w:val="right"/>
        <w:rPr>
          <w:rFonts w:eastAsia="Calibri" w:cs="Times New Roman"/>
          <w:szCs w:val="20"/>
          <w:lang w:val="es-ES"/>
        </w:rPr>
      </w:pPr>
    </w:p>
    <w:p w14:paraId="37D476D9" w14:textId="77777777" w:rsidR="00130785" w:rsidRPr="00470C7C" w:rsidRDefault="00130785" w:rsidP="00130785">
      <w:pPr>
        <w:tabs>
          <w:tab w:val="clear" w:pos="4419"/>
          <w:tab w:val="clear" w:pos="8838"/>
        </w:tabs>
        <w:jc w:val="right"/>
        <w:rPr>
          <w:rFonts w:eastAsia="Calibri" w:cs="Times New Roman"/>
          <w:szCs w:val="20"/>
          <w:lang w:val="es-ES"/>
        </w:rPr>
      </w:pPr>
    </w:p>
    <w:p w14:paraId="6CE036AD" w14:textId="77777777" w:rsidR="00130785" w:rsidRPr="00470C7C" w:rsidRDefault="00130785" w:rsidP="00130785">
      <w:pPr>
        <w:tabs>
          <w:tab w:val="clear" w:pos="4419"/>
          <w:tab w:val="clear" w:pos="8838"/>
        </w:tabs>
        <w:jc w:val="right"/>
        <w:rPr>
          <w:rFonts w:eastAsia="Calibri" w:cs="Times New Roman"/>
          <w:szCs w:val="20"/>
          <w:lang w:val="es-ES"/>
        </w:rPr>
      </w:pPr>
    </w:p>
    <w:p w14:paraId="709E6E80" w14:textId="77777777" w:rsidR="00130785" w:rsidRPr="00470C7C" w:rsidRDefault="00130785" w:rsidP="00130785">
      <w:pPr>
        <w:tabs>
          <w:tab w:val="clear" w:pos="4419"/>
          <w:tab w:val="clear" w:pos="8838"/>
        </w:tabs>
        <w:jc w:val="right"/>
        <w:rPr>
          <w:rFonts w:eastAsia="Calibri" w:cs="Times New Roman"/>
          <w:szCs w:val="20"/>
          <w:lang w:val="es-ES"/>
        </w:rPr>
      </w:pPr>
    </w:p>
    <w:p w14:paraId="090214D2" w14:textId="77777777" w:rsidR="00130785" w:rsidRPr="00470C7C" w:rsidRDefault="00130785" w:rsidP="00130785">
      <w:pPr>
        <w:tabs>
          <w:tab w:val="clear" w:pos="4419"/>
          <w:tab w:val="clear" w:pos="8838"/>
        </w:tabs>
        <w:jc w:val="right"/>
        <w:rPr>
          <w:rFonts w:eastAsia="Calibri" w:cs="Times New Roman"/>
          <w:szCs w:val="20"/>
          <w:lang w:val="es-ES"/>
        </w:rPr>
      </w:pPr>
    </w:p>
    <w:p w14:paraId="2FE57A8E" w14:textId="77777777" w:rsidR="00130785" w:rsidRPr="00470C7C" w:rsidRDefault="00130785" w:rsidP="00130785">
      <w:pPr>
        <w:tabs>
          <w:tab w:val="clear" w:pos="4419"/>
          <w:tab w:val="clear" w:pos="8838"/>
        </w:tabs>
        <w:jc w:val="right"/>
        <w:rPr>
          <w:rFonts w:eastAsia="Calibri" w:cs="Times New Roman"/>
          <w:szCs w:val="20"/>
          <w:lang w:val="es-ES"/>
        </w:rPr>
      </w:pPr>
      <w:r w:rsidRPr="00470C7C">
        <w:rPr>
          <w:rFonts w:eastAsia="Calibri" w:cs="Times New Roman"/>
          <w:szCs w:val="20"/>
          <w:lang w:val="es-ES"/>
        </w:rPr>
        <w:t>Eduardo Vio Grossi</w:t>
      </w:r>
    </w:p>
    <w:p w14:paraId="119B7141" w14:textId="77777777" w:rsidR="00130785" w:rsidRPr="00470C7C" w:rsidRDefault="00130785" w:rsidP="00130785">
      <w:pPr>
        <w:tabs>
          <w:tab w:val="clear" w:pos="4419"/>
          <w:tab w:val="clear" w:pos="8838"/>
        </w:tabs>
        <w:ind w:left="6354" w:firstLine="706"/>
        <w:jc w:val="center"/>
        <w:rPr>
          <w:rFonts w:eastAsia="Calibri" w:cs="Times New Roman"/>
          <w:szCs w:val="20"/>
          <w:lang w:val="es-ES"/>
        </w:rPr>
      </w:pPr>
      <w:r w:rsidRPr="00470C7C">
        <w:rPr>
          <w:rFonts w:eastAsia="Calibri" w:cs="Times New Roman"/>
          <w:szCs w:val="20"/>
          <w:lang w:val="es-ES"/>
        </w:rPr>
        <w:t>Juez</w:t>
      </w:r>
    </w:p>
    <w:p w14:paraId="13549206" w14:textId="77777777" w:rsidR="00130785" w:rsidRPr="00470C7C" w:rsidRDefault="00130785" w:rsidP="00130785">
      <w:pPr>
        <w:tabs>
          <w:tab w:val="clear" w:pos="4419"/>
          <w:tab w:val="clear" w:pos="8838"/>
        </w:tabs>
        <w:jc w:val="right"/>
        <w:rPr>
          <w:rFonts w:eastAsia="Calibri" w:cs="Times New Roman"/>
          <w:szCs w:val="20"/>
          <w:lang w:val="es-ES"/>
        </w:rPr>
      </w:pPr>
    </w:p>
    <w:p w14:paraId="2E72A7A1" w14:textId="77777777" w:rsidR="00130785" w:rsidRPr="00470C7C" w:rsidRDefault="00130785" w:rsidP="00130785">
      <w:pPr>
        <w:tabs>
          <w:tab w:val="clear" w:pos="4419"/>
          <w:tab w:val="clear" w:pos="8838"/>
        </w:tabs>
        <w:spacing w:after="200" w:line="276" w:lineRule="auto"/>
        <w:ind w:right="4585"/>
        <w:contextualSpacing/>
        <w:rPr>
          <w:rFonts w:eastAsia="Calibri" w:cs="Verdana"/>
          <w:szCs w:val="20"/>
          <w:lang w:val="es-MX" w:eastAsia="es-MX"/>
        </w:rPr>
      </w:pPr>
    </w:p>
    <w:p w14:paraId="7F958ED8" w14:textId="77777777" w:rsidR="00130785" w:rsidRPr="00470C7C" w:rsidRDefault="00130785" w:rsidP="00130785">
      <w:pPr>
        <w:tabs>
          <w:tab w:val="clear" w:pos="4419"/>
          <w:tab w:val="clear" w:pos="8838"/>
        </w:tabs>
        <w:spacing w:after="200" w:line="276" w:lineRule="auto"/>
        <w:ind w:right="4585"/>
        <w:contextualSpacing/>
        <w:rPr>
          <w:rFonts w:eastAsia="Calibri" w:cs="Verdana"/>
          <w:szCs w:val="20"/>
          <w:lang w:val="es-MX" w:eastAsia="es-MX"/>
        </w:rPr>
      </w:pPr>
    </w:p>
    <w:p w14:paraId="2795FFFD" w14:textId="77777777" w:rsidR="00130785" w:rsidRPr="00470C7C" w:rsidRDefault="00130785" w:rsidP="00130785">
      <w:pPr>
        <w:tabs>
          <w:tab w:val="clear" w:pos="4419"/>
          <w:tab w:val="clear" w:pos="8838"/>
        </w:tabs>
        <w:spacing w:after="200" w:line="276" w:lineRule="auto"/>
        <w:ind w:right="4585"/>
        <w:contextualSpacing/>
        <w:rPr>
          <w:rFonts w:eastAsia="Calibri" w:cs="Verdana"/>
          <w:szCs w:val="20"/>
          <w:lang w:val="es-MX" w:eastAsia="es-MX"/>
        </w:rPr>
      </w:pPr>
      <w:r w:rsidRPr="00470C7C">
        <w:rPr>
          <w:rFonts w:eastAsia="Calibri" w:cs="Verdana"/>
          <w:szCs w:val="20"/>
          <w:lang w:val="es-MX" w:eastAsia="es-MX"/>
        </w:rPr>
        <w:t>Pablo Saavedra Alessandri</w:t>
      </w:r>
    </w:p>
    <w:p w14:paraId="408A48C7" w14:textId="77777777" w:rsidR="00130785" w:rsidRPr="00470C7C" w:rsidRDefault="00130785" w:rsidP="00130785">
      <w:pPr>
        <w:tabs>
          <w:tab w:val="clear" w:pos="4419"/>
          <w:tab w:val="clear" w:pos="8838"/>
        </w:tabs>
        <w:spacing w:after="200" w:line="276" w:lineRule="auto"/>
        <w:ind w:right="4585" w:firstLine="720"/>
        <w:contextualSpacing/>
        <w:rPr>
          <w:rFonts w:eastAsia="Calibri" w:cs="Verdana"/>
          <w:szCs w:val="20"/>
          <w:lang w:val="es-MX" w:eastAsia="es-MX"/>
        </w:rPr>
      </w:pPr>
      <w:r w:rsidRPr="00470C7C">
        <w:rPr>
          <w:rFonts w:eastAsia="Calibri" w:cs="Verdana"/>
          <w:szCs w:val="20"/>
          <w:lang w:val="es-MX" w:eastAsia="es-MX"/>
        </w:rPr>
        <w:t xml:space="preserve">  Secretario</w:t>
      </w:r>
    </w:p>
    <w:p w14:paraId="1416D928" w14:textId="77777777" w:rsidR="00130785" w:rsidRPr="00470C7C" w:rsidRDefault="00130785" w:rsidP="00130785">
      <w:pPr>
        <w:tabs>
          <w:tab w:val="clear" w:pos="4419"/>
          <w:tab w:val="clear" w:pos="8838"/>
        </w:tabs>
        <w:jc w:val="right"/>
        <w:rPr>
          <w:rFonts w:eastAsia="Calibri" w:cs="Times New Roman"/>
          <w:szCs w:val="20"/>
          <w:lang w:val="es-AR"/>
        </w:rPr>
      </w:pPr>
    </w:p>
    <w:p w14:paraId="4B95855C" w14:textId="77777777" w:rsidR="00130785" w:rsidRPr="00470C7C" w:rsidRDefault="00130785" w:rsidP="00F74CCF">
      <w:pPr>
        <w:tabs>
          <w:tab w:val="left" w:pos="720"/>
        </w:tabs>
        <w:ind w:right="-90"/>
        <w:contextualSpacing/>
        <w:rPr>
          <w:bCs/>
          <w:szCs w:val="20"/>
        </w:rPr>
        <w:sectPr w:rsidR="00130785" w:rsidRPr="00470C7C" w:rsidSect="00130785">
          <w:footerReference w:type="default" r:id="rId12"/>
          <w:footnotePr>
            <w:numRestart w:val="eachSect"/>
          </w:footnotePr>
          <w:pgSz w:w="12240" w:h="15840"/>
          <w:pgMar w:top="1417" w:right="1701" w:bottom="1417" w:left="1701" w:header="708" w:footer="708" w:gutter="0"/>
          <w:pgNumType w:start="1"/>
          <w:cols w:space="708"/>
          <w:titlePg/>
          <w:docGrid w:linePitch="360"/>
        </w:sectPr>
      </w:pPr>
    </w:p>
    <w:p w14:paraId="4229EC3E" w14:textId="77777777" w:rsidR="00130785" w:rsidRPr="00470C7C" w:rsidRDefault="00130785" w:rsidP="00130785">
      <w:pPr>
        <w:tabs>
          <w:tab w:val="clear" w:pos="4419"/>
          <w:tab w:val="clear" w:pos="8838"/>
          <w:tab w:val="left" w:pos="567"/>
          <w:tab w:val="left" w:pos="1134"/>
        </w:tabs>
        <w:ind w:right="29"/>
        <w:jc w:val="center"/>
        <w:rPr>
          <w:rFonts w:eastAsia="Calibri" w:cs="Times New Roman"/>
          <w:b/>
          <w:szCs w:val="20"/>
        </w:rPr>
      </w:pPr>
    </w:p>
    <w:p w14:paraId="5D58EDD9" w14:textId="77777777" w:rsidR="00130785" w:rsidRPr="00470C7C" w:rsidRDefault="00130785" w:rsidP="00130785">
      <w:pPr>
        <w:tabs>
          <w:tab w:val="clear" w:pos="4419"/>
          <w:tab w:val="clear" w:pos="8838"/>
          <w:tab w:val="left" w:pos="567"/>
          <w:tab w:val="left" w:pos="1134"/>
        </w:tabs>
        <w:ind w:right="29"/>
        <w:jc w:val="center"/>
        <w:rPr>
          <w:rFonts w:eastAsia="Calibri" w:cs="Times New Roman"/>
          <w:b/>
          <w:szCs w:val="20"/>
        </w:rPr>
      </w:pPr>
    </w:p>
    <w:p w14:paraId="37A98A2E" w14:textId="77777777" w:rsidR="00130785" w:rsidRPr="00470C7C" w:rsidRDefault="00130785" w:rsidP="00130785">
      <w:pPr>
        <w:tabs>
          <w:tab w:val="clear" w:pos="4419"/>
          <w:tab w:val="clear" w:pos="8838"/>
          <w:tab w:val="left" w:pos="567"/>
          <w:tab w:val="left" w:pos="1134"/>
        </w:tabs>
        <w:ind w:right="29"/>
        <w:jc w:val="center"/>
        <w:rPr>
          <w:rFonts w:eastAsia="Calibri" w:cs="Times New Roman"/>
          <w:b/>
          <w:szCs w:val="20"/>
        </w:rPr>
      </w:pPr>
    </w:p>
    <w:p w14:paraId="7E26D336" w14:textId="77777777" w:rsidR="00130785" w:rsidRPr="00470C7C" w:rsidRDefault="00130785" w:rsidP="00130785">
      <w:pPr>
        <w:tabs>
          <w:tab w:val="clear" w:pos="4419"/>
          <w:tab w:val="clear" w:pos="8838"/>
          <w:tab w:val="left" w:pos="567"/>
          <w:tab w:val="left" w:pos="1134"/>
        </w:tabs>
        <w:ind w:right="29"/>
        <w:jc w:val="center"/>
        <w:rPr>
          <w:rFonts w:eastAsia="Calibri" w:cs="Times New Roman"/>
          <w:b/>
          <w:szCs w:val="20"/>
        </w:rPr>
      </w:pPr>
    </w:p>
    <w:p w14:paraId="3281A9EA" w14:textId="77777777" w:rsidR="00130785" w:rsidRPr="00470C7C" w:rsidRDefault="00130785" w:rsidP="00130785">
      <w:pPr>
        <w:tabs>
          <w:tab w:val="clear" w:pos="4419"/>
          <w:tab w:val="clear" w:pos="8838"/>
          <w:tab w:val="left" w:pos="567"/>
          <w:tab w:val="left" w:pos="1134"/>
        </w:tabs>
        <w:ind w:right="29"/>
        <w:jc w:val="both"/>
        <w:rPr>
          <w:rFonts w:eastAsia="Calibri" w:cs="Times New Roman"/>
          <w:b/>
          <w:szCs w:val="20"/>
        </w:rPr>
      </w:pPr>
    </w:p>
    <w:p w14:paraId="3360540B" w14:textId="77777777" w:rsidR="00130785" w:rsidRPr="00470C7C" w:rsidRDefault="00130785" w:rsidP="00130785">
      <w:pPr>
        <w:tabs>
          <w:tab w:val="clear" w:pos="4419"/>
          <w:tab w:val="clear" w:pos="8838"/>
          <w:tab w:val="left" w:pos="567"/>
          <w:tab w:val="left" w:pos="1134"/>
        </w:tabs>
        <w:ind w:right="29"/>
        <w:jc w:val="both"/>
        <w:rPr>
          <w:rFonts w:eastAsia="Calibri" w:cs="Times New Roman"/>
          <w:b/>
          <w:szCs w:val="20"/>
        </w:rPr>
      </w:pPr>
    </w:p>
    <w:p w14:paraId="11850244" w14:textId="77777777" w:rsidR="00130785" w:rsidRPr="00470C7C" w:rsidRDefault="00130785" w:rsidP="00130785">
      <w:pPr>
        <w:tabs>
          <w:tab w:val="clear" w:pos="4419"/>
          <w:tab w:val="clear" w:pos="8838"/>
          <w:tab w:val="left" w:pos="567"/>
          <w:tab w:val="left" w:pos="1134"/>
        </w:tabs>
        <w:ind w:right="29"/>
        <w:jc w:val="both"/>
        <w:rPr>
          <w:rFonts w:eastAsia="Calibri" w:cs="Times New Roman"/>
          <w:b/>
          <w:szCs w:val="20"/>
        </w:rPr>
      </w:pPr>
    </w:p>
    <w:p w14:paraId="36B49D21" w14:textId="77777777" w:rsidR="00130785" w:rsidRPr="00470C7C" w:rsidRDefault="00130785" w:rsidP="00130785">
      <w:pPr>
        <w:tabs>
          <w:tab w:val="clear" w:pos="4419"/>
          <w:tab w:val="clear" w:pos="8838"/>
          <w:tab w:val="left" w:pos="567"/>
          <w:tab w:val="left" w:pos="1134"/>
        </w:tabs>
        <w:ind w:right="29"/>
        <w:jc w:val="both"/>
        <w:rPr>
          <w:rFonts w:eastAsia="Calibri" w:cs="Times New Roman"/>
          <w:b/>
          <w:snapToGrid w:val="0"/>
          <w:szCs w:val="20"/>
          <w:lang w:val="es-ES"/>
        </w:rPr>
      </w:pPr>
      <w:r w:rsidRPr="00470C7C">
        <w:rPr>
          <w:rFonts w:eastAsia="Calibri" w:cs="Times New Roman"/>
          <w:b/>
          <w:szCs w:val="20"/>
        </w:rPr>
        <w:t>VOTO PARCIALMENTE DISIDENTE DEL JUEZ HUMBERTO ANTONIO SIERRA PORTO</w:t>
      </w:r>
    </w:p>
    <w:p w14:paraId="49FCDE31" w14:textId="77777777" w:rsidR="00130785" w:rsidRPr="00470C7C" w:rsidRDefault="00130785" w:rsidP="00130785">
      <w:pPr>
        <w:tabs>
          <w:tab w:val="clear" w:pos="4419"/>
          <w:tab w:val="clear" w:pos="8838"/>
          <w:tab w:val="left" w:pos="567"/>
          <w:tab w:val="left" w:pos="1134"/>
        </w:tabs>
        <w:ind w:right="29"/>
        <w:jc w:val="center"/>
        <w:rPr>
          <w:rFonts w:eastAsia="Calibri" w:cs="Times New Roman"/>
          <w:b/>
          <w:snapToGrid w:val="0"/>
          <w:szCs w:val="20"/>
          <w:lang w:val="es-ES"/>
        </w:rPr>
      </w:pPr>
    </w:p>
    <w:p w14:paraId="04E4EA87" w14:textId="77777777" w:rsidR="00130785" w:rsidRPr="00470C7C" w:rsidRDefault="00130785" w:rsidP="00130785">
      <w:pPr>
        <w:tabs>
          <w:tab w:val="clear" w:pos="4419"/>
          <w:tab w:val="clear" w:pos="8838"/>
          <w:tab w:val="left" w:pos="567"/>
          <w:tab w:val="left" w:pos="1134"/>
        </w:tabs>
        <w:ind w:right="29"/>
        <w:jc w:val="center"/>
        <w:rPr>
          <w:rFonts w:eastAsia="Calibri" w:cs="Times New Roman"/>
          <w:b/>
          <w:snapToGrid w:val="0"/>
          <w:szCs w:val="20"/>
          <w:lang w:val="es-ES"/>
        </w:rPr>
      </w:pPr>
      <w:r w:rsidRPr="00470C7C">
        <w:rPr>
          <w:rFonts w:eastAsia="Calibri" w:cs="Times New Roman"/>
          <w:b/>
          <w:snapToGrid w:val="0"/>
          <w:szCs w:val="20"/>
          <w:lang w:val="es-ES"/>
        </w:rPr>
        <w:t>CORTE INTERAMERICANA DE DERECHOS HUMANOS</w:t>
      </w:r>
    </w:p>
    <w:p w14:paraId="5D05DFA9" w14:textId="77777777" w:rsidR="00130785" w:rsidRPr="00470C7C" w:rsidRDefault="00130785" w:rsidP="00130785">
      <w:pPr>
        <w:tabs>
          <w:tab w:val="clear" w:pos="4419"/>
          <w:tab w:val="clear" w:pos="8838"/>
        </w:tabs>
        <w:ind w:right="-138"/>
        <w:jc w:val="center"/>
        <w:rPr>
          <w:rFonts w:eastAsia="MS Mincho" w:cs="Times New Roman"/>
          <w:b/>
          <w:szCs w:val="20"/>
          <w:lang w:val="es-ES"/>
        </w:rPr>
      </w:pPr>
    </w:p>
    <w:p w14:paraId="45622D16" w14:textId="77777777" w:rsidR="00130785" w:rsidRPr="00470C7C" w:rsidRDefault="00130785" w:rsidP="00130785">
      <w:pPr>
        <w:tabs>
          <w:tab w:val="clear" w:pos="4419"/>
          <w:tab w:val="clear" w:pos="8838"/>
        </w:tabs>
        <w:ind w:right="-138"/>
        <w:jc w:val="center"/>
        <w:rPr>
          <w:rFonts w:eastAsia="MS Mincho" w:cs="Times New Roman"/>
          <w:b/>
          <w:sz w:val="16"/>
          <w:szCs w:val="20"/>
          <w:lang w:val="es-ES_tradnl"/>
        </w:rPr>
      </w:pPr>
      <w:r w:rsidRPr="00470C7C">
        <w:rPr>
          <w:rFonts w:eastAsia="MS Mincho" w:cs="Times New Roman"/>
          <w:b/>
          <w:szCs w:val="20"/>
          <w:lang w:val="es-ES"/>
        </w:rPr>
        <w:t xml:space="preserve">CASO TRABAJADORES DE LA HACIENDA BRASIL VERDE </w:t>
      </w:r>
      <w:r w:rsidRPr="00470C7C">
        <w:rPr>
          <w:rFonts w:eastAsia="MS Mincho" w:cs="Times New Roman"/>
          <w:b/>
          <w:i/>
          <w:szCs w:val="20"/>
          <w:lang w:val="es-ES"/>
        </w:rPr>
        <w:t>VS</w:t>
      </w:r>
      <w:r w:rsidRPr="00470C7C">
        <w:rPr>
          <w:rFonts w:eastAsia="MS Mincho" w:cs="Times New Roman"/>
          <w:b/>
          <w:szCs w:val="20"/>
          <w:lang w:val="es-ES"/>
        </w:rPr>
        <w:t xml:space="preserve">. </w:t>
      </w:r>
      <w:r w:rsidRPr="00470C7C">
        <w:rPr>
          <w:rFonts w:eastAsia="MS Mincho" w:cs="Times New Roman"/>
          <w:b/>
          <w:szCs w:val="20"/>
          <w:lang w:val="es-ES_tradnl"/>
        </w:rPr>
        <w:t>BRASIL</w:t>
      </w:r>
    </w:p>
    <w:p w14:paraId="626884E6" w14:textId="77777777" w:rsidR="00130785" w:rsidRPr="00470C7C" w:rsidRDefault="00130785" w:rsidP="00130785">
      <w:pPr>
        <w:tabs>
          <w:tab w:val="clear" w:pos="4419"/>
          <w:tab w:val="clear" w:pos="8838"/>
        </w:tabs>
        <w:ind w:right="-138"/>
        <w:jc w:val="center"/>
        <w:rPr>
          <w:rFonts w:eastAsia="MS Mincho" w:cs="Times New Roman"/>
          <w:b/>
          <w:szCs w:val="20"/>
          <w:lang w:val="es-ES_tradnl"/>
        </w:rPr>
      </w:pPr>
    </w:p>
    <w:p w14:paraId="5EBF5893" w14:textId="77777777" w:rsidR="00130785" w:rsidRPr="00470C7C" w:rsidRDefault="00130785" w:rsidP="00130785">
      <w:pPr>
        <w:tabs>
          <w:tab w:val="clear" w:pos="4419"/>
          <w:tab w:val="clear" w:pos="8838"/>
        </w:tabs>
        <w:ind w:right="-138"/>
        <w:jc w:val="center"/>
        <w:rPr>
          <w:rFonts w:eastAsia="MS Mincho" w:cs="Times New Roman"/>
          <w:b/>
          <w:szCs w:val="20"/>
          <w:lang w:val="es-ES_tradnl"/>
        </w:rPr>
      </w:pPr>
      <w:r w:rsidRPr="00470C7C">
        <w:rPr>
          <w:rFonts w:eastAsia="MS Mincho" w:cs="Times New Roman"/>
          <w:b/>
          <w:szCs w:val="20"/>
          <w:lang w:val="es-ES_tradnl"/>
        </w:rPr>
        <w:t>SENTENCIA DE 20 OCTUBRE DE 2016</w:t>
      </w:r>
    </w:p>
    <w:p w14:paraId="6DB5E441" w14:textId="77777777" w:rsidR="00130785" w:rsidRPr="00470C7C" w:rsidRDefault="00130785" w:rsidP="00130785">
      <w:pPr>
        <w:tabs>
          <w:tab w:val="clear" w:pos="4419"/>
          <w:tab w:val="clear" w:pos="8838"/>
        </w:tabs>
        <w:jc w:val="center"/>
        <w:rPr>
          <w:rFonts w:ascii="Verdana Bold" w:eastAsia="Calibri" w:hAnsi="Verdana Bold" w:cs="Times New Roman"/>
          <w:b/>
          <w:i/>
          <w:snapToGrid w:val="0"/>
          <w:szCs w:val="20"/>
          <w:lang w:val="es-ES"/>
        </w:rPr>
      </w:pPr>
      <w:r w:rsidRPr="00470C7C">
        <w:rPr>
          <w:rFonts w:ascii="Verdana Bold" w:eastAsia="Times New Roman" w:hAnsi="Verdana Bold" w:cs="Times New Roman"/>
          <w:b/>
          <w:i/>
          <w:iCs/>
          <w:szCs w:val="24"/>
          <w:lang w:val="es-ES_tradnl"/>
        </w:rPr>
        <w:t>(Excepciones Preliminares, Fondo, Reparaciones y Costas)</w:t>
      </w:r>
    </w:p>
    <w:p w14:paraId="76027E2E" w14:textId="77777777" w:rsidR="00130785" w:rsidRPr="00470C7C" w:rsidRDefault="00130785" w:rsidP="00130785">
      <w:pPr>
        <w:tabs>
          <w:tab w:val="clear" w:pos="4419"/>
          <w:tab w:val="clear" w:pos="8838"/>
        </w:tabs>
        <w:jc w:val="both"/>
        <w:rPr>
          <w:rFonts w:eastAsia="Calibri" w:cs="Times New Roman"/>
          <w:snapToGrid w:val="0"/>
          <w:szCs w:val="20"/>
          <w:lang w:val="es-ES"/>
        </w:rPr>
      </w:pPr>
    </w:p>
    <w:p w14:paraId="58AFB28E" w14:textId="77777777" w:rsidR="00130785" w:rsidRPr="00470C7C" w:rsidRDefault="00130785" w:rsidP="00130785">
      <w:pPr>
        <w:tabs>
          <w:tab w:val="clear" w:pos="4419"/>
          <w:tab w:val="clear" w:pos="8838"/>
        </w:tabs>
        <w:jc w:val="both"/>
        <w:rPr>
          <w:rFonts w:eastAsia="Calibri" w:cs="Times New Roman"/>
          <w:snapToGrid w:val="0"/>
          <w:szCs w:val="20"/>
          <w:lang w:val="es-ES"/>
        </w:rPr>
      </w:pPr>
    </w:p>
    <w:p w14:paraId="6761D790"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El motivo del presente voto es expresar los motivos de mi disidencia parcial respecto de lo decidido por la mayoría de los Jueces de la Corte Interamericana de Derechos Humanos (en adelante “la Corte” o “el Tribunal”) en la Sentencia de 20 de octubre de 2016 sobre el caso </w:t>
      </w:r>
      <w:r w:rsidRPr="00470C7C">
        <w:rPr>
          <w:rFonts w:eastAsia="Calibri" w:cs="Times New Roman"/>
          <w:i/>
          <w:snapToGrid w:val="0"/>
          <w:szCs w:val="20"/>
          <w:lang w:val="es-ES"/>
        </w:rPr>
        <w:t>Trabajadores de la Hacienda Brasil Verde Vs. Brasil</w:t>
      </w:r>
      <w:r w:rsidRPr="00470C7C">
        <w:rPr>
          <w:rFonts w:eastAsia="Calibri" w:cs="Times New Roman"/>
          <w:snapToGrid w:val="0"/>
          <w:szCs w:val="20"/>
          <w:lang w:val="es-ES"/>
        </w:rPr>
        <w:t>.</w:t>
      </w:r>
    </w:p>
    <w:p w14:paraId="2F979152" w14:textId="77777777" w:rsidR="00130785" w:rsidRPr="00470C7C" w:rsidRDefault="00130785" w:rsidP="00130785">
      <w:pPr>
        <w:tabs>
          <w:tab w:val="clear" w:pos="4419"/>
          <w:tab w:val="clear" w:pos="8838"/>
        </w:tabs>
        <w:contextualSpacing/>
        <w:jc w:val="both"/>
        <w:rPr>
          <w:rFonts w:eastAsia="Calibri" w:cs="Times New Roman"/>
          <w:snapToGrid w:val="0"/>
          <w:szCs w:val="20"/>
          <w:lang w:val="es-ES"/>
        </w:rPr>
      </w:pPr>
    </w:p>
    <w:p w14:paraId="64AEC0BE"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i/>
          <w:snapToGrid w:val="0"/>
          <w:szCs w:val="20"/>
          <w:lang w:val="es-ES"/>
        </w:rPr>
        <w:t xml:space="preserve"> </w:t>
      </w:r>
      <w:r w:rsidRPr="00470C7C">
        <w:rPr>
          <w:rFonts w:eastAsia="Calibri" w:cs="Times New Roman"/>
          <w:snapToGrid w:val="0"/>
          <w:szCs w:val="20"/>
          <w:lang w:val="es-ES"/>
        </w:rPr>
        <w:t xml:space="preserve">Mi discrepancia respecto de la posición que se ha adoptado se refiere al punto resolutivo 4, en el que la Corte determinó </w:t>
      </w:r>
      <w:r w:rsidRPr="00470C7C">
        <w:rPr>
          <w:rFonts w:eastAsia="Cambria" w:cs="Times New Roman"/>
          <w:lang w:val="es-ES"/>
        </w:rPr>
        <w:t xml:space="preserve">la violación del artículo 6.1 de la Convención Americana </w:t>
      </w:r>
      <w:r w:rsidRPr="00470C7C">
        <w:rPr>
          <w:rFonts w:eastAsia="Cambria" w:cs="Times New Roman"/>
          <w:szCs w:val="20"/>
          <w:lang w:val="es-ES"/>
        </w:rPr>
        <w:t>sobre Derechos Humanos</w:t>
      </w:r>
      <w:r w:rsidRPr="00470C7C">
        <w:rPr>
          <w:rFonts w:eastAsia="Cambria" w:cs="Times New Roman"/>
          <w:lang w:val="es-ES"/>
        </w:rPr>
        <w:t>, en relación con el artículo 1.1 del mismo instrumento, producida en el marco de una “situación de discriminación estructural histórica”; así como al punto resolutivo 6, en el cual se determinó la violación d</w:t>
      </w:r>
      <w:r w:rsidRPr="00470C7C">
        <w:rPr>
          <w:rFonts w:eastAsia="Cambria" w:cs="Times New Roman"/>
          <w:szCs w:val="20"/>
          <w:lang w:val="es-ES"/>
        </w:rPr>
        <w:t>el derecho a la protección judicial, previsto en el artículo 25 de la Convención Americana</w:t>
      </w:r>
      <w:r w:rsidRPr="00470C7C">
        <w:rPr>
          <w:rFonts w:eastAsia="Calibri" w:cs="Times New Roman"/>
          <w:snapToGrid w:val="0"/>
          <w:szCs w:val="20"/>
          <w:lang w:val="es-ES"/>
        </w:rPr>
        <w:t>.</w:t>
      </w:r>
    </w:p>
    <w:p w14:paraId="1F251D94"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6DEC8776"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2615ABC3" w14:textId="77777777" w:rsidR="00130785" w:rsidRPr="00470C7C" w:rsidRDefault="00130785" w:rsidP="008B0BCC">
      <w:pPr>
        <w:numPr>
          <w:ilvl w:val="0"/>
          <w:numId w:val="29"/>
        </w:numPr>
        <w:tabs>
          <w:tab w:val="clear" w:pos="4419"/>
          <w:tab w:val="clear" w:pos="8838"/>
        </w:tabs>
        <w:contextualSpacing/>
        <w:jc w:val="both"/>
        <w:rPr>
          <w:rFonts w:eastAsia="Calibri" w:cs="Times New Roman"/>
          <w:b/>
          <w:snapToGrid w:val="0"/>
          <w:szCs w:val="20"/>
          <w:lang w:val="es-ES"/>
        </w:rPr>
      </w:pPr>
      <w:r w:rsidRPr="00470C7C">
        <w:rPr>
          <w:rFonts w:eastAsia="Calibri" w:cs="Times New Roman"/>
          <w:b/>
          <w:snapToGrid w:val="0"/>
          <w:szCs w:val="20"/>
          <w:lang w:val="es-ES"/>
        </w:rPr>
        <w:t xml:space="preserve">Disidencia respecto de la </w:t>
      </w:r>
      <w:r w:rsidRPr="00470C7C">
        <w:rPr>
          <w:rFonts w:eastAsia="Cambria" w:cs="Times New Roman"/>
          <w:b/>
          <w:lang w:val="es-ES"/>
        </w:rPr>
        <w:t xml:space="preserve">violación del artículo 6.1 de la Convención Americana </w:t>
      </w:r>
      <w:r w:rsidRPr="00470C7C">
        <w:rPr>
          <w:rFonts w:eastAsia="Cambria" w:cs="Times New Roman"/>
          <w:b/>
          <w:szCs w:val="20"/>
          <w:lang w:val="es-ES"/>
        </w:rPr>
        <w:t>sobre Derechos Humanos</w:t>
      </w:r>
      <w:r w:rsidRPr="00470C7C">
        <w:rPr>
          <w:rFonts w:eastAsia="Cambria" w:cs="Times New Roman"/>
          <w:b/>
          <w:lang w:val="es-ES"/>
        </w:rPr>
        <w:t>, en relación con el artículo 1.1 del mismo instrumento, producida en el marco de una situación de discriminación estructural histórica</w:t>
      </w:r>
    </w:p>
    <w:p w14:paraId="286B0EEA"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2E27EDE4"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4CDE1739"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mbria" w:cs="Times New Roman"/>
          <w:szCs w:val="20"/>
          <w:lang w:val="es-ES"/>
        </w:rPr>
        <w:t xml:space="preserve">La Corte determinó en la Sentencia del presente caso que </w:t>
      </w:r>
      <w:r w:rsidRPr="00470C7C">
        <w:rPr>
          <w:rFonts w:eastAsia="Cambria" w:cs="Times New Roman"/>
          <w:lang w:val="es-EC"/>
        </w:rPr>
        <w:t>“</w:t>
      </w:r>
      <w:r w:rsidRPr="00470C7C">
        <w:rPr>
          <w:rFonts w:eastAsia="Calibri" w:cs="Times New Roman"/>
          <w:szCs w:val="20"/>
          <w:lang w:val="es-ES"/>
        </w:rPr>
        <w:t>el Estado incurre en responsabilidad internacional en aquellos casos en que, habiendo discriminación estructural, no adopta medidas específicas respecto a la situación particular de victimización en que se concreta la vulnerabilidad sobre un círculo de personas individualizadas.</w:t>
      </w:r>
      <w:r w:rsidRPr="00470C7C">
        <w:rPr>
          <w:rFonts w:eastAsia="Calibri" w:cs="Times New Roman"/>
          <w:lang w:val="es-ES"/>
        </w:rPr>
        <w:t xml:space="preserve"> La propia victimización de estas demuestra su particular vulnerabilidad, lo que demanda una acción de protección también particular, que en el caso de las personas reclutadas en la Hacienda Brasil Verde se ha omitido”</w:t>
      </w:r>
      <w:r w:rsidRPr="00470C7C">
        <w:rPr>
          <w:rFonts w:eastAsia="Calibri" w:cs="Times New Roman"/>
          <w:szCs w:val="20"/>
          <w:vertAlign w:val="superscript"/>
          <w:lang w:val="es-ES"/>
        </w:rPr>
        <w:footnoteReference w:id="670"/>
      </w:r>
      <w:r w:rsidRPr="00470C7C">
        <w:rPr>
          <w:rFonts w:eastAsia="Calibri" w:cs="Times New Roman"/>
          <w:lang w:val="es-ES"/>
        </w:rPr>
        <w:t xml:space="preserve">. </w:t>
      </w:r>
    </w:p>
    <w:p w14:paraId="7F2DC5E9" w14:textId="77777777" w:rsidR="00130785" w:rsidRPr="00470C7C" w:rsidRDefault="00130785" w:rsidP="00130785">
      <w:pPr>
        <w:tabs>
          <w:tab w:val="clear" w:pos="4419"/>
          <w:tab w:val="clear" w:pos="8838"/>
        </w:tabs>
        <w:contextualSpacing/>
        <w:jc w:val="both"/>
        <w:rPr>
          <w:rFonts w:eastAsia="Calibri" w:cs="Times New Roman"/>
          <w:snapToGrid w:val="0"/>
          <w:szCs w:val="20"/>
          <w:lang w:val="es-ES"/>
        </w:rPr>
      </w:pPr>
    </w:p>
    <w:p w14:paraId="1A0E848B"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lang w:val="es-ES"/>
        </w:rPr>
        <w:t>Asimismo, la Corte estableció que los 85 trabajadores rescatados el 15 de marzo de 2000 compartían “algunas características de particular victimización”, tales como que: “se encontraban en una situación de pobreza; provenían de las regiones más pobres del país, con menor desarrollo humano y perspectivas de trabajo y empleo; eran analfabetas, y tenían poca o nula escolarización”. Además, la Corte refirió que “[d]</w:t>
      </w:r>
      <w:proofErr w:type="spellStart"/>
      <w:r w:rsidRPr="00470C7C">
        <w:rPr>
          <w:rFonts w:eastAsia="Calibri" w:cs="Times New Roman"/>
          <w:lang w:val="es-ES"/>
        </w:rPr>
        <w:t>icha</w:t>
      </w:r>
      <w:proofErr w:type="spellEnd"/>
      <w:r w:rsidRPr="00470C7C">
        <w:rPr>
          <w:rFonts w:eastAsia="Calibri" w:cs="Times New Roman"/>
          <w:lang w:val="es-ES"/>
        </w:rPr>
        <w:t xml:space="preserve"> situación de riesgo inmediato para un grupo determinado de personas con características idénticas y originarios de las mismas regiones del país, tiene orígenes históricos y era conocida desde, al menos, 1995, cuando el Gobierno de Brasil reconoció expresamente la existencia de ‘trabajo esclavo’ en el país”</w:t>
      </w:r>
      <w:r w:rsidRPr="00470C7C">
        <w:rPr>
          <w:rFonts w:eastAsia="Calibri" w:cs="Times New Roman"/>
          <w:szCs w:val="20"/>
          <w:vertAlign w:val="superscript"/>
          <w:lang w:val="es-ES"/>
        </w:rPr>
        <w:footnoteReference w:id="671"/>
      </w:r>
      <w:r w:rsidRPr="00470C7C">
        <w:rPr>
          <w:rFonts w:eastAsia="Calibri" w:cs="Times New Roman"/>
          <w:lang w:val="es-ES"/>
        </w:rPr>
        <w:t xml:space="preserve">. </w:t>
      </w:r>
    </w:p>
    <w:p w14:paraId="39FF7694"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1874DA71"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lang w:val="es-ES"/>
        </w:rPr>
        <w:t>Finalmente, la Corte estimó que “el Estado no consideró la vulnerabilidad de los 85 trabajadores rescatados el 15 de marzo de 2000, en virtud de la discriminación en razón de la posición económica a la que estaban sometidos”</w:t>
      </w:r>
      <w:r w:rsidRPr="00470C7C">
        <w:rPr>
          <w:rFonts w:eastAsia="Calibri" w:cs="Times New Roman"/>
          <w:szCs w:val="20"/>
          <w:vertAlign w:val="superscript"/>
          <w:lang w:val="es-ES"/>
        </w:rPr>
        <w:footnoteReference w:id="672"/>
      </w:r>
      <w:r w:rsidRPr="00470C7C">
        <w:rPr>
          <w:rFonts w:eastAsia="Calibri" w:cs="Times New Roman"/>
          <w:lang w:val="es-ES"/>
        </w:rPr>
        <w:t>. Por lo que era responsable por la violación del artículo 6.1 de la Convención Americana, en relación con el artículo 1.1 del mismo instrumento, producida en el marco de una situación de discriminación estructural histórica en razón de la posición económica de los 85 trabajadores identificados en la Sentencia</w:t>
      </w:r>
      <w:r w:rsidRPr="00470C7C">
        <w:rPr>
          <w:rFonts w:eastAsia="Calibri" w:cs="Times New Roman"/>
          <w:szCs w:val="20"/>
          <w:vertAlign w:val="superscript"/>
          <w:lang w:val="es-ES"/>
        </w:rPr>
        <w:footnoteReference w:id="673"/>
      </w:r>
      <w:r w:rsidR="004D27AE" w:rsidRPr="00470C7C">
        <w:rPr>
          <w:rFonts w:eastAsia="Calibri" w:cs="Times New Roman"/>
          <w:lang w:val="es-ES"/>
        </w:rPr>
        <w:t>.</w:t>
      </w:r>
    </w:p>
    <w:p w14:paraId="55ECF040"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7DC9A0DC"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Discrepo de la decisión a la que llegó la mayoría por tres motivos. En primer lugar, considero que la determinación de la existencia de una “discriminación estructural histórica” requiere de un análisis a profundidad que no se realiza en la Sentencia del presente caso. Para la determinación de la violación no se llevó a cabo un examen detallado que tuviera en consideración aspectos económicos, sociales y de política pública en Brasil, sino que únicamente se tomó en cuenta que las personas compartían algunas condiciones de vida (pobreza y falta de educación). </w:t>
      </w:r>
    </w:p>
    <w:p w14:paraId="3B2D216A"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4D67C556"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Al respecto, considero que, de la prueba con la que se contaba en el presente caso, no podía concluirse que existiera una discriminación contra los 85 trabajadores rescatados en la fiscalización de 2000. No se contaba con elementos de análisis fehacientes respecto de las circunstancias en las que se encontraban los trabajadores en relación con el resto de los habitantes de dicha región de Piauí. Tampoco existía prueba relacionada con las condiciones de vida de los habitantes de Piauí en general, sobre todo con anterioridad al reclutamiento para trabajar en la Hacienda Brasil Verde.</w:t>
      </w:r>
    </w:p>
    <w:p w14:paraId="210A4850"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2284F743"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 Si bien puede considerarse que la pobreza es una condición que potencialmente puede colocar a las víctimas en una situación de vulnerabilidad, es necesario realizar un análisis que determine que efectivamente haya existido una discriminación en contra de una población determinada. La sola presunción de afectación por pobreza no puede tener como consecuencia automática que exista discriminación en contra de un grupo específico. En el presente caso, la Corte no contaba con elementos de prueba para considerar que toda la población de Piauí estuviera sometida a una “discriminación estructural histórica”, tampoco había elementos para determinar que los 85 trabajadores lo habían estado.</w:t>
      </w:r>
    </w:p>
    <w:p w14:paraId="620E82C7"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61BC0A65"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No obstante que la determinación de violación se hace referente de los 85 trabajadores, no es claro si para la existencia de esa “discriminación estructural histórica” </w:t>
      </w:r>
      <w:r w:rsidRPr="00470C7C">
        <w:rPr>
          <w:rFonts w:eastAsia="Calibri" w:cs="Times New Roman"/>
          <w:i/>
          <w:snapToGrid w:val="0"/>
          <w:szCs w:val="20"/>
          <w:lang w:val="es-ES"/>
        </w:rPr>
        <w:t>en particular</w:t>
      </w:r>
      <w:r w:rsidRPr="00470C7C">
        <w:rPr>
          <w:rFonts w:eastAsia="Calibri" w:cs="Times New Roman"/>
          <w:snapToGrid w:val="0"/>
          <w:szCs w:val="20"/>
          <w:lang w:val="es-ES"/>
        </w:rPr>
        <w:t xml:space="preserve"> respecto de ellos, es necesaria la existencia de una “discriminación estructural histórica” </w:t>
      </w:r>
      <w:r w:rsidRPr="00470C7C">
        <w:rPr>
          <w:rFonts w:eastAsia="Calibri" w:cs="Times New Roman"/>
          <w:i/>
          <w:snapToGrid w:val="0"/>
          <w:szCs w:val="20"/>
          <w:lang w:val="es-ES"/>
        </w:rPr>
        <w:t>general</w:t>
      </w:r>
      <w:r w:rsidRPr="00470C7C">
        <w:rPr>
          <w:rFonts w:eastAsia="Calibri" w:cs="Times New Roman"/>
          <w:snapToGrid w:val="0"/>
          <w:szCs w:val="20"/>
          <w:lang w:val="es-ES"/>
        </w:rPr>
        <w:t xml:space="preserve"> en contra de toda persona en situación de pobreza en Piauí. El argumento realizado por la Corte parecería indicar que en todos los casos en que las víctimas compartan una característica en común (que los podría situar en una situación de vulnerabilidad), por ese solo hecho, existirá automáticamente discriminación estructural.</w:t>
      </w:r>
    </w:p>
    <w:p w14:paraId="05E7B96F"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25C18AA7"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En segundo lugar, considero que las características en común que compartían los trabajadores en el presente caso no son factores suficientes como para declarar la existencia de discriminación estructural en su contra. </w:t>
      </w:r>
      <w:r w:rsidRPr="00470C7C">
        <w:rPr>
          <w:rFonts w:eastAsia="Calibri" w:cs="Times New Roman"/>
          <w:lang w:val="es-ES"/>
        </w:rPr>
        <w:t>Si bien es cierto que, en general, los trabajadores sometidos a condiciones análogas a la esclavitud compartían algunas características, estas características son también compartidas por un gran número de personas en Brasil, que viven en situación de pobreza y cuentan con bajos niveles de escolaridad. En ese sentido, no resulta correcto concluir la existencia de discriminación estructural histórica en contra de los trabajadores de la Hacienda Brasil Verde en el presente caso.</w:t>
      </w:r>
    </w:p>
    <w:p w14:paraId="0CF0EC68" w14:textId="77777777" w:rsidR="00130785" w:rsidRPr="00470C7C" w:rsidRDefault="00130785" w:rsidP="00130785">
      <w:pPr>
        <w:tabs>
          <w:tab w:val="clear" w:pos="4419"/>
          <w:tab w:val="clear" w:pos="8838"/>
        </w:tabs>
        <w:ind w:left="720"/>
        <w:contextualSpacing/>
        <w:jc w:val="both"/>
        <w:rPr>
          <w:rFonts w:eastAsia="Calibri" w:cs="Times New Roman"/>
          <w:lang w:val="es-ES"/>
        </w:rPr>
      </w:pPr>
    </w:p>
    <w:p w14:paraId="11AA0D0D"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En tercer lugar, la Sentencia no toma adecuadamente en consideración las medidas adoptadas por el Estado dirigidas a </w:t>
      </w:r>
      <w:r w:rsidRPr="00470C7C">
        <w:rPr>
          <w:rFonts w:eastAsia="Calibri" w:cs="Times New Roman"/>
          <w:lang w:val="es-ES"/>
        </w:rPr>
        <w:t>prevenir y sancionar la esclavitud, en particular en el ambiente rural. Pese a los esfuerzos realizados por el Estado, la determinación de la existencia de discriminación estructural histórica en contra de los trabajadores de la Hacienda Brasil Verde pareciera ser consecuencia de la existencia de personas en situación de pobreza y también en situación de esclavitud en Brasil, y la correspondiente condena al Estado por esta circunstancia. La existencia de problemas sociales estructurales no genera automáticamente la responsabilidad internacional del Brasil.</w:t>
      </w:r>
    </w:p>
    <w:p w14:paraId="43C37933"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3D0D6C53"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En conclusión, considero que es incorrecta la determinación de la Corte de la existencia de </w:t>
      </w:r>
      <w:r w:rsidRPr="00470C7C">
        <w:rPr>
          <w:rFonts w:eastAsia="Calibri" w:cs="Times New Roman"/>
          <w:lang w:val="es-ES"/>
        </w:rPr>
        <w:t>una situación de discriminación estructural histórica en Brasil. Esta determinación de la Corte carece del análisis detallado necesario y de una fundamentación consecuente con las características generales de la población y de las causas y consecuencias concretas de una situación de discriminación, en particular cuando se refiere a elementos que pueden dar margen a interpretaciones divergentes, como la pobreza. Por otro lado, considero que la decisión de la mayoría desconoce las medidas estatales adoptadas a lo largo de las últimas décadas y la realidad de Brasil, y se funda en un análisis reduccionista, según el cual la existencia de una situación de vulnerabilidad genera directamente, sin mayor análisis, la responsabilidad internacional del Estado.</w:t>
      </w:r>
    </w:p>
    <w:p w14:paraId="47017AFA" w14:textId="77777777" w:rsidR="00130785" w:rsidRPr="00470C7C" w:rsidRDefault="00130785" w:rsidP="00130785">
      <w:pPr>
        <w:tabs>
          <w:tab w:val="clear" w:pos="4419"/>
          <w:tab w:val="clear" w:pos="8838"/>
        </w:tabs>
        <w:ind w:left="720"/>
        <w:contextualSpacing/>
        <w:jc w:val="both"/>
        <w:rPr>
          <w:rFonts w:eastAsia="Calibri" w:cs="Times New Roman"/>
          <w:b/>
          <w:snapToGrid w:val="0"/>
          <w:szCs w:val="20"/>
          <w:lang w:val="es-ES"/>
        </w:rPr>
      </w:pPr>
    </w:p>
    <w:p w14:paraId="1ED7A5F5" w14:textId="77777777" w:rsidR="00130785" w:rsidRPr="00470C7C" w:rsidRDefault="00130785" w:rsidP="00130785">
      <w:pPr>
        <w:tabs>
          <w:tab w:val="clear" w:pos="4419"/>
          <w:tab w:val="clear" w:pos="8838"/>
        </w:tabs>
        <w:ind w:left="720"/>
        <w:contextualSpacing/>
        <w:jc w:val="both"/>
        <w:rPr>
          <w:rFonts w:eastAsia="Calibri" w:cs="Times New Roman"/>
          <w:b/>
          <w:snapToGrid w:val="0"/>
          <w:szCs w:val="20"/>
          <w:lang w:val="es-ES"/>
        </w:rPr>
      </w:pPr>
    </w:p>
    <w:p w14:paraId="52067960" w14:textId="77777777" w:rsidR="00130785" w:rsidRPr="00470C7C" w:rsidRDefault="00130785" w:rsidP="008B0BCC">
      <w:pPr>
        <w:numPr>
          <w:ilvl w:val="0"/>
          <w:numId w:val="29"/>
        </w:numPr>
        <w:tabs>
          <w:tab w:val="clear" w:pos="4419"/>
          <w:tab w:val="clear" w:pos="8838"/>
        </w:tabs>
        <w:contextualSpacing/>
        <w:jc w:val="both"/>
        <w:rPr>
          <w:rFonts w:eastAsia="Calibri" w:cs="Times New Roman"/>
          <w:b/>
          <w:snapToGrid w:val="0"/>
          <w:szCs w:val="20"/>
          <w:lang w:val="es-ES"/>
        </w:rPr>
      </w:pPr>
      <w:r w:rsidRPr="00470C7C">
        <w:rPr>
          <w:rFonts w:eastAsia="Calibri" w:cs="Times New Roman"/>
          <w:b/>
          <w:snapToGrid w:val="0"/>
          <w:szCs w:val="20"/>
          <w:lang w:val="es-ES"/>
        </w:rPr>
        <w:t xml:space="preserve">Disidencia respecto de la </w:t>
      </w:r>
      <w:r w:rsidRPr="00470C7C">
        <w:rPr>
          <w:rFonts w:eastAsia="Cambria" w:cs="Times New Roman"/>
          <w:b/>
          <w:lang w:val="es-ES"/>
        </w:rPr>
        <w:t xml:space="preserve">violación del </w:t>
      </w:r>
      <w:r w:rsidRPr="00470C7C">
        <w:rPr>
          <w:rFonts w:eastAsia="Cambria" w:cs="Times New Roman"/>
          <w:b/>
          <w:szCs w:val="20"/>
          <w:lang w:val="es-ES"/>
        </w:rPr>
        <w:t>derecho a la protección judicial, previsto en el artículo 25 de la Convención Americana</w:t>
      </w:r>
    </w:p>
    <w:p w14:paraId="5D6B3BC1"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75E039D2"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36171DE8"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La Corte determinó en la Sentencia del presente caso que </w:t>
      </w:r>
      <w:r w:rsidRPr="00470C7C">
        <w:rPr>
          <w:rFonts w:eastAsia="Cambria" w:cs="Times New Roman"/>
          <w:szCs w:val="20"/>
          <w:lang w:val="es-ES"/>
        </w:rPr>
        <w:t>el Estado es responsable por violar el derecho a la protección judicial, previsto en el artículo 25 de la Convención Americana sobre Derechos Humanos, en relación con los artículos 1.1 y 2 del mismo instrumento.</w:t>
      </w:r>
      <w:r w:rsidRPr="00470C7C">
        <w:rPr>
          <w:rFonts w:eastAsia="Calibri" w:cs="Times New Roman"/>
          <w:snapToGrid w:val="0"/>
          <w:szCs w:val="20"/>
          <w:lang w:val="es-ES"/>
        </w:rPr>
        <w:t xml:space="preserve"> </w:t>
      </w:r>
      <w:r w:rsidRPr="00470C7C">
        <w:rPr>
          <w:rFonts w:eastAsia="Cambria" w:cs="Times New Roman"/>
          <w:szCs w:val="20"/>
          <w:lang w:val="es-ES"/>
        </w:rPr>
        <w:t>Para llegar a esta determinación, la Corte utilizó los mismos argumentos empleados previamente para determinar la violación del artículo 8 de la Convención Americana, como la duración del proceso y la falta de diligencia de las autoridades.</w:t>
      </w:r>
    </w:p>
    <w:p w14:paraId="2FE3276C" w14:textId="77777777" w:rsidR="00130785" w:rsidRPr="00470C7C" w:rsidRDefault="00130785" w:rsidP="00130785">
      <w:pPr>
        <w:tabs>
          <w:tab w:val="clear" w:pos="4419"/>
          <w:tab w:val="clear" w:pos="8838"/>
        </w:tabs>
        <w:contextualSpacing/>
        <w:jc w:val="both"/>
        <w:rPr>
          <w:rFonts w:eastAsia="Calibri" w:cs="Times New Roman"/>
          <w:snapToGrid w:val="0"/>
          <w:szCs w:val="20"/>
          <w:lang w:val="es-ES"/>
        </w:rPr>
      </w:pPr>
    </w:p>
    <w:p w14:paraId="386C216B"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mbria" w:cs="Times New Roman"/>
          <w:szCs w:val="20"/>
          <w:lang w:val="es-ES"/>
        </w:rPr>
        <w:t xml:space="preserve">Al respecto, discrepo de la decisión de la mayoría, ya que considero que el análisis de las violaciones a los artículos 8 y 25 de la Convención debe hacerse de manera diferenciada y con argumentos analizados de forma independiente; considero muy relevante que la Corte distinga entre ambos artículos y las razones por las que estos pueden considerarse violados. </w:t>
      </w:r>
    </w:p>
    <w:p w14:paraId="274ACEC7"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7BEB7803"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 xml:space="preserve">En este sentido, comparto lo señalado por la ex Jueza de la Corte, Cecilia Medina Quiroga, respecto de que </w:t>
      </w:r>
      <w:r w:rsidRPr="00470C7C">
        <w:rPr>
          <w:rFonts w:eastAsia="Calibri" w:cs="Times New Roman"/>
          <w:lang w:val="es-ES"/>
        </w:rPr>
        <w:t>el artículo 25 consagra el derecho del individuo a que sus derechos humanos sean protegidos en el ámbito nacional, de una manera sencilla, rápida y efectiva; mientras que el artículo 8 no establece el derecho a un recurso, sino el debido proceso, es decir, el conjunto de requisitos que deben observarse en las instancias procesales con el fin de proteger el derecho de los individuos a que se resuelvan los procesos judiciales con la máxima justicia posible</w:t>
      </w:r>
      <w:r w:rsidRPr="00470C7C">
        <w:rPr>
          <w:rFonts w:eastAsia="Calibri" w:cs="Times New Roman"/>
          <w:szCs w:val="20"/>
          <w:vertAlign w:val="superscript"/>
          <w:lang w:val="es-ES"/>
        </w:rPr>
        <w:footnoteReference w:id="674"/>
      </w:r>
      <w:r w:rsidRPr="00470C7C">
        <w:rPr>
          <w:rFonts w:eastAsia="Calibri" w:cs="Times New Roman"/>
          <w:lang w:val="es-ES"/>
        </w:rPr>
        <w:t xml:space="preserve">. </w:t>
      </w:r>
      <w:r w:rsidRPr="00470C7C">
        <w:rPr>
          <w:rFonts w:eastAsia="Calibri" w:cs="Times New Roman"/>
          <w:lang w:val="es-ES_tradnl"/>
        </w:rPr>
        <w:t>Ambos derechos son de distinta naturaleza, y su relación es una de substancia a forma, como lo dice esta Corte, por cuanto el artículo 25 consagra el derecho a un recurso</w:t>
      </w:r>
      <w:r w:rsidRPr="00470C7C">
        <w:rPr>
          <w:rFonts w:eastAsia="Calibri" w:cs="Times New Roman"/>
          <w:szCs w:val="20"/>
          <w:lang w:val="es-ES_tradnl"/>
        </w:rPr>
        <w:t xml:space="preserve"> judicial mientras que el artículo 8 establece la manera como éste se tramita</w:t>
      </w:r>
      <w:r w:rsidRPr="00470C7C">
        <w:rPr>
          <w:rFonts w:eastAsia="Calibri" w:cs="Times New Roman"/>
          <w:szCs w:val="20"/>
          <w:vertAlign w:val="superscript"/>
          <w:lang w:val="es-ES_tradnl"/>
        </w:rPr>
        <w:footnoteReference w:id="675"/>
      </w:r>
      <w:r w:rsidRPr="00470C7C">
        <w:rPr>
          <w:rFonts w:eastAsia="Calibri" w:cs="Times New Roman"/>
          <w:szCs w:val="20"/>
          <w:lang w:val="es-ES_tradnl"/>
        </w:rPr>
        <w:t>.</w:t>
      </w:r>
    </w:p>
    <w:p w14:paraId="1368157C" w14:textId="77777777" w:rsidR="00130785" w:rsidRPr="00470C7C" w:rsidRDefault="00130785" w:rsidP="00130785">
      <w:pPr>
        <w:tabs>
          <w:tab w:val="clear" w:pos="4419"/>
          <w:tab w:val="clear" w:pos="8838"/>
        </w:tabs>
        <w:ind w:left="720"/>
        <w:contextualSpacing/>
        <w:jc w:val="both"/>
        <w:rPr>
          <w:rFonts w:eastAsia="Calibri" w:cs="Times New Roman"/>
          <w:szCs w:val="20"/>
          <w:lang w:val="es-ES"/>
        </w:rPr>
      </w:pPr>
    </w:p>
    <w:p w14:paraId="1B0CFC68"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zCs w:val="20"/>
          <w:lang w:val="es-ES"/>
        </w:rPr>
        <w:t xml:space="preserve">La violación del artículo 25 ocurre: i) cuando no existe un recurso establecido en la normativa de un Estado, o dicho recurso está mal diseñado en la norma, y </w:t>
      </w:r>
      <w:proofErr w:type="spellStart"/>
      <w:r w:rsidRPr="00470C7C">
        <w:rPr>
          <w:rFonts w:eastAsia="Calibri" w:cs="Times New Roman"/>
          <w:szCs w:val="20"/>
          <w:lang w:val="es-ES"/>
        </w:rPr>
        <w:t>ii</w:t>
      </w:r>
      <w:proofErr w:type="spellEnd"/>
      <w:r w:rsidRPr="00470C7C">
        <w:rPr>
          <w:rFonts w:eastAsia="Calibri" w:cs="Times New Roman"/>
          <w:szCs w:val="20"/>
          <w:lang w:val="es-ES"/>
        </w:rPr>
        <w:t>) cuando los jueces no aplican correctamente dicho recurso. Considero que cuando se confunde conceptualmente ambos artículos se dificulta la identificación, con precisión, de las razones por las que se viola uno y otro. Se termina utilizando entonces, por ejemplo, elementos correspondientes al “plazo razonable” del artículo 8 para hacer consideraciones respecto a la rapidez del recurso requerida en el artículo 25.</w:t>
      </w:r>
    </w:p>
    <w:p w14:paraId="5C3BEAC3" w14:textId="77777777" w:rsidR="00130785" w:rsidRPr="00470C7C" w:rsidRDefault="00130785" w:rsidP="00130785">
      <w:pPr>
        <w:tabs>
          <w:tab w:val="clear" w:pos="4419"/>
          <w:tab w:val="clear" w:pos="8838"/>
        </w:tabs>
        <w:ind w:left="720"/>
        <w:contextualSpacing/>
        <w:jc w:val="both"/>
        <w:rPr>
          <w:rFonts w:eastAsia="Calibri" w:cs="Times New Roman"/>
          <w:snapToGrid w:val="0"/>
          <w:szCs w:val="20"/>
          <w:lang w:val="es-ES"/>
        </w:rPr>
      </w:pPr>
    </w:p>
    <w:p w14:paraId="01AA1189" w14:textId="77777777" w:rsidR="00130785" w:rsidRPr="00470C7C" w:rsidRDefault="00130785" w:rsidP="008B0BCC">
      <w:pPr>
        <w:numPr>
          <w:ilvl w:val="0"/>
          <w:numId w:val="28"/>
        </w:numPr>
        <w:tabs>
          <w:tab w:val="clear" w:pos="4419"/>
          <w:tab w:val="clear" w:pos="8838"/>
        </w:tabs>
        <w:contextualSpacing/>
        <w:jc w:val="both"/>
        <w:rPr>
          <w:rFonts w:eastAsia="Calibri" w:cs="Times New Roman"/>
          <w:snapToGrid w:val="0"/>
          <w:szCs w:val="20"/>
          <w:lang w:val="es-ES"/>
        </w:rPr>
      </w:pPr>
      <w:r w:rsidRPr="00470C7C">
        <w:rPr>
          <w:rFonts w:eastAsia="Calibri" w:cs="Times New Roman"/>
          <w:snapToGrid w:val="0"/>
          <w:szCs w:val="20"/>
          <w:lang w:val="es-ES"/>
        </w:rPr>
        <w:t>Por lo anterior, puedo concluir que la Corte no ha realizado de manera correcta el análisis de las violaciones a los artículos 8 y 25 de la Convención Americana, confundiendo el contenido de los mismos, y fallando en diferenciar las acciones que constituyen violaciones a uno y a otro. Esto ha traído como consecuencia falta de claridad en el análisis de la Corte.</w:t>
      </w:r>
    </w:p>
    <w:p w14:paraId="746F6E50" w14:textId="77777777" w:rsidR="00130785" w:rsidRPr="00470C7C" w:rsidRDefault="00130785" w:rsidP="00130785">
      <w:pPr>
        <w:tabs>
          <w:tab w:val="clear" w:pos="4419"/>
          <w:tab w:val="clear" w:pos="8838"/>
        </w:tabs>
        <w:ind w:left="3600" w:right="96" w:firstLine="720"/>
        <w:jc w:val="center"/>
        <w:rPr>
          <w:rFonts w:eastAsia="Calibri" w:cs="Times New Roman"/>
          <w:szCs w:val="20"/>
        </w:rPr>
      </w:pPr>
    </w:p>
    <w:p w14:paraId="71E7E015" w14:textId="77777777" w:rsidR="00130785" w:rsidRPr="00470C7C" w:rsidRDefault="00130785" w:rsidP="00130785">
      <w:pPr>
        <w:tabs>
          <w:tab w:val="clear" w:pos="4419"/>
          <w:tab w:val="clear" w:pos="8838"/>
        </w:tabs>
        <w:ind w:left="3600" w:right="96" w:firstLine="720"/>
        <w:jc w:val="center"/>
        <w:rPr>
          <w:rFonts w:eastAsia="Calibri" w:cs="Times New Roman"/>
          <w:szCs w:val="20"/>
        </w:rPr>
      </w:pPr>
    </w:p>
    <w:p w14:paraId="678C7618" w14:textId="77777777" w:rsidR="00130785" w:rsidRPr="00470C7C" w:rsidRDefault="00130785" w:rsidP="00130785">
      <w:pPr>
        <w:tabs>
          <w:tab w:val="clear" w:pos="4419"/>
          <w:tab w:val="clear" w:pos="8838"/>
        </w:tabs>
        <w:ind w:left="3600" w:right="96" w:firstLine="720"/>
        <w:jc w:val="center"/>
        <w:rPr>
          <w:rFonts w:eastAsia="Calibri" w:cs="Times New Roman"/>
          <w:szCs w:val="20"/>
        </w:rPr>
      </w:pPr>
    </w:p>
    <w:p w14:paraId="129B694A" w14:textId="77777777" w:rsidR="00130785" w:rsidRPr="00470C7C" w:rsidRDefault="00130785" w:rsidP="00130785">
      <w:pPr>
        <w:tabs>
          <w:tab w:val="clear" w:pos="4419"/>
          <w:tab w:val="clear" w:pos="8838"/>
        </w:tabs>
        <w:ind w:left="3600" w:right="96" w:firstLine="720"/>
        <w:jc w:val="center"/>
        <w:rPr>
          <w:rFonts w:eastAsia="Calibri" w:cs="Times New Roman"/>
          <w:szCs w:val="20"/>
        </w:rPr>
      </w:pPr>
    </w:p>
    <w:p w14:paraId="6F22E4F1" w14:textId="77777777" w:rsidR="00130785" w:rsidRPr="00470C7C" w:rsidRDefault="00130785" w:rsidP="00130785">
      <w:pPr>
        <w:tabs>
          <w:tab w:val="clear" w:pos="4419"/>
          <w:tab w:val="clear" w:pos="8838"/>
        </w:tabs>
        <w:ind w:left="3600" w:right="96" w:firstLine="720"/>
        <w:jc w:val="center"/>
        <w:rPr>
          <w:rFonts w:eastAsia="Calibri" w:cs="Times New Roman"/>
          <w:szCs w:val="20"/>
        </w:rPr>
      </w:pPr>
    </w:p>
    <w:p w14:paraId="28B5E012" w14:textId="77777777" w:rsidR="00130785" w:rsidRPr="00470C7C" w:rsidRDefault="00130785" w:rsidP="00130785">
      <w:pPr>
        <w:tabs>
          <w:tab w:val="clear" w:pos="4419"/>
          <w:tab w:val="clear" w:pos="8838"/>
        </w:tabs>
        <w:ind w:left="3600" w:right="96" w:firstLine="720"/>
        <w:rPr>
          <w:rFonts w:eastAsia="Calibri" w:cs="Times New Roman"/>
          <w:szCs w:val="20"/>
        </w:rPr>
      </w:pPr>
      <w:r w:rsidRPr="00470C7C">
        <w:rPr>
          <w:rFonts w:eastAsia="Calibri" w:cs="Times New Roman"/>
          <w:szCs w:val="20"/>
        </w:rPr>
        <w:t xml:space="preserve">          Humberto Antonio Sierra Porto</w:t>
      </w:r>
    </w:p>
    <w:p w14:paraId="6461E961" w14:textId="77777777" w:rsidR="00130785" w:rsidRPr="00470C7C" w:rsidRDefault="00130785" w:rsidP="00130785">
      <w:pPr>
        <w:tabs>
          <w:tab w:val="clear" w:pos="4419"/>
          <w:tab w:val="clear" w:pos="8838"/>
        </w:tabs>
        <w:ind w:left="3960" w:right="96" w:firstLine="360"/>
        <w:jc w:val="center"/>
        <w:rPr>
          <w:rFonts w:eastAsia="Calibri" w:cs="Times New Roman"/>
          <w:szCs w:val="20"/>
        </w:rPr>
      </w:pPr>
      <w:r w:rsidRPr="00470C7C">
        <w:rPr>
          <w:rFonts w:eastAsia="Calibri" w:cs="Times New Roman"/>
          <w:szCs w:val="20"/>
        </w:rPr>
        <w:t>Juez</w:t>
      </w:r>
    </w:p>
    <w:p w14:paraId="1B431C16" w14:textId="77777777" w:rsidR="00130785" w:rsidRPr="00470C7C" w:rsidRDefault="00130785" w:rsidP="00130785">
      <w:pPr>
        <w:tabs>
          <w:tab w:val="clear" w:pos="4419"/>
          <w:tab w:val="clear" w:pos="8838"/>
        </w:tabs>
        <w:jc w:val="both"/>
        <w:rPr>
          <w:rFonts w:eastAsia="Calibri" w:cs="Times New Roman"/>
          <w:szCs w:val="20"/>
        </w:rPr>
      </w:pPr>
    </w:p>
    <w:p w14:paraId="78993668" w14:textId="77777777" w:rsidR="00130785" w:rsidRPr="00470C7C" w:rsidRDefault="00130785" w:rsidP="00130785">
      <w:pPr>
        <w:tabs>
          <w:tab w:val="clear" w:pos="4419"/>
          <w:tab w:val="clear" w:pos="8838"/>
        </w:tabs>
        <w:jc w:val="both"/>
        <w:rPr>
          <w:rFonts w:eastAsia="Calibri" w:cs="Times New Roman"/>
          <w:szCs w:val="20"/>
        </w:rPr>
      </w:pPr>
    </w:p>
    <w:p w14:paraId="28C91963" w14:textId="77777777" w:rsidR="00130785" w:rsidRPr="00470C7C" w:rsidRDefault="00130785" w:rsidP="00130785">
      <w:pPr>
        <w:tabs>
          <w:tab w:val="clear" w:pos="4419"/>
          <w:tab w:val="clear" w:pos="8838"/>
        </w:tabs>
        <w:jc w:val="both"/>
        <w:rPr>
          <w:rFonts w:eastAsia="Calibri" w:cs="Times New Roman"/>
          <w:szCs w:val="20"/>
        </w:rPr>
      </w:pPr>
    </w:p>
    <w:p w14:paraId="45DFAA21" w14:textId="77777777" w:rsidR="00130785" w:rsidRPr="00470C7C" w:rsidRDefault="00130785" w:rsidP="00130785">
      <w:pPr>
        <w:tabs>
          <w:tab w:val="clear" w:pos="4419"/>
          <w:tab w:val="clear" w:pos="8838"/>
        </w:tabs>
        <w:jc w:val="both"/>
        <w:rPr>
          <w:rFonts w:eastAsia="Calibri" w:cs="Times New Roman"/>
          <w:szCs w:val="20"/>
        </w:rPr>
      </w:pPr>
      <w:r w:rsidRPr="00470C7C">
        <w:rPr>
          <w:rFonts w:eastAsia="Calibri" w:cs="Times New Roman"/>
          <w:szCs w:val="20"/>
        </w:rPr>
        <w:t>Pablo Saavedra Alessandri</w:t>
      </w:r>
    </w:p>
    <w:p w14:paraId="308E928D" w14:textId="77777777" w:rsidR="00130785" w:rsidRPr="00130785" w:rsidRDefault="00130785" w:rsidP="00130785">
      <w:pPr>
        <w:tabs>
          <w:tab w:val="clear" w:pos="4419"/>
          <w:tab w:val="clear" w:pos="8838"/>
        </w:tabs>
        <w:jc w:val="both"/>
        <w:rPr>
          <w:rFonts w:eastAsia="Calibri" w:cs="Times New Roman"/>
          <w:szCs w:val="20"/>
        </w:rPr>
      </w:pPr>
      <w:r w:rsidRPr="00470C7C">
        <w:rPr>
          <w:rFonts w:eastAsia="Calibri" w:cs="Times New Roman"/>
          <w:szCs w:val="20"/>
        </w:rPr>
        <w:tab/>
        <w:t>Secretario</w:t>
      </w:r>
    </w:p>
    <w:p w14:paraId="6898E78A" w14:textId="77777777" w:rsidR="00130785" w:rsidRPr="00130785" w:rsidRDefault="00130785" w:rsidP="00130785">
      <w:pPr>
        <w:tabs>
          <w:tab w:val="clear" w:pos="4419"/>
          <w:tab w:val="clear" w:pos="8838"/>
        </w:tabs>
        <w:jc w:val="both"/>
        <w:rPr>
          <w:rFonts w:eastAsia="Calibri" w:cs="Times New Roman"/>
          <w:snapToGrid w:val="0"/>
          <w:szCs w:val="20"/>
          <w:lang w:val="es-ES"/>
        </w:rPr>
      </w:pPr>
    </w:p>
    <w:p w14:paraId="4CF77B70" w14:textId="77777777" w:rsidR="001156BC" w:rsidRPr="00702C18" w:rsidRDefault="001156BC" w:rsidP="00F74CCF">
      <w:pPr>
        <w:tabs>
          <w:tab w:val="left" w:pos="720"/>
        </w:tabs>
        <w:ind w:right="-90"/>
        <w:contextualSpacing/>
        <w:rPr>
          <w:bCs/>
          <w:szCs w:val="20"/>
        </w:rPr>
      </w:pPr>
    </w:p>
    <w:sectPr w:rsidR="001156BC" w:rsidRPr="00702C18" w:rsidSect="00130785">
      <w:footerReference w:type="default" r:id="rId13"/>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5CA0" w14:textId="77777777" w:rsidR="00AE4298" w:rsidRDefault="00AE4298" w:rsidP="00BA1ACF">
      <w:r>
        <w:separator/>
      </w:r>
    </w:p>
  </w:endnote>
  <w:endnote w:type="continuationSeparator" w:id="0">
    <w:p w14:paraId="65572322" w14:textId="77777777" w:rsidR="00AE4298" w:rsidRDefault="00AE4298" w:rsidP="00BA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18dgiyl">
    <w:panose1 w:val="00000000000000000000"/>
    <w:charset w:val="00"/>
    <w:family w:val="swiss"/>
    <w:notTrueType/>
    <w:pitch w:val="default"/>
    <w:sig w:usb0="00000003" w:usb1="00000000" w:usb2="00000000" w:usb3="00000000" w:csb0="00000001" w:csb1="00000000"/>
  </w:font>
  <w:font w:name="19efu">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 w:name="Vrinda">
    <w:panose1 w:val="00000400000000000000"/>
    <w:charset w:val="00"/>
    <w:family w:val="swiss"/>
    <w:pitch w:val="variable"/>
    <w:sig w:usb0="0001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System Font Regular">
    <w:charset w:val="00"/>
    <w:family w:val="auto"/>
    <w:pitch w:val="variable"/>
    <w:sig w:usb0="2000028F" w:usb1="00000003" w:usb2="00000000" w:usb3="00000000" w:csb0="0000019F" w:csb1="00000000"/>
  </w:font>
  <w:font w:name="Optima">
    <w:charset w:val="00"/>
    <w:family w:val="swiss"/>
    <w:pitch w:val="variable"/>
    <w:sig w:usb0="8000006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Bold">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155075"/>
      <w:docPartObj>
        <w:docPartGallery w:val="Page Numbers (Bottom of Page)"/>
        <w:docPartUnique/>
      </w:docPartObj>
    </w:sdtPr>
    <w:sdtEndPr>
      <w:rPr>
        <w:szCs w:val="20"/>
      </w:rPr>
    </w:sdtEndPr>
    <w:sdtContent>
      <w:p w14:paraId="083B8042" w14:textId="77777777" w:rsidR="00D4299B" w:rsidRPr="00A00142" w:rsidRDefault="00D4299B">
        <w:pPr>
          <w:pStyle w:val="Piedepgina"/>
          <w:jc w:val="center"/>
          <w:rPr>
            <w:szCs w:val="20"/>
          </w:rPr>
        </w:pPr>
        <w:r>
          <w:fldChar w:fldCharType="begin"/>
        </w:r>
        <w:r>
          <w:instrText>PAGE   \* MERGEFORMAT</w:instrText>
        </w:r>
        <w:r>
          <w:fldChar w:fldCharType="separate"/>
        </w:r>
        <w:r w:rsidR="00143D29" w:rsidRPr="00143D29">
          <w:rPr>
            <w:noProof/>
            <w:szCs w:val="20"/>
            <w:lang w:val="es-ES"/>
          </w:rPr>
          <w:t>52</w:t>
        </w:r>
        <w:r>
          <w:rPr>
            <w:noProof/>
            <w:szCs w:val="20"/>
            <w:lang w:val="es-ES"/>
          </w:rPr>
          <w:fldChar w:fldCharType="end"/>
        </w:r>
      </w:p>
    </w:sdtContent>
  </w:sdt>
  <w:p w14:paraId="6DB4211E" w14:textId="77777777" w:rsidR="00D4299B" w:rsidRDefault="00D429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F6EC" w14:textId="77777777" w:rsidR="00D4299B" w:rsidRDefault="00D4299B" w:rsidP="000D4C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179AE5" w14:textId="77777777" w:rsidR="00D4299B" w:rsidRDefault="00D429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AE288" w14:textId="77777777" w:rsidR="00D4299B" w:rsidRPr="007005DD" w:rsidRDefault="00D4299B" w:rsidP="000D4C30">
    <w:pPr>
      <w:pStyle w:val="Piedepgina"/>
      <w:framePr w:wrap="around" w:vAnchor="text" w:hAnchor="margin" w:xAlign="center" w:y="1"/>
      <w:rPr>
        <w:rStyle w:val="Nmerodepgina"/>
      </w:rPr>
    </w:pPr>
    <w:r w:rsidRPr="007005DD">
      <w:rPr>
        <w:rStyle w:val="Nmerodepgina"/>
      </w:rPr>
      <w:fldChar w:fldCharType="begin"/>
    </w:r>
    <w:r w:rsidRPr="007005DD">
      <w:rPr>
        <w:rStyle w:val="Nmerodepgina"/>
      </w:rPr>
      <w:instrText xml:space="preserve">PAGE  </w:instrText>
    </w:r>
    <w:r w:rsidRPr="007005DD">
      <w:rPr>
        <w:rStyle w:val="Nmerodepgina"/>
      </w:rPr>
      <w:fldChar w:fldCharType="separate"/>
    </w:r>
    <w:r w:rsidR="00143D29">
      <w:rPr>
        <w:rStyle w:val="Nmerodepgina"/>
        <w:noProof/>
      </w:rPr>
      <w:t>31</w:t>
    </w:r>
    <w:r w:rsidRPr="007005DD">
      <w:rPr>
        <w:rStyle w:val="Nmerodepgina"/>
      </w:rPr>
      <w:fldChar w:fldCharType="end"/>
    </w:r>
  </w:p>
  <w:p w14:paraId="60D13DDE" w14:textId="77777777" w:rsidR="00D4299B" w:rsidRDefault="00D429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349832"/>
      <w:docPartObj>
        <w:docPartGallery w:val="Page Numbers (Bottom of Page)"/>
        <w:docPartUnique/>
      </w:docPartObj>
    </w:sdtPr>
    <w:sdtEndPr>
      <w:rPr>
        <w:noProof/>
      </w:rPr>
    </w:sdtEndPr>
    <w:sdtContent>
      <w:p w14:paraId="554FF073" w14:textId="77777777" w:rsidR="00D4299B" w:rsidRDefault="00D4299B" w:rsidP="00130785">
        <w:pPr>
          <w:pStyle w:val="Piedepgina"/>
          <w:jc w:val="center"/>
        </w:pPr>
        <w:r>
          <w:fldChar w:fldCharType="begin"/>
        </w:r>
        <w:r>
          <w:instrText xml:space="preserve"> PAGE   \* MERGEFORMAT </w:instrText>
        </w:r>
        <w:r>
          <w:fldChar w:fldCharType="separate"/>
        </w:r>
        <w:r w:rsidR="00143D29">
          <w:rPr>
            <w:noProof/>
          </w:rPr>
          <w:t>2</w:t>
        </w:r>
        <w:r>
          <w:rPr>
            <w:noProof/>
          </w:rPr>
          <w:fldChar w:fldCharType="end"/>
        </w:r>
      </w:p>
    </w:sdtContent>
  </w:sdt>
  <w:p w14:paraId="76C85E91" w14:textId="77777777" w:rsidR="00D4299B" w:rsidRDefault="00D4299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641882"/>
      <w:docPartObj>
        <w:docPartGallery w:val="Page Numbers (Bottom of Page)"/>
        <w:docPartUnique/>
      </w:docPartObj>
    </w:sdtPr>
    <w:sdtEndPr>
      <w:rPr>
        <w:noProof/>
      </w:rPr>
    </w:sdtEndPr>
    <w:sdtContent>
      <w:p w14:paraId="6CF29998" w14:textId="77777777" w:rsidR="00D4299B" w:rsidRDefault="00D4299B">
        <w:pPr>
          <w:pStyle w:val="Piedepgina"/>
          <w:jc w:val="center"/>
        </w:pPr>
        <w:r>
          <w:fldChar w:fldCharType="begin"/>
        </w:r>
        <w:r>
          <w:instrText xml:space="preserve"> PAGE   \* MERGEFORMAT </w:instrText>
        </w:r>
        <w:r>
          <w:fldChar w:fldCharType="separate"/>
        </w:r>
        <w:r w:rsidR="00143D29">
          <w:rPr>
            <w:noProof/>
          </w:rPr>
          <w:t>4</w:t>
        </w:r>
        <w:r>
          <w:rPr>
            <w:noProof/>
          </w:rPr>
          <w:fldChar w:fldCharType="end"/>
        </w:r>
      </w:p>
    </w:sdtContent>
  </w:sdt>
  <w:p w14:paraId="31FB3B27" w14:textId="77777777" w:rsidR="00D4299B" w:rsidRDefault="00D42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C5F9A" w14:textId="77777777" w:rsidR="00AE4298" w:rsidRDefault="00AE4298" w:rsidP="00BA1ACF">
      <w:r>
        <w:separator/>
      </w:r>
    </w:p>
  </w:footnote>
  <w:footnote w:type="continuationSeparator" w:id="0">
    <w:p w14:paraId="2C56FB01" w14:textId="77777777" w:rsidR="00AE4298" w:rsidRDefault="00AE4298" w:rsidP="00BA1ACF">
      <w:r>
        <w:continuationSeparator/>
      </w:r>
    </w:p>
  </w:footnote>
  <w:footnote w:id="1">
    <w:p w14:paraId="2339B99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Juez Roberto F. Caldas, de nacionalidad brasileña, no participó en la deliberación de la presente Sentencia, de conformidad con lo dispuesto en los artículos 19.2 del Estatuto y 19.1 del Reglamento de la Corte.</w:t>
      </w:r>
    </w:p>
  </w:footnote>
  <w:footnote w:id="2">
    <w:p w14:paraId="7890FF4F" w14:textId="77777777" w:rsidR="00D4299B" w:rsidRPr="00143D29" w:rsidRDefault="00D4299B" w:rsidP="00D761C7">
      <w:pPr>
        <w:tabs>
          <w:tab w:val="clear" w:pos="4419"/>
          <w:tab w:val="clear" w:pos="8838"/>
          <w:tab w:val="right" w:pos="0"/>
          <w:tab w:val="left" w:pos="567"/>
        </w:tabs>
        <w:spacing w:after="20"/>
        <w:jc w:val="both"/>
        <w:rPr>
          <w:sz w:val="16"/>
          <w:szCs w:val="16"/>
        </w:rPr>
      </w:pPr>
      <w:r w:rsidRPr="00143D29">
        <w:rPr>
          <w:rStyle w:val="Refdenotaalpie"/>
          <w:sz w:val="16"/>
          <w:szCs w:val="16"/>
        </w:rPr>
        <w:footnoteRef/>
      </w:r>
      <w:r w:rsidRPr="00143D29">
        <w:rPr>
          <w:sz w:val="16"/>
          <w:szCs w:val="16"/>
          <w:lang w:val="es-ES" w:eastAsia="es-ES"/>
        </w:rPr>
        <w:t xml:space="preserve"> La Comisión Interamericana designó como delegados al Comisionado Felipe González y al Secretario Ejecutivo Emilio Álvarez Icaza L.,</w:t>
      </w:r>
      <w:r w:rsidRPr="00143D29">
        <w:rPr>
          <w:sz w:val="16"/>
          <w:szCs w:val="16"/>
          <w:lang w:eastAsia="es-ES"/>
        </w:rPr>
        <w:t xml:space="preserve"> y</w:t>
      </w:r>
      <w:r w:rsidRPr="00143D29">
        <w:rPr>
          <w:sz w:val="16"/>
          <w:szCs w:val="16"/>
          <w:lang w:val="es-ES" w:eastAsia="es-ES"/>
        </w:rPr>
        <w:t xml:space="preserve"> como asesor</w:t>
      </w:r>
      <w:r w:rsidRPr="00143D29">
        <w:rPr>
          <w:sz w:val="16"/>
          <w:szCs w:val="16"/>
          <w:lang w:eastAsia="es-ES"/>
        </w:rPr>
        <w:t>e</w:t>
      </w:r>
      <w:r w:rsidRPr="00143D29">
        <w:rPr>
          <w:sz w:val="16"/>
          <w:szCs w:val="16"/>
          <w:lang w:val="es-ES" w:eastAsia="es-ES"/>
        </w:rPr>
        <w:t>s legales a Elizabeth Abi-</w:t>
      </w:r>
      <w:proofErr w:type="spellStart"/>
      <w:r w:rsidRPr="00143D29">
        <w:rPr>
          <w:sz w:val="16"/>
          <w:szCs w:val="16"/>
          <w:lang w:val="es-ES" w:eastAsia="es-ES"/>
        </w:rPr>
        <w:t>Mershed</w:t>
      </w:r>
      <w:proofErr w:type="spellEnd"/>
      <w:r w:rsidRPr="00143D29">
        <w:rPr>
          <w:sz w:val="16"/>
          <w:szCs w:val="16"/>
          <w:lang w:val="es-ES" w:eastAsia="es-ES"/>
        </w:rPr>
        <w:t xml:space="preserve">, Secretaria Ejecutiva Adjunta, y a Silvia Serrano Guzmán, abogada de la Secretaría Ejecutiva. </w:t>
      </w:r>
    </w:p>
  </w:footnote>
  <w:footnote w:id="3">
    <w:p w14:paraId="6D9F81C4" w14:textId="77777777" w:rsidR="00D4299B" w:rsidRPr="00143D29" w:rsidRDefault="00D4299B" w:rsidP="00D761C7">
      <w:pPr>
        <w:tabs>
          <w:tab w:val="clear" w:pos="4419"/>
          <w:tab w:val="clear" w:pos="8838"/>
          <w:tab w:val="right" w:pos="0"/>
          <w:tab w:val="left" w:pos="567"/>
        </w:tabs>
        <w:spacing w:after="20"/>
        <w:jc w:val="both"/>
        <w:rPr>
          <w:sz w:val="16"/>
          <w:szCs w:val="16"/>
          <w:lang w:val="es-ES_tradnl"/>
        </w:rPr>
      </w:pPr>
      <w:r w:rsidRPr="00143D29">
        <w:rPr>
          <w:rStyle w:val="Refdenotaalpie"/>
          <w:sz w:val="16"/>
          <w:szCs w:val="16"/>
        </w:rPr>
        <w:footnoteRef/>
      </w:r>
      <w:r w:rsidRPr="00143D29">
        <w:rPr>
          <w:sz w:val="16"/>
          <w:szCs w:val="16"/>
        </w:rPr>
        <w:t xml:space="preserve"> Dentro de tales acciones y omisiones se encuentran: 1) La situación de trabajo forzoso y servidumbre por deudas análoga a la esclavitud a partir de 10 de diciembre de 1998, 2) Las acciones y omisiones que han llevado a la situación de impunidad de la totalidad de los hechos del caso. Esta situación de impunidad continuaba vigente al momento de la aceptación de competencia de la Corte y continúa vigente a la fecha. 3) Las desapariciones de </w:t>
      </w:r>
      <w:proofErr w:type="spellStart"/>
      <w:r w:rsidRPr="00143D29">
        <w:rPr>
          <w:sz w:val="16"/>
          <w:szCs w:val="16"/>
        </w:rPr>
        <w:t>Iron</w:t>
      </w:r>
      <w:proofErr w:type="spellEnd"/>
      <w:r w:rsidRPr="00143D29">
        <w:rPr>
          <w:sz w:val="16"/>
          <w:szCs w:val="16"/>
        </w:rPr>
        <w:t xml:space="preserve"> Canuto da Silva y Luis Ferreira da Cruz, las cuales se extendieron más allá de la fecha de aceptación de la competencia de la Corte. </w:t>
      </w:r>
    </w:p>
  </w:footnote>
  <w:footnote w:id="4">
    <w:p w14:paraId="1B42370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Los representantes solicitaron a la Corte que declare la responsabilidad internacional del Estado por lo siguiente: 1) La violación del deber de garantía de la prohibición de esclavitud, servidumbre y tráfico de personas, contemplado en el artículo 6 de la Convención, en relación con los derechos a la personalidad jurídica, integridad personal, libertad y seguridad personal, vida privada, honra y dignidad, y circulación y residencia, establecidos en los artículos 3, 5, 7, 11 y 22 de la Convención, en perjuicio de las personas que se encontraban trabajando en la Hacienda Brasil Verde a partir de la aceptación de la competencia contenciosa de la Corte. Esta responsabilidad resulta agravada en virtud de la violación del principio de no discriminación y los derechos del niño, establecidos en los artículos 1.1 y 19 del mismo instrumento. 2) La violación de los derechos a la protección judicial y garantías judiciales establecidos en los artículos 25 y 8, en relación con el artículo 1.1 de la Convención, en perjuicio de las personas que se encontraban trabajando en la Hacienda Brasil Verde a partir de la aceptación de la competencia contenciosa de la Corte. 3) El incumplimiento del deber de garantía en relación con los derechos a la personalidad jurídica, vida, integridad y libertad personales de Luis Ferreira da Cruz, contemplados en los artículos 3, 4, 5 y 7 de la Convención, en conexión con los artículos 1.1, 8 y 25 del mismo instrumento. 4) La violación de los derechos a las garantías judiciales, a la protección judicial y la integridad personal de los familiares de Luis Ferreira da Cruz, contemplados en los artículos 8, 25 y 5 de la Convención, en relación con el artículo 1.1 del mismo instrumento. 5) La violación continuada de los derechos a las garantías judiciales y protección judicial, contemplados en los artículos 8 y 25 de la Convención, en perjuicio de las personas que se encontraban trabajando en la Hacienda Brasil Verde con anterioridad a 1998. </w:t>
      </w:r>
    </w:p>
  </w:footnote>
  <w:footnote w:id="5">
    <w:p w14:paraId="56453CD7"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Mediante escritos de 8 y 30 de </w:t>
      </w:r>
      <w:proofErr w:type="spellStart"/>
      <w:r w:rsidRPr="00143D29">
        <w:rPr>
          <w:lang w:val="pt-BR"/>
        </w:rPr>
        <w:t>junio</w:t>
      </w:r>
      <w:proofErr w:type="spellEnd"/>
      <w:r w:rsidRPr="00143D29">
        <w:rPr>
          <w:lang w:val="pt-BR"/>
        </w:rPr>
        <w:t xml:space="preserve">, y 10 de agosto de 2015 </w:t>
      </w:r>
      <w:proofErr w:type="spellStart"/>
      <w:r w:rsidRPr="00143D29">
        <w:rPr>
          <w:lang w:val="pt-BR"/>
        </w:rPr>
        <w:t>el</w:t>
      </w:r>
      <w:proofErr w:type="spellEnd"/>
      <w:r w:rsidRPr="00143D29">
        <w:rPr>
          <w:lang w:val="pt-BR"/>
        </w:rPr>
        <w:t xml:space="preserve"> Estado </w:t>
      </w:r>
      <w:proofErr w:type="spellStart"/>
      <w:r w:rsidRPr="00143D29">
        <w:rPr>
          <w:lang w:val="pt-BR"/>
        </w:rPr>
        <w:t>designó</w:t>
      </w:r>
      <w:proofErr w:type="spellEnd"/>
      <w:r w:rsidRPr="00143D29">
        <w:rPr>
          <w:lang w:val="pt-BR"/>
        </w:rPr>
        <w:t xml:space="preserve"> como Agentes a Maria Dulce Silva Barros, Boni de Moraes Soares, Pedro Marcos de Castro Saldanha, João Guilherme Fernandes Maranhão, Rodrigo de Oliveira Morais, Luciana Peres, Fabiola de Nazaré Oliveira y </w:t>
      </w:r>
      <w:proofErr w:type="spellStart"/>
      <w:r w:rsidRPr="00143D29">
        <w:rPr>
          <w:lang w:val="pt-BR"/>
        </w:rPr>
        <w:t>Hélia</w:t>
      </w:r>
      <w:proofErr w:type="spellEnd"/>
      <w:r w:rsidRPr="00143D29">
        <w:rPr>
          <w:lang w:val="pt-BR"/>
        </w:rPr>
        <w:t xml:space="preserve"> Alves Girão. </w:t>
      </w:r>
    </w:p>
  </w:footnote>
  <w:footnote w:id="6">
    <w:p w14:paraId="393BDA4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Resolución del </w:t>
      </w:r>
      <w:proofErr w:type="gramStart"/>
      <w:r w:rsidRPr="00143D29">
        <w:rPr>
          <w:lang w:val="es-ES"/>
        </w:rPr>
        <w:t>Presidente</w:t>
      </w:r>
      <w:proofErr w:type="gramEnd"/>
      <w:r w:rsidRPr="00143D29">
        <w:rPr>
          <w:lang w:val="es-ES"/>
        </w:rPr>
        <w:t xml:space="preserve"> de la Corte de 11 de diciembre de 2015, disponible en el siguiente enlace: </w:t>
      </w:r>
      <w:hyperlink r:id="rId1" w:history="1">
        <w:r w:rsidRPr="00143D29">
          <w:rPr>
            <w:rStyle w:val="Hipervnculo"/>
            <w:lang w:val="es-ES"/>
          </w:rPr>
          <w:t>http://www.corteidh.or.cr/docs/asuntos/trabajadores_11_12_15.pdf</w:t>
        </w:r>
      </w:hyperlink>
      <w:r w:rsidRPr="00143D29">
        <w:rPr>
          <w:lang w:val="es-ES"/>
        </w:rPr>
        <w:t>.</w:t>
      </w:r>
    </w:p>
  </w:footnote>
  <w:footnote w:id="7">
    <w:p w14:paraId="483184E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Resolución de la Corte de 15 de febrero de 2016, disponible en el siguiente enlace: </w:t>
      </w:r>
      <w:hyperlink r:id="rId2" w:history="1">
        <w:r w:rsidRPr="00143D29">
          <w:rPr>
            <w:rStyle w:val="Hipervnculo"/>
            <w:lang w:val="es-ES"/>
          </w:rPr>
          <w:t>http://www.corteidh.or.cr/docs/asuntos/trabajadores_15_02_16_por.pdf</w:t>
        </w:r>
      </w:hyperlink>
      <w:r w:rsidRPr="00143D29">
        <w:rPr>
          <w:lang w:val="es-ES"/>
        </w:rPr>
        <w:t>.</w:t>
      </w:r>
    </w:p>
  </w:footnote>
  <w:footnote w:id="8">
    <w:p w14:paraId="2EC5353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 esta audiencia comparecieron: a) por la Comisión Interamericana: </w:t>
      </w:r>
      <w:r w:rsidRPr="00143D29">
        <w:rPr>
          <w:lang w:val="es-ES" w:eastAsia="es-ES"/>
        </w:rPr>
        <w:t xml:space="preserve">Francisco Eguiguren </w:t>
      </w:r>
      <w:proofErr w:type="spellStart"/>
      <w:r w:rsidRPr="00143D29">
        <w:rPr>
          <w:lang w:val="es-ES" w:eastAsia="es-ES"/>
        </w:rPr>
        <w:t>Praeli</w:t>
      </w:r>
      <w:proofErr w:type="spellEnd"/>
      <w:r w:rsidRPr="00143D29">
        <w:rPr>
          <w:lang w:val="es-ES"/>
        </w:rPr>
        <w:t xml:space="preserve">, Comisionado y Silvia Serrano Guzmán, asesora de la Secretaría Ejecutiva; b) por los representantes: </w:t>
      </w:r>
      <w:r w:rsidRPr="00143D29">
        <w:rPr>
          <w:lang w:val="es-ES" w:eastAsia="es-ES"/>
        </w:rPr>
        <w:t xml:space="preserve">Viviana </w:t>
      </w:r>
      <w:proofErr w:type="spellStart"/>
      <w:r w:rsidRPr="00143D29">
        <w:rPr>
          <w:lang w:val="es-ES" w:eastAsia="es-ES"/>
        </w:rPr>
        <w:t>Krsticevic</w:t>
      </w:r>
      <w:proofErr w:type="spellEnd"/>
      <w:r w:rsidRPr="00143D29">
        <w:rPr>
          <w:lang w:val="es-ES" w:eastAsia="es-ES"/>
        </w:rPr>
        <w:t xml:space="preserve">; Helena de Souza Rocha; Beatriz </w:t>
      </w:r>
      <w:proofErr w:type="spellStart"/>
      <w:r w:rsidRPr="00143D29">
        <w:rPr>
          <w:lang w:val="es-ES" w:eastAsia="es-ES"/>
        </w:rPr>
        <w:t>Affonso</w:t>
      </w:r>
      <w:proofErr w:type="spellEnd"/>
      <w:r w:rsidRPr="00143D29">
        <w:rPr>
          <w:lang w:val="es-ES" w:eastAsia="es-ES"/>
        </w:rPr>
        <w:t xml:space="preserve">; Elsa </w:t>
      </w:r>
      <w:proofErr w:type="spellStart"/>
      <w:r w:rsidRPr="00143D29">
        <w:rPr>
          <w:lang w:val="es-ES" w:eastAsia="es-ES"/>
        </w:rPr>
        <w:t>Meany</w:t>
      </w:r>
      <w:proofErr w:type="spellEnd"/>
      <w:r w:rsidRPr="00143D29">
        <w:rPr>
          <w:lang w:val="es-ES" w:eastAsia="es-ES"/>
        </w:rPr>
        <w:t xml:space="preserve">; Xavier </w:t>
      </w:r>
      <w:proofErr w:type="spellStart"/>
      <w:r w:rsidRPr="00143D29">
        <w:rPr>
          <w:lang w:val="es-ES" w:eastAsia="es-ES"/>
        </w:rPr>
        <w:t>Plassat</w:t>
      </w:r>
      <w:proofErr w:type="spellEnd"/>
      <w:r w:rsidRPr="00143D29">
        <w:rPr>
          <w:lang w:val="es-ES" w:eastAsia="es-ES"/>
        </w:rPr>
        <w:t xml:space="preserve">; Ricardo </w:t>
      </w:r>
      <w:proofErr w:type="spellStart"/>
      <w:r w:rsidRPr="00143D29">
        <w:rPr>
          <w:lang w:val="es-ES" w:eastAsia="es-ES"/>
        </w:rPr>
        <w:t>Rezende</w:t>
      </w:r>
      <w:proofErr w:type="spellEnd"/>
      <w:r w:rsidRPr="00143D29">
        <w:rPr>
          <w:lang w:val="es-ES" w:eastAsia="es-ES"/>
        </w:rPr>
        <w:t xml:space="preserve"> Figueira, y Ana Batista de Souza</w:t>
      </w:r>
      <w:r w:rsidRPr="00143D29">
        <w:rPr>
          <w:lang w:val="es-ES"/>
        </w:rPr>
        <w:t xml:space="preserve">, y c) por el Estado: </w:t>
      </w:r>
      <w:proofErr w:type="spellStart"/>
      <w:r w:rsidRPr="00143D29">
        <w:rPr>
          <w:lang w:val="es-ES" w:eastAsia="es-ES"/>
        </w:rPr>
        <w:t>Maria</w:t>
      </w:r>
      <w:proofErr w:type="spellEnd"/>
      <w:r w:rsidRPr="00143D29">
        <w:rPr>
          <w:lang w:val="es-ES" w:eastAsia="es-ES"/>
        </w:rPr>
        <w:t xml:space="preserve"> Dulce Silva Barros; Boni de </w:t>
      </w:r>
      <w:proofErr w:type="spellStart"/>
      <w:r w:rsidRPr="00143D29">
        <w:rPr>
          <w:lang w:val="es-ES" w:eastAsia="es-ES"/>
        </w:rPr>
        <w:t>Moraes</w:t>
      </w:r>
      <w:proofErr w:type="spellEnd"/>
      <w:r w:rsidRPr="00143D29">
        <w:rPr>
          <w:lang w:val="es-ES" w:eastAsia="es-ES"/>
        </w:rPr>
        <w:t xml:space="preserve"> Soares; João Guilherme </w:t>
      </w:r>
      <w:proofErr w:type="spellStart"/>
      <w:r w:rsidRPr="00143D29">
        <w:rPr>
          <w:lang w:val="es-ES" w:eastAsia="es-ES"/>
        </w:rPr>
        <w:t>Fernandes</w:t>
      </w:r>
      <w:proofErr w:type="spellEnd"/>
      <w:r w:rsidRPr="00143D29">
        <w:rPr>
          <w:lang w:val="es-ES" w:eastAsia="es-ES"/>
        </w:rPr>
        <w:t xml:space="preserve"> Maranhão; Luciana </w:t>
      </w:r>
      <w:proofErr w:type="spellStart"/>
      <w:r w:rsidRPr="00143D29">
        <w:rPr>
          <w:lang w:val="es-ES" w:eastAsia="es-ES"/>
        </w:rPr>
        <w:t>Peres</w:t>
      </w:r>
      <w:proofErr w:type="spellEnd"/>
      <w:r w:rsidRPr="00143D29">
        <w:rPr>
          <w:lang w:val="es-ES" w:eastAsia="es-ES"/>
        </w:rPr>
        <w:t xml:space="preserve">; </w:t>
      </w:r>
      <w:proofErr w:type="spellStart"/>
      <w:r w:rsidRPr="00143D29">
        <w:rPr>
          <w:lang w:val="es-ES" w:eastAsia="es-ES"/>
        </w:rPr>
        <w:t>Hélida</w:t>
      </w:r>
      <w:proofErr w:type="spellEnd"/>
      <w:r w:rsidRPr="00143D29">
        <w:rPr>
          <w:lang w:val="es-ES" w:eastAsia="es-ES"/>
        </w:rPr>
        <w:t xml:space="preserve"> Alves </w:t>
      </w:r>
      <w:proofErr w:type="spellStart"/>
      <w:r w:rsidRPr="00143D29">
        <w:rPr>
          <w:lang w:val="es-ES" w:eastAsia="es-ES"/>
        </w:rPr>
        <w:t>Girão</w:t>
      </w:r>
      <w:proofErr w:type="spellEnd"/>
      <w:r w:rsidRPr="00143D29">
        <w:rPr>
          <w:lang w:val="es-ES" w:eastAsia="es-ES"/>
        </w:rPr>
        <w:t xml:space="preserve">; Giordano da Silva </w:t>
      </w:r>
      <w:proofErr w:type="spellStart"/>
      <w:r w:rsidRPr="00143D29">
        <w:rPr>
          <w:lang w:val="es-ES" w:eastAsia="es-ES"/>
        </w:rPr>
        <w:t>Rosseto</w:t>
      </w:r>
      <w:proofErr w:type="spellEnd"/>
      <w:r w:rsidRPr="00143D29">
        <w:rPr>
          <w:lang w:val="es-ES" w:eastAsia="es-ES"/>
        </w:rPr>
        <w:t xml:space="preserve">; </w:t>
      </w:r>
      <w:proofErr w:type="spellStart"/>
      <w:r w:rsidRPr="00143D29">
        <w:rPr>
          <w:lang w:val="es-ES" w:eastAsia="es-ES"/>
        </w:rPr>
        <w:t>Maria</w:t>
      </w:r>
      <w:proofErr w:type="spellEnd"/>
      <w:r w:rsidRPr="00143D29">
        <w:rPr>
          <w:lang w:val="es-ES" w:eastAsia="es-ES"/>
        </w:rPr>
        <w:t xml:space="preserve"> Cristina M. dos </w:t>
      </w:r>
      <w:proofErr w:type="spellStart"/>
      <w:r w:rsidRPr="00143D29">
        <w:rPr>
          <w:lang w:val="es-ES" w:eastAsia="es-ES"/>
        </w:rPr>
        <w:t>Anjos</w:t>
      </w:r>
      <w:proofErr w:type="spellEnd"/>
      <w:r w:rsidRPr="00143D29">
        <w:rPr>
          <w:lang w:val="es-ES" w:eastAsia="es-ES"/>
        </w:rPr>
        <w:t xml:space="preserve">; Gustavo Guimarães; </w:t>
      </w:r>
      <w:proofErr w:type="spellStart"/>
      <w:r w:rsidRPr="00143D29">
        <w:rPr>
          <w:lang w:val="es-ES" w:eastAsia="es-ES"/>
        </w:rPr>
        <w:t>Nilma</w:t>
      </w:r>
      <w:proofErr w:type="spellEnd"/>
      <w:r w:rsidRPr="00143D29">
        <w:rPr>
          <w:lang w:val="es-ES" w:eastAsia="es-ES"/>
        </w:rPr>
        <w:t xml:space="preserve"> Lino Gomes; Cecilia </w:t>
      </w:r>
      <w:proofErr w:type="spellStart"/>
      <w:r w:rsidRPr="00143D29">
        <w:rPr>
          <w:lang w:val="es-ES" w:eastAsia="es-ES"/>
        </w:rPr>
        <w:t>Bizerra</w:t>
      </w:r>
      <w:proofErr w:type="spellEnd"/>
      <w:r w:rsidRPr="00143D29">
        <w:rPr>
          <w:lang w:val="es-ES" w:eastAsia="es-ES"/>
        </w:rPr>
        <w:t xml:space="preserve"> Souza, y Claudio </w:t>
      </w:r>
      <w:proofErr w:type="spellStart"/>
      <w:r w:rsidRPr="00143D29">
        <w:rPr>
          <w:lang w:val="es-ES" w:eastAsia="es-ES"/>
        </w:rPr>
        <w:t>Fachel</w:t>
      </w:r>
      <w:proofErr w:type="spellEnd"/>
      <w:r w:rsidRPr="00143D29">
        <w:rPr>
          <w:lang w:val="es-ES" w:eastAsia="es-ES"/>
        </w:rPr>
        <w:t>.</w:t>
      </w:r>
      <w:r w:rsidRPr="00143D29">
        <w:rPr>
          <w:b/>
          <w:lang w:val="es-ES" w:eastAsia="es-ES"/>
        </w:rPr>
        <w:t xml:space="preserve"> </w:t>
      </w:r>
    </w:p>
  </w:footnote>
  <w:footnote w:id="9">
    <w:p w14:paraId="5E98476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lang w:val="es-ES"/>
        </w:rPr>
        <w:tab/>
        <w:t xml:space="preserve">Con respecto a los </w:t>
      </w:r>
      <w:proofErr w:type="spellStart"/>
      <w:r w:rsidRPr="00143D29">
        <w:rPr>
          <w:i/>
          <w:lang w:val="es-ES"/>
        </w:rPr>
        <w:t>amici</w:t>
      </w:r>
      <w:proofErr w:type="spellEnd"/>
      <w:r w:rsidRPr="00143D29">
        <w:rPr>
          <w:i/>
          <w:lang w:val="es-ES"/>
        </w:rPr>
        <w:t xml:space="preserve"> </w:t>
      </w:r>
      <w:proofErr w:type="spellStart"/>
      <w:r w:rsidRPr="00143D29">
        <w:rPr>
          <w:i/>
          <w:lang w:val="es-ES"/>
        </w:rPr>
        <w:t>curiae</w:t>
      </w:r>
      <w:proofErr w:type="spellEnd"/>
      <w:r w:rsidRPr="00143D29">
        <w:rPr>
          <w:i/>
          <w:lang w:val="es-ES"/>
        </w:rPr>
        <w:t xml:space="preserve"> </w:t>
      </w:r>
      <w:r w:rsidRPr="00143D29">
        <w:rPr>
          <w:lang w:val="es-ES"/>
        </w:rPr>
        <w:t>presentados, el Estado objetó que las traducciones de los escritos</w:t>
      </w:r>
      <w:r w:rsidRPr="00143D29">
        <w:rPr>
          <w:i/>
          <w:lang w:val="es-ES"/>
        </w:rPr>
        <w:t xml:space="preserve"> </w:t>
      </w:r>
      <w:r w:rsidRPr="00143D29">
        <w:rPr>
          <w:lang w:val="es-ES"/>
        </w:rPr>
        <w:t xml:space="preserve">de la Universidad del Norte de Colombia; del Instituto de Democracia y Derechos Humanos de la Pontificia Universidad Católica del Perú, y de la organización Human </w:t>
      </w:r>
      <w:proofErr w:type="spellStart"/>
      <w:r w:rsidRPr="00143D29">
        <w:rPr>
          <w:lang w:val="es-ES"/>
        </w:rPr>
        <w:t>Rights</w:t>
      </w:r>
      <w:proofErr w:type="spellEnd"/>
      <w:r w:rsidRPr="00143D29">
        <w:rPr>
          <w:lang w:val="es-ES"/>
        </w:rPr>
        <w:t xml:space="preserve"> in </w:t>
      </w:r>
      <w:proofErr w:type="spellStart"/>
      <w:r w:rsidRPr="00143D29">
        <w:rPr>
          <w:lang w:val="es-ES"/>
        </w:rPr>
        <w:t>Practice</w:t>
      </w:r>
      <w:proofErr w:type="spellEnd"/>
      <w:r w:rsidRPr="00143D29">
        <w:rPr>
          <w:lang w:val="es-ES"/>
        </w:rPr>
        <w:t xml:space="preserve">, no fueron presentadas dentro del plazo establecido para tal efecto y, en </w:t>
      </w:r>
      <w:proofErr w:type="gramStart"/>
      <w:r w:rsidRPr="00143D29">
        <w:rPr>
          <w:lang w:val="es-ES"/>
        </w:rPr>
        <w:t>consecuencia</w:t>
      </w:r>
      <w:proofErr w:type="gramEnd"/>
      <w:r w:rsidRPr="00143D29">
        <w:rPr>
          <w:lang w:val="es-ES"/>
        </w:rPr>
        <w:t xml:space="preserve"> solicitó que fueran declarados inadmisibles. También adujo que el </w:t>
      </w:r>
      <w:proofErr w:type="spellStart"/>
      <w:r w:rsidRPr="00143D29">
        <w:rPr>
          <w:i/>
          <w:lang w:val="es-ES"/>
        </w:rPr>
        <w:t>amicus</w:t>
      </w:r>
      <w:proofErr w:type="spellEnd"/>
      <w:r w:rsidRPr="00143D29">
        <w:rPr>
          <w:i/>
          <w:lang w:val="es-ES"/>
        </w:rPr>
        <w:t xml:space="preserve"> </w:t>
      </w:r>
      <w:proofErr w:type="spellStart"/>
      <w:r w:rsidRPr="00143D29">
        <w:rPr>
          <w:i/>
          <w:lang w:val="es-ES"/>
        </w:rPr>
        <w:t>curiae</w:t>
      </w:r>
      <w:proofErr w:type="spellEnd"/>
      <w:r w:rsidRPr="00143D29">
        <w:rPr>
          <w:lang w:val="es-ES"/>
        </w:rPr>
        <w:t xml:space="preserve"> de Tara </w:t>
      </w:r>
      <w:proofErr w:type="spellStart"/>
      <w:r w:rsidRPr="00143D29">
        <w:rPr>
          <w:lang w:val="es-ES"/>
        </w:rPr>
        <w:t>Melish</w:t>
      </w:r>
      <w:proofErr w:type="spellEnd"/>
      <w:r w:rsidRPr="00143D29">
        <w:rPr>
          <w:lang w:val="es-ES"/>
        </w:rPr>
        <w:t xml:space="preserve">, profesora asociada de la </w:t>
      </w:r>
      <w:proofErr w:type="spellStart"/>
      <w:r w:rsidRPr="00143D29">
        <w:rPr>
          <w:lang w:val="es-ES"/>
        </w:rPr>
        <w:t>State</w:t>
      </w:r>
      <w:proofErr w:type="spellEnd"/>
      <w:r w:rsidRPr="00143D29">
        <w:rPr>
          <w:lang w:val="es-ES"/>
        </w:rPr>
        <w:t xml:space="preserve"> </w:t>
      </w:r>
      <w:proofErr w:type="spellStart"/>
      <w:r w:rsidRPr="00143D29">
        <w:rPr>
          <w:lang w:val="es-ES"/>
        </w:rPr>
        <w:t>University</w:t>
      </w:r>
      <w:proofErr w:type="spellEnd"/>
      <w:r w:rsidRPr="00143D29">
        <w:rPr>
          <w:lang w:val="es-ES"/>
        </w:rPr>
        <w:t xml:space="preserve"> </w:t>
      </w:r>
      <w:proofErr w:type="spellStart"/>
      <w:r w:rsidRPr="00143D29">
        <w:rPr>
          <w:lang w:val="es-ES"/>
        </w:rPr>
        <w:t>of</w:t>
      </w:r>
      <w:proofErr w:type="spellEnd"/>
      <w:r w:rsidRPr="00143D29">
        <w:rPr>
          <w:lang w:val="es-ES"/>
        </w:rPr>
        <w:t xml:space="preserve"> New York, hace referencia expresa al escrito de contestación del Estado, a pesar de que este es de uso exclusivo de las partes y la Corte Interamericana durante la tramitación del proceso, por lo cual debe ser declarado inadmisible. Con respecto a lo anterior, la Corte constató que la traducción al portugués del escrito de la Universidad del Norte de Colombia fue presentada el 14 de marzo de 2016, mientras que la traducción de los escritos del Instituto de Democracia y Derechos Humanos de la Pontificia Universidad Católica del Perú, y de la organización Human </w:t>
      </w:r>
      <w:proofErr w:type="spellStart"/>
      <w:r w:rsidRPr="00143D29">
        <w:rPr>
          <w:lang w:val="es-ES"/>
        </w:rPr>
        <w:t>Rights</w:t>
      </w:r>
      <w:proofErr w:type="spellEnd"/>
      <w:r w:rsidRPr="00143D29">
        <w:rPr>
          <w:lang w:val="es-ES"/>
        </w:rPr>
        <w:t xml:space="preserve"> in </w:t>
      </w:r>
      <w:proofErr w:type="spellStart"/>
      <w:r w:rsidRPr="00143D29">
        <w:rPr>
          <w:lang w:val="es-ES"/>
        </w:rPr>
        <w:t>Practice</w:t>
      </w:r>
      <w:proofErr w:type="spellEnd"/>
      <w:r w:rsidRPr="00143D29">
        <w:rPr>
          <w:lang w:val="es-ES"/>
        </w:rPr>
        <w:t xml:space="preserve"> fueron presentadas el 17 de marzo de 2016. En consecuencia, la Corte no tomará en consideración los escritos presentados en calidad de </w:t>
      </w:r>
      <w:proofErr w:type="spellStart"/>
      <w:r w:rsidRPr="00143D29">
        <w:rPr>
          <w:i/>
          <w:lang w:val="es-ES"/>
        </w:rPr>
        <w:t>amici</w:t>
      </w:r>
      <w:proofErr w:type="spellEnd"/>
      <w:r w:rsidRPr="00143D29">
        <w:rPr>
          <w:i/>
          <w:lang w:val="es-ES"/>
        </w:rPr>
        <w:t xml:space="preserve"> </w:t>
      </w:r>
      <w:proofErr w:type="spellStart"/>
      <w:r w:rsidRPr="00143D29">
        <w:rPr>
          <w:i/>
          <w:lang w:val="es-ES"/>
        </w:rPr>
        <w:t>curiae</w:t>
      </w:r>
      <w:proofErr w:type="spellEnd"/>
      <w:r w:rsidRPr="00143D29">
        <w:rPr>
          <w:lang w:val="es-ES"/>
        </w:rPr>
        <w:t xml:space="preserve"> del Instituto de Democracia y Derechos Humanos de la Pontificia Universidad Católica del Perú, y de la organización Human </w:t>
      </w:r>
      <w:proofErr w:type="spellStart"/>
      <w:r w:rsidRPr="00143D29">
        <w:rPr>
          <w:lang w:val="es-ES"/>
        </w:rPr>
        <w:t>Rights</w:t>
      </w:r>
      <w:proofErr w:type="spellEnd"/>
      <w:r w:rsidRPr="00143D29">
        <w:rPr>
          <w:lang w:val="es-ES"/>
        </w:rPr>
        <w:t xml:space="preserve"> in </w:t>
      </w:r>
      <w:proofErr w:type="spellStart"/>
      <w:r w:rsidRPr="00143D29">
        <w:rPr>
          <w:lang w:val="es-ES"/>
        </w:rPr>
        <w:t>Practice</w:t>
      </w:r>
      <w:proofErr w:type="spellEnd"/>
      <w:r w:rsidRPr="00143D29">
        <w:rPr>
          <w:lang w:val="es-ES"/>
        </w:rPr>
        <w:t xml:space="preserve">, por haber sido presentados de forma extemporánea. Sin perjuicio de lo anterior, el escrito de la Universidad del Norte de Colombia fue presentado dentro del plazo otorgado por la Corte. </w:t>
      </w:r>
      <w:r w:rsidRPr="00143D29">
        <w:rPr>
          <w:lang w:val="es-ES"/>
        </w:rPr>
        <w:tab/>
        <w:t xml:space="preserve">Respecto de las objeciones del Estado relativas al escrito presentado por la señora Tara </w:t>
      </w:r>
      <w:proofErr w:type="spellStart"/>
      <w:r w:rsidRPr="00143D29">
        <w:rPr>
          <w:lang w:val="es-ES"/>
        </w:rPr>
        <w:t>Melish</w:t>
      </w:r>
      <w:proofErr w:type="spellEnd"/>
      <w:r w:rsidRPr="00143D29">
        <w:rPr>
          <w:lang w:val="es-ES"/>
        </w:rPr>
        <w:t xml:space="preserve">, la Corte hace notar que no hizo público el escrito de contestación del Estado de Brasil en este caso, no obstante constata que este documento no tiene un carácter reservado o </w:t>
      </w:r>
      <w:proofErr w:type="gramStart"/>
      <w:r w:rsidRPr="00143D29">
        <w:rPr>
          <w:lang w:val="es-ES"/>
        </w:rPr>
        <w:t>contiene  información</w:t>
      </w:r>
      <w:proofErr w:type="gramEnd"/>
      <w:r w:rsidRPr="00143D29">
        <w:rPr>
          <w:lang w:val="es-ES"/>
        </w:rPr>
        <w:t xml:space="preserve"> sensible que el Estado haya solicitado que fuera sometida a reserva, por lo que no prospera la solicitud de inadmisibilidad formulada por el Estado.</w:t>
      </w:r>
    </w:p>
  </w:footnote>
  <w:footnote w:id="10">
    <w:p w14:paraId="12F7A631"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El escrito </w:t>
      </w:r>
      <w:proofErr w:type="spellStart"/>
      <w:r w:rsidRPr="00143D29">
        <w:rPr>
          <w:lang w:val="pt-BR"/>
        </w:rPr>
        <w:t>fue</w:t>
      </w:r>
      <w:proofErr w:type="spellEnd"/>
      <w:r w:rsidRPr="00143D29">
        <w:rPr>
          <w:lang w:val="pt-BR"/>
        </w:rPr>
        <w:t xml:space="preserve"> firmado por </w:t>
      </w:r>
      <w:proofErr w:type="spellStart"/>
      <w:r w:rsidRPr="00143D29">
        <w:rPr>
          <w:lang w:val="pt-BR"/>
        </w:rPr>
        <w:t>Valena</w:t>
      </w:r>
      <w:proofErr w:type="spellEnd"/>
      <w:r w:rsidRPr="00143D29">
        <w:rPr>
          <w:lang w:val="pt-BR"/>
        </w:rPr>
        <w:t xml:space="preserve"> Jacob Chaves Mesquita, </w:t>
      </w:r>
      <w:r w:rsidRPr="00143D29">
        <w:rPr>
          <w:noProof/>
          <w:lang w:val="pt-BR"/>
        </w:rPr>
        <w:t xml:space="preserve">Cristina Figueiredo Terezo Ribeiro, Manoel Maurício Ramos Neto, Caio César Dias Santos, Raysa Antonia Alves Alves y Tamires da Silva Lima. </w:t>
      </w:r>
    </w:p>
  </w:footnote>
  <w:footnote w:id="11">
    <w:p w14:paraId="41AF57A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escrito fue firmado por Elizabeth Salmón Gárate, Cristina Blanco Vizarreta, Alessandra Enrico </w:t>
      </w:r>
      <w:proofErr w:type="spellStart"/>
      <w:r w:rsidRPr="00143D29">
        <w:rPr>
          <w:lang w:val="es-ES"/>
        </w:rPr>
        <w:t>Headrington</w:t>
      </w:r>
      <w:proofErr w:type="spellEnd"/>
      <w:r w:rsidRPr="00143D29">
        <w:rPr>
          <w:lang w:val="es-ES"/>
        </w:rPr>
        <w:t xml:space="preserve"> y Adrián Lengua Parra. (expediente de prueba, folio 1.</w:t>
      </w:r>
    </w:p>
  </w:footnote>
  <w:footnote w:id="12">
    <w:p w14:paraId="7EC18D4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escrito fue firmado por </w:t>
      </w:r>
      <w:proofErr w:type="spellStart"/>
      <w:r w:rsidRPr="00143D29">
        <w:rPr>
          <w:lang w:val="es-ES"/>
        </w:rPr>
        <w:t>Sharan</w:t>
      </w:r>
      <w:proofErr w:type="spellEnd"/>
      <w:r w:rsidRPr="00143D29">
        <w:rPr>
          <w:lang w:val="es-ES"/>
        </w:rPr>
        <w:t xml:space="preserve"> </w:t>
      </w:r>
      <w:proofErr w:type="spellStart"/>
      <w:r w:rsidRPr="00143D29">
        <w:rPr>
          <w:lang w:val="es-ES"/>
        </w:rPr>
        <w:t>Burrow</w:t>
      </w:r>
      <w:proofErr w:type="spellEnd"/>
      <w:r w:rsidRPr="00143D29">
        <w:rPr>
          <w:lang w:val="es-ES"/>
        </w:rPr>
        <w:t xml:space="preserve">. </w:t>
      </w:r>
    </w:p>
  </w:footnote>
  <w:footnote w:id="13">
    <w:p w14:paraId="6256F70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escrito fue firmado por Cindy Hawkins Rada, Maira </w:t>
      </w:r>
      <w:proofErr w:type="spellStart"/>
      <w:r w:rsidRPr="00143D29">
        <w:rPr>
          <w:lang w:val="es-ES"/>
        </w:rPr>
        <w:t>Kleber</w:t>
      </w:r>
      <w:proofErr w:type="spellEnd"/>
      <w:r w:rsidRPr="00143D29">
        <w:rPr>
          <w:lang w:val="es-ES"/>
        </w:rPr>
        <w:t xml:space="preserve"> Sierra, Shirley </w:t>
      </w:r>
      <w:proofErr w:type="spellStart"/>
      <w:r w:rsidRPr="00143D29">
        <w:rPr>
          <w:lang w:val="es-ES"/>
        </w:rPr>
        <w:t>Llain</w:t>
      </w:r>
      <w:proofErr w:type="spellEnd"/>
      <w:r w:rsidRPr="00143D29">
        <w:rPr>
          <w:lang w:val="es-ES"/>
        </w:rPr>
        <w:t xml:space="preserve"> Arenilla, Andrea Alejandra Ariza </w:t>
      </w:r>
      <w:proofErr w:type="spellStart"/>
      <w:r w:rsidRPr="00143D29">
        <w:rPr>
          <w:lang w:val="es-ES"/>
        </w:rPr>
        <w:t>Lascarro</w:t>
      </w:r>
      <w:proofErr w:type="spellEnd"/>
      <w:r w:rsidRPr="00143D29">
        <w:rPr>
          <w:lang w:val="es-ES"/>
        </w:rPr>
        <w:t xml:space="preserve">. </w:t>
      </w:r>
    </w:p>
  </w:footnote>
  <w:footnote w:id="14">
    <w:p w14:paraId="3D4F8D9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escrito fue firmado por Hellen Duffy.</w:t>
      </w:r>
      <w:r w:rsidRPr="00143D29">
        <w:rPr>
          <w:b/>
          <w:lang w:val="es-ES"/>
        </w:rPr>
        <w:t xml:space="preserve"> </w:t>
      </w:r>
    </w:p>
  </w:footnote>
  <w:footnote w:id="15">
    <w:p w14:paraId="2FF8206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escrito fue firmado por Sheldon Leader y Anil </w:t>
      </w:r>
      <w:proofErr w:type="spellStart"/>
      <w:r w:rsidRPr="00143D29">
        <w:rPr>
          <w:lang w:val="es-ES"/>
        </w:rPr>
        <w:t>Yilmaz-Vastardis</w:t>
      </w:r>
      <w:proofErr w:type="spellEnd"/>
      <w:r w:rsidRPr="00143D29">
        <w:rPr>
          <w:lang w:val="es-ES"/>
        </w:rPr>
        <w:t xml:space="preserve">. </w:t>
      </w:r>
    </w:p>
  </w:footnote>
  <w:footnote w:id="16">
    <w:p w14:paraId="5D0069AF" w14:textId="77777777" w:rsidR="00D4299B" w:rsidRPr="00143D29" w:rsidRDefault="00D4299B" w:rsidP="00D761C7">
      <w:pPr>
        <w:spacing w:after="20"/>
        <w:jc w:val="both"/>
        <w:rPr>
          <w:b/>
          <w:sz w:val="16"/>
          <w:szCs w:val="16"/>
          <w:lang w:val="es-ES"/>
        </w:rPr>
      </w:pPr>
      <w:r w:rsidRPr="00143D29">
        <w:rPr>
          <w:rStyle w:val="Refdenotaalpie"/>
          <w:sz w:val="16"/>
          <w:szCs w:val="16"/>
        </w:rPr>
        <w:footnoteRef/>
      </w:r>
      <w:r w:rsidRPr="00143D29">
        <w:rPr>
          <w:sz w:val="16"/>
          <w:szCs w:val="16"/>
          <w:lang w:val="es-ES"/>
        </w:rPr>
        <w:t xml:space="preserve"> </w:t>
      </w:r>
      <w:r w:rsidRPr="00143D29">
        <w:rPr>
          <w:rStyle w:val="Textoennegrita"/>
          <w:b w:val="0"/>
          <w:color w:val="000000"/>
          <w:sz w:val="16"/>
          <w:szCs w:val="16"/>
          <w:shd w:val="clear" w:color="auto" w:fill="FFFFFF"/>
          <w:lang w:val="es-ES"/>
        </w:rPr>
        <w:t xml:space="preserve">Resolución sobre Diligencia in situ de 23 de febrero de 2016, disponible en el siguiente enlace: </w:t>
      </w:r>
      <w:hyperlink r:id="rId3" w:history="1">
        <w:r w:rsidRPr="00143D29">
          <w:rPr>
            <w:rStyle w:val="Hipervnculo"/>
            <w:sz w:val="16"/>
            <w:szCs w:val="16"/>
            <w:shd w:val="clear" w:color="auto" w:fill="FFFFFF"/>
            <w:lang w:val="es-ES"/>
          </w:rPr>
          <w:t>http://www.corteidh.or.cr/docs/asuntos/trabajadores_23_02_16.pdf</w:t>
        </w:r>
      </w:hyperlink>
      <w:r w:rsidRPr="00143D29">
        <w:rPr>
          <w:rStyle w:val="Textoennegrita"/>
          <w:b w:val="0"/>
          <w:color w:val="000000"/>
          <w:sz w:val="16"/>
          <w:szCs w:val="16"/>
          <w:shd w:val="clear" w:color="auto" w:fill="FFFFFF"/>
          <w:lang w:val="es-ES"/>
        </w:rPr>
        <w:t xml:space="preserve"> .</w:t>
      </w:r>
    </w:p>
  </w:footnote>
  <w:footnote w:id="17">
    <w:p w14:paraId="73E33CF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La delegación del Tribunal que efectuó la diligencia </w:t>
      </w:r>
      <w:r w:rsidRPr="00143D29">
        <w:rPr>
          <w:i/>
          <w:lang w:val="es-ES"/>
        </w:rPr>
        <w:t>in situ</w:t>
      </w:r>
      <w:r w:rsidRPr="00143D29">
        <w:rPr>
          <w:lang w:val="es-ES"/>
        </w:rPr>
        <w:t xml:space="preserve"> estuvo integrada por los Jueces Eduardo Ferrer Mac-</w:t>
      </w:r>
      <w:proofErr w:type="spellStart"/>
      <w:r w:rsidRPr="00143D29">
        <w:rPr>
          <w:lang w:val="es-ES"/>
        </w:rPr>
        <w:t>Gregor</w:t>
      </w:r>
      <w:proofErr w:type="spellEnd"/>
      <w:r w:rsidRPr="00143D29">
        <w:rPr>
          <w:lang w:val="es-ES"/>
        </w:rPr>
        <w:t xml:space="preserve"> </w:t>
      </w:r>
      <w:proofErr w:type="spellStart"/>
      <w:r w:rsidRPr="00143D29">
        <w:rPr>
          <w:lang w:val="es-ES"/>
        </w:rPr>
        <w:t>Poisot</w:t>
      </w:r>
      <w:proofErr w:type="spellEnd"/>
      <w:r w:rsidRPr="00143D29">
        <w:rPr>
          <w:lang w:val="es-ES"/>
        </w:rPr>
        <w:t xml:space="preserve">, </w:t>
      </w:r>
      <w:proofErr w:type="gramStart"/>
      <w:r w:rsidRPr="00143D29">
        <w:rPr>
          <w:lang w:val="es-ES"/>
        </w:rPr>
        <w:t>Presidente</w:t>
      </w:r>
      <w:proofErr w:type="gramEnd"/>
      <w:r w:rsidRPr="00143D29">
        <w:rPr>
          <w:lang w:val="es-ES"/>
        </w:rPr>
        <w:t xml:space="preserve"> en ejercicio en el presente caso, Eugenio </w:t>
      </w:r>
      <w:proofErr w:type="spellStart"/>
      <w:r w:rsidRPr="00143D29">
        <w:rPr>
          <w:lang w:val="es-ES"/>
        </w:rPr>
        <w:t>Raul</w:t>
      </w:r>
      <w:proofErr w:type="spellEnd"/>
      <w:r w:rsidRPr="00143D29">
        <w:rPr>
          <w:lang w:val="es-ES"/>
        </w:rPr>
        <w:t xml:space="preserve"> Zaffaroni y Patricio Pazmiño Freire; Pablo Saavedra Alessandri, Secretario de la Corte, y Carlos E. </w:t>
      </w:r>
      <w:proofErr w:type="spellStart"/>
      <w:r w:rsidRPr="00143D29">
        <w:rPr>
          <w:lang w:val="es-ES"/>
        </w:rPr>
        <w:t>Gaio</w:t>
      </w:r>
      <w:proofErr w:type="spellEnd"/>
      <w:r w:rsidRPr="00143D29">
        <w:rPr>
          <w:lang w:val="es-ES"/>
        </w:rPr>
        <w:t xml:space="preserve">, Abogado de la Secretaría de la Corte. </w:t>
      </w:r>
    </w:p>
  </w:footnote>
  <w:footnote w:id="18">
    <w:p w14:paraId="6FA7644A" w14:textId="77777777" w:rsidR="00D4299B" w:rsidRPr="00143D29" w:rsidRDefault="00D4299B" w:rsidP="00D761C7">
      <w:pPr>
        <w:tabs>
          <w:tab w:val="clear" w:pos="4419"/>
          <w:tab w:val="clear" w:pos="8838"/>
          <w:tab w:val="right" w:pos="0"/>
        </w:tabs>
        <w:spacing w:after="20"/>
        <w:jc w:val="both"/>
        <w:rPr>
          <w:sz w:val="16"/>
          <w:szCs w:val="16"/>
          <w:lang w:val="es-ES"/>
        </w:rPr>
      </w:pPr>
      <w:r w:rsidRPr="00143D29">
        <w:rPr>
          <w:rStyle w:val="Refdenotaalpie"/>
          <w:sz w:val="16"/>
          <w:szCs w:val="16"/>
        </w:rPr>
        <w:footnoteRef/>
      </w:r>
      <w:r w:rsidRPr="00143D29">
        <w:rPr>
          <w:sz w:val="16"/>
          <w:szCs w:val="16"/>
          <w:lang w:val="es-ES"/>
        </w:rPr>
        <w:t xml:space="preserve"> </w:t>
      </w:r>
      <w:r w:rsidRPr="00143D29">
        <w:rPr>
          <w:i/>
          <w:sz w:val="16"/>
          <w:szCs w:val="16"/>
          <w:lang w:val="es-ES"/>
        </w:rPr>
        <w:t xml:space="preserve">Cfr. Caso Cepeda Vargas Vs. </w:t>
      </w:r>
      <w:r w:rsidRPr="00143D29">
        <w:rPr>
          <w:i/>
          <w:sz w:val="16"/>
          <w:szCs w:val="16"/>
        </w:rPr>
        <w:t>Colombia. Excepciones Preliminares, Fondo, Reparaciones y Costas.</w:t>
      </w:r>
      <w:r w:rsidRPr="00143D29">
        <w:rPr>
          <w:sz w:val="16"/>
          <w:szCs w:val="16"/>
        </w:rPr>
        <w:t xml:space="preserve"> Sentencia de 26 de mayo de 2010, Serie C No. 213, párr. 35, y </w:t>
      </w:r>
      <w:r w:rsidRPr="00143D29">
        <w:rPr>
          <w:rStyle w:val="Textoennegrita"/>
          <w:b w:val="0"/>
          <w:i/>
          <w:color w:val="000000"/>
          <w:sz w:val="16"/>
          <w:shd w:val="clear" w:color="auto" w:fill="FFFFFF"/>
          <w:lang w:val="es-ES"/>
        </w:rPr>
        <w:t>Caso Maldonado Ordoñez Vs. Guatemala. Excepción Preliminar, Fondo, Reparaciones y Costas</w:t>
      </w:r>
      <w:r w:rsidRPr="00143D29">
        <w:rPr>
          <w:rStyle w:val="Textoennegrita"/>
          <w:b w:val="0"/>
          <w:color w:val="000000"/>
          <w:sz w:val="16"/>
          <w:shd w:val="clear" w:color="auto" w:fill="FFFFFF"/>
          <w:lang w:val="es-ES"/>
        </w:rPr>
        <w:t xml:space="preserve">. </w:t>
      </w:r>
      <w:r w:rsidRPr="00143D29">
        <w:rPr>
          <w:rStyle w:val="Textoennegrita"/>
          <w:b w:val="0"/>
          <w:color w:val="000000"/>
          <w:sz w:val="16"/>
          <w:shd w:val="clear" w:color="auto" w:fill="FFFFFF"/>
        </w:rPr>
        <w:t>Sentencia de 3 de mayo de 2016. Serie C No. 311, párr. 20.</w:t>
      </w:r>
    </w:p>
  </w:footnote>
  <w:footnote w:id="19">
    <w:p w14:paraId="03BF5583" w14:textId="77777777" w:rsidR="00D4299B" w:rsidRPr="00143D29" w:rsidRDefault="00D4299B" w:rsidP="00D761C7">
      <w:pPr>
        <w:tabs>
          <w:tab w:val="clear" w:pos="4419"/>
          <w:tab w:val="clear" w:pos="8838"/>
          <w:tab w:val="right" w:pos="0"/>
        </w:tabs>
        <w:spacing w:after="20"/>
        <w:jc w:val="both"/>
        <w:rPr>
          <w:sz w:val="16"/>
          <w:szCs w:val="16"/>
          <w:lang w:val="es-ES"/>
        </w:rPr>
      </w:pPr>
      <w:r w:rsidRPr="00143D29">
        <w:rPr>
          <w:rStyle w:val="Refdenotaalpie"/>
          <w:sz w:val="16"/>
          <w:szCs w:val="16"/>
        </w:rPr>
        <w:footnoteRef/>
      </w:r>
      <w:r w:rsidRPr="00143D29">
        <w:rPr>
          <w:sz w:val="16"/>
          <w:szCs w:val="16"/>
          <w:lang w:val="es-GT"/>
        </w:rPr>
        <w:t xml:space="preserve"> </w:t>
      </w:r>
      <w:r w:rsidRPr="00143D29">
        <w:rPr>
          <w:i/>
          <w:sz w:val="16"/>
          <w:szCs w:val="16"/>
          <w:lang w:val="es-GT"/>
        </w:rPr>
        <w:t xml:space="preserve">Cfr. </w:t>
      </w:r>
      <w:r w:rsidRPr="00143D29">
        <w:rPr>
          <w:i/>
          <w:iCs/>
          <w:sz w:val="16"/>
          <w:szCs w:val="16"/>
          <w:lang w:val="es-GT" w:eastAsia="es-ES_tradnl"/>
        </w:rPr>
        <w:t>Caso Las Palmeras Vs. Colombia. Excepciones Preliminares.</w:t>
      </w:r>
      <w:r w:rsidRPr="00143D29">
        <w:rPr>
          <w:iCs/>
          <w:sz w:val="16"/>
          <w:szCs w:val="16"/>
          <w:lang w:val="es-GT" w:eastAsia="es-ES_tradnl"/>
        </w:rPr>
        <w:t xml:space="preserve"> </w:t>
      </w:r>
      <w:r w:rsidRPr="00143D29">
        <w:rPr>
          <w:sz w:val="16"/>
          <w:szCs w:val="16"/>
          <w:lang w:val="es-GT" w:eastAsia="es-ES_tradnl"/>
        </w:rPr>
        <w:t xml:space="preserve">Sentencia de 4 de febrero de 2000, Serie C No. 67, párr. 34, </w:t>
      </w:r>
      <w:r w:rsidRPr="00143D29">
        <w:rPr>
          <w:sz w:val="16"/>
          <w:szCs w:val="16"/>
          <w:lang w:val="es-ES"/>
        </w:rPr>
        <w:t xml:space="preserve">y </w:t>
      </w:r>
      <w:r w:rsidRPr="00143D29">
        <w:rPr>
          <w:rStyle w:val="Textoennegrita"/>
          <w:b w:val="0"/>
          <w:i/>
          <w:color w:val="000000"/>
          <w:sz w:val="16"/>
          <w:szCs w:val="16"/>
          <w:shd w:val="clear" w:color="auto" w:fill="FFFFFF"/>
          <w:lang w:val="es-ES"/>
        </w:rPr>
        <w:t xml:space="preserve">Caso </w:t>
      </w:r>
      <w:r w:rsidRPr="00143D29">
        <w:rPr>
          <w:rStyle w:val="Textoennegrita"/>
          <w:b w:val="0"/>
          <w:i/>
          <w:color w:val="000000"/>
          <w:sz w:val="16"/>
          <w:shd w:val="clear" w:color="auto" w:fill="FFFFFF"/>
          <w:lang w:val="es-ES"/>
        </w:rPr>
        <w:t>Maldonado Ordoñez</w:t>
      </w:r>
      <w:r w:rsidRPr="00143D29">
        <w:rPr>
          <w:rStyle w:val="Textoennegrita"/>
          <w:b w:val="0"/>
          <w:i/>
          <w:color w:val="000000"/>
          <w:sz w:val="16"/>
          <w:szCs w:val="16"/>
          <w:shd w:val="clear" w:color="auto" w:fill="FFFFFF"/>
          <w:lang w:val="es-ES"/>
        </w:rPr>
        <w:t xml:space="preserve">, </w:t>
      </w:r>
      <w:r w:rsidRPr="00143D29">
        <w:rPr>
          <w:rStyle w:val="Textoennegrita"/>
          <w:b w:val="0"/>
          <w:color w:val="000000"/>
          <w:sz w:val="16"/>
          <w:szCs w:val="16"/>
          <w:shd w:val="clear" w:color="auto" w:fill="FFFFFF"/>
          <w:lang w:val="es-ES"/>
        </w:rPr>
        <w:t>párr.</w:t>
      </w:r>
      <w:r w:rsidRPr="00143D29">
        <w:rPr>
          <w:rStyle w:val="Textoennegrita"/>
          <w:b w:val="0"/>
          <w:color w:val="000000"/>
          <w:sz w:val="16"/>
          <w:szCs w:val="16"/>
          <w:shd w:val="clear" w:color="auto" w:fill="FFFFFF"/>
        </w:rPr>
        <w:t xml:space="preserve"> 20.</w:t>
      </w:r>
    </w:p>
  </w:footnote>
  <w:footnote w:id="20">
    <w:p w14:paraId="5E4021FC" w14:textId="77777777" w:rsidR="00D4299B" w:rsidRPr="00143D29" w:rsidRDefault="00D4299B" w:rsidP="00D761C7">
      <w:pPr>
        <w:tabs>
          <w:tab w:val="clear" w:pos="4419"/>
          <w:tab w:val="clear" w:pos="8838"/>
          <w:tab w:val="right" w:pos="0"/>
        </w:tabs>
        <w:spacing w:after="20"/>
        <w:jc w:val="both"/>
        <w:rPr>
          <w:sz w:val="16"/>
          <w:szCs w:val="16"/>
          <w:lang w:val="es-ES"/>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rFonts w:eastAsia="Times New Roman" w:cs="Times New Roman"/>
          <w:i/>
          <w:sz w:val="16"/>
          <w:szCs w:val="16"/>
          <w:lang w:val="es-ES" w:eastAsia="es-ES"/>
        </w:rPr>
        <w:t>Ciertas atribuciones de la Comisión Interamericana de Derechos Humanos (arts. 41, 42, 44, 46, 47, 50 y 51 de la Convención Americana sobre Derechos Humanos),</w:t>
      </w:r>
      <w:r w:rsidRPr="00143D29">
        <w:rPr>
          <w:rFonts w:eastAsia="Times New Roman" w:cs="Times New Roman"/>
          <w:sz w:val="16"/>
          <w:szCs w:val="16"/>
          <w:lang w:val="es-ES" w:eastAsia="es-ES"/>
        </w:rPr>
        <w:t xml:space="preserve"> </w:t>
      </w:r>
      <w:r w:rsidRPr="00143D29">
        <w:rPr>
          <w:rFonts w:cs="Times New Roman"/>
          <w:noProof/>
          <w:sz w:val="16"/>
          <w:szCs w:val="16"/>
          <w:lang w:val="es-ES_tradnl"/>
        </w:rPr>
        <w:t>Opinión Consultiva OC-13/</w:t>
      </w:r>
      <w:proofErr w:type="gramStart"/>
      <w:r w:rsidRPr="00143D29">
        <w:rPr>
          <w:rFonts w:cs="Times New Roman"/>
          <w:noProof/>
          <w:sz w:val="16"/>
          <w:szCs w:val="16"/>
          <w:lang w:val="es-ES_tradnl"/>
        </w:rPr>
        <w:t xml:space="preserve">93, </w:t>
      </w:r>
      <w:r w:rsidRPr="00143D29">
        <w:rPr>
          <w:rFonts w:eastAsia="Times New Roman" w:cs="Times New Roman"/>
          <w:sz w:val="16"/>
          <w:szCs w:val="16"/>
          <w:lang w:val="es-ES" w:eastAsia="es-ES"/>
        </w:rPr>
        <w:t xml:space="preserve"> de</w:t>
      </w:r>
      <w:proofErr w:type="gramEnd"/>
      <w:r w:rsidRPr="00143D29">
        <w:rPr>
          <w:rFonts w:eastAsia="Times New Roman" w:cs="Times New Roman"/>
          <w:sz w:val="16"/>
          <w:szCs w:val="16"/>
          <w:lang w:val="es-ES" w:eastAsia="es-ES"/>
        </w:rPr>
        <w:t xml:space="preserve"> </w:t>
      </w:r>
      <w:r w:rsidRPr="00143D29">
        <w:rPr>
          <w:rFonts w:cs="Times New Roman"/>
          <w:noProof/>
          <w:sz w:val="16"/>
          <w:szCs w:val="16"/>
          <w:lang w:val="es-ES_tradnl"/>
        </w:rPr>
        <w:t xml:space="preserve">16 de julio de 1993, párr. </w:t>
      </w:r>
      <w:r w:rsidRPr="00143D29">
        <w:rPr>
          <w:rFonts w:eastAsia="Times New Roman" w:cs="Times New Roman"/>
          <w:sz w:val="16"/>
          <w:szCs w:val="16"/>
          <w:lang w:val="es-ES" w:eastAsia="es-ES"/>
        </w:rPr>
        <w:t>53.</w:t>
      </w:r>
      <w:r w:rsidRPr="00143D29">
        <w:rPr>
          <w:rFonts w:cs="Times New Roman"/>
          <w:noProof/>
          <w:sz w:val="16"/>
          <w:szCs w:val="16"/>
          <w:lang w:val="es-ES"/>
        </w:rPr>
        <w:t xml:space="preserve"> </w:t>
      </w:r>
    </w:p>
  </w:footnote>
  <w:footnote w:id="21">
    <w:p w14:paraId="5D649E8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eastAsia="Times New Roman" w:cs="Times New Roman"/>
          <w:i/>
          <w:lang w:val="es-ES" w:eastAsia="es-ES"/>
        </w:rPr>
        <w:t>Ciertas atribuciones de la Comisión Interamericana de Derechos Humanos</w:t>
      </w:r>
      <w:r w:rsidRPr="00143D29">
        <w:rPr>
          <w:noProof/>
          <w:lang w:val="es-ES"/>
        </w:rPr>
        <w:t>,</w:t>
      </w:r>
      <w:r w:rsidRPr="00143D29">
        <w:rPr>
          <w:lang w:val="es-ES"/>
        </w:rPr>
        <w:t xml:space="preserve"> párr. 48.</w:t>
      </w:r>
    </w:p>
  </w:footnote>
  <w:footnote w:id="22">
    <w:p w14:paraId="7821B285"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es-ES"/>
        </w:rPr>
        <w:t xml:space="preserve"> </w:t>
      </w:r>
      <w:r w:rsidRPr="00143D29">
        <w:rPr>
          <w:i/>
          <w:lang w:val="es-ES"/>
        </w:rPr>
        <w:t xml:space="preserve">Cfr. </w:t>
      </w:r>
      <w:r w:rsidRPr="00143D29">
        <w:rPr>
          <w:rFonts w:eastAsia="Times New Roman" w:cs="Times New Roman"/>
          <w:i/>
          <w:lang w:val="es-ES" w:eastAsia="es-ES"/>
        </w:rPr>
        <w:t>Ciertas atribuciones de la Comisión Interamericana de Derechos Humanos</w:t>
      </w:r>
      <w:r w:rsidRPr="00143D29">
        <w:rPr>
          <w:noProof/>
          <w:lang w:val="es-ES"/>
        </w:rPr>
        <w:t>,</w:t>
      </w:r>
      <w:r w:rsidRPr="00143D29">
        <w:rPr>
          <w:lang w:val="es-ES"/>
        </w:rPr>
        <w:t xml:space="preserve"> párr. </w:t>
      </w:r>
      <w:r w:rsidRPr="00143D29">
        <w:rPr>
          <w:lang w:val="pt-BR"/>
        </w:rPr>
        <w:t>50.</w:t>
      </w:r>
    </w:p>
  </w:footnote>
  <w:footnote w:id="23">
    <w:p w14:paraId="3FCA9B97"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1. Alfredo Rodrigues; 2. Antônio Bento da Silva; 3. Antônio Damas Filho; 4. Antônio Fernandes Costa; 5. Antônio Francisco da Silva; 6. Antônio Ivaldo Rodrigues da Silva; 7. Carlito Bastos Gonçalves; 8. Carlos Ferreira Lopes; 9. </w:t>
      </w:r>
      <w:proofErr w:type="spellStart"/>
      <w:r w:rsidRPr="00143D29">
        <w:rPr>
          <w:lang w:val="pt-BR"/>
        </w:rPr>
        <w:t>Erimar</w:t>
      </w:r>
      <w:proofErr w:type="spellEnd"/>
      <w:r w:rsidRPr="00143D29">
        <w:rPr>
          <w:lang w:val="pt-BR"/>
        </w:rPr>
        <w:t xml:space="preserve"> Lima da Silva; 10. Firmino da Silva; 11. Francisco Mariano da Silva; 12. Francisco das Chagas Bastos Sousa; 13. Francisco das Chagas Cardoso Carvalho; 14. Francisco das Chagas Diogo; 15. Francisco de Assis Felix; 16. Francisco de Assis Pereira da Silva; 17. Francisco de Sousa </w:t>
      </w:r>
      <w:proofErr w:type="spellStart"/>
      <w:r w:rsidRPr="00143D29">
        <w:rPr>
          <w:lang w:val="pt-BR"/>
        </w:rPr>
        <w:t>Brígido</w:t>
      </w:r>
      <w:proofErr w:type="spellEnd"/>
      <w:r w:rsidRPr="00143D29">
        <w:rPr>
          <w:lang w:val="pt-BR"/>
        </w:rPr>
        <w:t xml:space="preserve">; 18. Francisco Fabiano Leandro; 19. Francisco Ferreira da Silva; 20. Francisco Teodoro Diogo; 21. Gonçalo </w:t>
      </w:r>
      <w:proofErr w:type="spellStart"/>
      <w:r w:rsidRPr="00143D29">
        <w:rPr>
          <w:lang w:val="pt-BR"/>
        </w:rPr>
        <w:t>Constancio</w:t>
      </w:r>
      <w:proofErr w:type="spellEnd"/>
      <w:r w:rsidRPr="00143D29">
        <w:rPr>
          <w:lang w:val="pt-BR"/>
        </w:rPr>
        <w:t xml:space="preserve"> da Silva; 22. Gonçalo Firmino de Sousa; 23. José Cordeiro Ramos; 24. José Francisco Furtado de Sousa; 25. José Leandro da Silva; 26. Luiz </w:t>
      </w:r>
      <w:proofErr w:type="spellStart"/>
      <w:r w:rsidRPr="00143D29">
        <w:rPr>
          <w:lang w:val="pt-BR"/>
        </w:rPr>
        <w:t>Sicinato</w:t>
      </w:r>
      <w:proofErr w:type="spellEnd"/>
      <w:r w:rsidRPr="00143D29">
        <w:rPr>
          <w:lang w:val="pt-BR"/>
        </w:rPr>
        <w:t xml:space="preserve"> de Menezes; 27. Marcos Antônio Lima; 28. Pedro Fernandes da Silva; 29. Raimundo de Sousa Leandro; 30. Raimundo Nonato da Silva; 31. Roberto Alves Nascimento; 32. Rogerio Felix Silva, y 33. Vicentina Maria da Conceição.</w:t>
      </w:r>
    </w:p>
  </w:footnote>
  <w:footnote w:id="24">
    <w:p w14:paraId="5ABFD2AF"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1. Firmino da Silva (</w:t>
      </w:r>
      <w:proofErr w:type="spellStart"/>
      <w:r w:rsidRPr="00143D29">
        <w:rPr>
          <w:lang w:val="pt-BR"/>
        </w:rPr>
        <w:t>supuestamente</w:t>
      </w:r>
      <w:proofErr w:type="spellEnd"/>
      <w:r w:rsidRPr="00143D29">
        <w:rPr>
          <w:lang w:val="pt-BR"/>
        </w:rPr>
        <w:t xml:space="preserve"> </w:t>
      </w:r>
      <w:proofErr w:type="spellStart"/>
      <w:r w:rsidRPr="00143D29">
        <w:rPr>
          <w:lang w:val="pt-BR"/>
        </w:rPr>
        <w:t>fallecido</w:t>
      </w:r>
      <w:proofErr w:type="spellEnd"/>
      <w:r w:rsidRPr="00143D29">
        <w:rPr>
          <w:lang w:val="pt-BR"/>
        </w:rPr>
        <w:t xml:space="preserve"> y representado por </w:t>
      </w:r>
      <w:proofErr w:type="spellStart"/>
      <w:r w:rsidRPr="00143D29">
        <w:rPr>
          <w:lang w:val="pt-BR"/>
        </w:rPr>
        <w:t>su</w:t>
      </w:r>
      <w:proofErr w:type="spellEnd"/>
      <w:r w:rsidRPr="00143D29">
        <w:rPr>
          <w:lang w:val="pt-BR"/>
        </w:rPr>
        <w:t xml:space="preserve"> </w:t>
      </w:r>
      <w:proofErr w:type="spellStart"/>
      <w:r w:rsidRPr="00143D29">
        <w:rPr>
          <w:lang w:val="pt-BR"/>
        </w:rPr>
        <w:t>supuesta</w:t>
      </w:r>
      <w:proofErr w:type="spellEnd"/>
      <w:r w:rsidRPr="00143D29">
        <w:rPr>
          <w:lang w:val="pt-BR"/>
        </w:rPr>
        <w:t xml:space="preserve"> esposa Maria da Silva Santos); Gonçalo </w:t>
      </w:r>
      <w:proofErr w:type="spellStart"/>
      <w:r w:rsidRPr="00143D29">
        <w:rPr>
          <w:lang w:val="pt-BR"/>
        </w:rPr>
        <w:t>Constancio</w:t>
      </w:r>
      <w:proofErr w:type="spellEnd"/>
      <w:r w:rsidRPr="00143D29">
        <w:rPr>
          <w:lang w:val="pt-BR"/>
        </w:rPr>
        <w:t xml:space="preserve"> da Silva (</w:t>
      </w:r>
      <w:proofErr w:type="spellStart"/>
      <w:r w:rsidRPr="00143D29">
        <w:rPr>
          <w:lang w:val="pt-BR"/>
        </w:rPr>
        <w:t>supuestamente</w:t>
      </w:r>
      <w:proofErr w:type="spellEnd"/>
      <w:r w:rsidRPr="00143D29">
        <w:rPr>
          <w:lang w:val="pt-BR"/>
        </w:rPr>
        <w:t xml:space="preserve"> </w:t>
      </w:r>
      <w:proofErr w:type="spellStart"/>
      <w:r w:rsidRPr="00143D29">
        <w:rPr>
          <w:lang w:val="pt-BR"/>
        </w:rPr>
        <w:t>fallecido</w:t>
      </w:r>
      <w:proofErr w:type="spellEnd"/>
      <w:r w:rsidRPr="00143D29">
        <w:rPr>
          <w:lang w:val="pt-BR"/>
        </w:rPr>
        <w:t xml:space="preserve"> y representado por </w:t>
      </w:r>
      <w:proofErr w:type="spellStart"/>
      <w:r w:rsidRPr="00143D29">
        <w:rPr>
          <w:lang w:val="pt-BR"/>
        </w:rPr>
        <w:t>su</w:t>
      </w:r>
      <w:proofErr w:type="spellEnd"/>
      <w:r w:rsidRPr="00143D29">
        <w:rPr>
          <w:lang w:val="pt-BR"/>
        </w:rPr>
        <w:t xml:space="preserve"> </w:t>
      </w:r>
      <w:proofErr w:type="spellStart"/>
      <w:r w:rsidRPr="00143D29">
        <w:rPr>
          <w:lang w:val="pt-BR"/>
        </w:rPr>
        <w:t>supuesta</w:t>
      </w:r>
      <w:proofErr w:type="spellEnd"/>
      <w:r w:rsidRPr="00143D29">
        <w:rPr>
          <w:lang w:val="pt-BR"/>
        </w:rPr>
        <w:t xml:space="preserve"> esposa Lucilene Alves da Silva), y José Cordeiro Ramos (</w:t>
      </w:r>
      <w:proofErr w:type="spellStart"/>
      <w:r w:rsidRPr="00143D29">
        <w:rPr>
          <w:lang w:val="pt-BR"/>
        </w:rPr>
        <w:t>supuestamente</w:t>
      </w:r>
      <w:proofErr w:type="spellEnd"/>
      <w:r w:rsidRPr="00143D29">
        <w:rPr>
          <w:lang w:val="pt-BR"/>
        </w:rPr>
        <w:t xml:space="preserve"> </w:t>
      </w:r>
      <w:proofErr w:type="spellStart"/>
      <w:r w:rsidRPr="00143D29">
        <w:rPr>
          <w:lang w:val="pt-BR"/>
        </w:rPr>
        <w:t>fallecido</w:t>
      </w:r>
      <w:proofErr w:type="spellEnd"/>
      <w:r w:rsidRPr="00143D29">
        <w:rPr>
          <w:lang w:val="pt-BR"/>
        </w:rPr>
        <w:t xml:space="preserve"> y representado por </w:t>
      </w:r>
      <w:proofErr w:type="spellStart"/>
      <w:r w:rsidRPr="00143D29">
        <w:rPr>
          <w:lang w:val="pt-BR"/>
        </w:rPr>
        <w:t>su</w:t>
      </w:r>
      <w:proofErr w:type="spellEnd"/>
      <w:r w:rsidRPr="00143D29">
        <w:rPr>
          <w:lang w:val="pt-BR"/>
        </w:rPr>
        <w:t xml:space="preserve"> esposa Elizete Mendes Lima).</w:t>
      </w:r>
      <w:r w:rsidRPr="00143D29">
        <w:rPr>
          <w:b/>
          <w:lang w:val="pt-BR"/>
        </w:rPr>
        <w:t xml:space="preserve"> </w:t>
      </w:r>
    </w:p>
  </w:footnote>
  <w:footnote w:id="25">
    <w:p w14:paraId="0C0273D2"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1. Antônio Bento da Silva; 2. Antônio Francisco da Silva; 3. Carlos Ferreira Lopes; 4. Firmino da Silva; 5. Francisco das Chagas Bastos Souza; 6. Francisco das Chagas Cardoso Carvalho; 7. Francisco Fabiano Leandro; 8. Francisco Ferreira da Silva; 9. Francisco Mariano da Silva; 10. Gonçalo Firmino de Souza; 11. Raimundo Nonato da Silva, y 12. Vicentina Maria da Conceição.</w:t>
      </w:r>
    </w:p>
  </w:footnote>
  <w:footnote w:id="26">
    <w:p w14:paraId="5521F683"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es-ES"/>
        </w:rPr>
        <w:t xml:space="preserve"> Esas personas serían 1. Alfredo </w:t>
      </w:r>
      <w:proofErr w:type="spellStart"/>
      <w:r w:rsidRPr="00143D29">
        <w:rPr>
          <w:lang w:val="es-ES"/>
        </w:rPr>
        <w:t>Rodrigues</w:t>
      </w:r>
      <w:proofErr w:type="spellEnd"/>
      <w:r w:rsidRPr="00143D29">
        <w:rPr>
          <w:lang w:val="es-ES"/>
        </w:rPr>
        <w:t xml:space="preserve">; 2. </w:t>
      </w:r>
      <w:r w:rsidRPr="00143D29">
        <w:rPr>
          <w:lang w:val="pt-BR"/>
        </w:rPr>
        <w:t xml:space="preserve">Antônio Damas Filho; 3. Antônio Fernandes Costa; 4. Antônio Ivaldo Rodrigues da Silva; 5. Carlito Bastos Gonçalves; 6. </w:t>
      </w:r>
      <w:proofErr w:type="spellStart"/>
      <w:r w:rsidRPr="00143D29">
        <w:rPr>
          <w:lang w:val="pt-BR"/>
        </w:rPr>
        <w:t>Erimar</w:t>
      </w:r>
      <w:proofErr w:type="spellEnd"/>
      <w:r w:rsidRPr="00143D29">
        <w:rPr>
          <w:lang w:val="pt-BR"/>
        </w:rPr>
        <w:t xml:space="preserve"> Lima da Silva; 7. Francisco das Chagas Diogo; 8. Francisco de Assis Felix; 9. Francisco de Assis Pereira da Silva; 10. Francisco de Sousa </w:t>
      </w:r>
      <w:proofErr w:type="spellStart"/>
      <w:r w:rsidRPr="00143D29">
        <w:rPr>
          <w:lang w:val="pt-BR"/>
        </w:rPr>
        <w:t>Brígido</w:t>
      </w:r>
      <w:proofErr w:type="spellEnd"/>
      <w:r w:rsidRPr="00143D29">
        <w:rPr>
          <w:lang w:val="pt-BR"/>
        </w:rPr>
        <w:t xml:space="preserve">; 11. Francisco Teodoro Diogo; 12. José Leandro da Silva; 13. Luiz </w:t>
      </w:r>
      <w:proofErr w:type="spellStart"/>
      <w:r w:rsidRPr="00143D29">
        <w:rPr>
          <w:lang w:val="pt-BR"/>
        </w:rPr>
        <w:t>Sicinato</w:t>
      </w:r>
      <w:proofErr w:type="spellEnd"/>
      <w:r w:rsidRPr="00143D29">
        <w:rPr>
          <w:lang w:val="pt-BR"/>
        </w:rPr>
        <w:t xml:space="preserve"> de Menezes; 14. Marcos Antônio Lima; 15. Pedro Fernandes da Silva; 16. Raimundo de Sousa Leandro; 17. Roberto Alves Nascimento, y 18. Rogerio Felix Silva.</w:t>
      </w:r>
    </w:p>
  </w:footnote>
  <w:footnote w:id="27">
    <w:p w14:paraId="12FAD469" w14:textId="77777777" w:rsidR="00D4299B" w:rsidRPr="00143D29" w:rsidRDefault="00D4299B" w:rsidP="00D761C7">
      <w:pPr>
        <w:tabs>
          <w:tab w:val="clear" w:pos="4419"/>
          <w:tab w:val="clear" w:pos="8838"/>
          <w:tab w:val="right" w:pos="0"/>
        </w:tabs>
        <w:autoSpaceDE w:val="0"/>
        <w:autoSpaceDN w:val="0"/>
        <w:adjustRightInd w:val="0"/>
        <w:spacing w:after="20"/>
        <w:jc w:val="both"/>
        <w:rPr>
          <w:sz w:val="16"/>
          <w:szCs w:val="16"/>
        </w:rPr>
      </w:pPr>
      <w:r w:rsidRPr="00143D29">
        <w:rPr>
          <w:rStyle w:val="Refdenotaalpie"/>
          <w:sz w:val="16"/>
          <w:szCs w:val="16"/>
        </w:rPr>
        <w:footnoteRef/>
      </w:r>
      <w:r w:rsidRPr="00143D29">
        <w:rPr>
          <w:sz w:val="16"/>
          <w:szCs w:val="16"/>
          <w:lang w:val="es-ES"/>
        </w:rPr>
        <w:t xml:space="preserve"> </w:t>
      </w:r>
      <w:r w:rsidRPr="00143D29">
        <w:rPr>
          <w:i/>
          <w:sz w:val="16"/>
          <w:szCs w:val="16"/>
          <w:lang w:val="es-ES"/>
        </w:rPr>
        <w:t xml:space="preserve">Cfr. </w:t>
      </w:r>
      <w:r w:rsidRPr="00143D29">
        <w:rPr>
          <w:rStyle w:val="Textoennegrita"/>
          <w:b w:val="0"/>
          <w:i/>
          <w:color w:val="000000"/>
          <w:sz w:val="16"/>
          <w:shd w:val="clear" w:color="auto" w:fill="FFFFFF"/>
          <w:lang w:val="es-ES"/>
        </w:rPr>
        <w:t>Caso Masacre Plan de Sánchez Vs. Guatemala. Fondo</w:t>
      </w:r>
      <w:r w:rsidRPr="00143D29">
        <w:rPr>
          <w:rStyle w:val="Textoennegrita"/>
          <w:b w:val="0"/>
          <w:color w:val="000000"/>
          <w:sz w:val="16"/>
          <w:shd w:val="clear" w:color="auto" w:fill="FFFFFF"/>
          <w:lang w:val="es-ES"/>
        </w:rPr>
        <w:t xml:space="preserve">. Sentencia de 29 de abril de 2004. Serie C No. 105, párr. 48, y </w:t>
      </w:r>
      <w:r w:rsidRPr="00143D29">
        <w:rPr>
          <w:i/>
          <w:sz w:val="16"/>
          <w:szCs w:val="16"/>
          <w:lang w:val="es-ES"/>
        </w:rPr>
        <w:t xml:space="preserve">Caso de las Masacres de Ituango Vs. Colombia. </w:t>
      </w:r>
      <w:r w:rsidRPr="00143D29">
        <w:rPr>
          <w:sz w:val="16"/>
          <w:szCs w:val="16"/>
          <w:lang w:val="es-ES"/>
        </w:rPr>
        <w:t xml:space="preserve">Sentencia </w:t>
      </w:r>
      <w:r w:rsidRPr="00143D29">
        <w:rPr>
          <w:sz w:val="16"/>
          <w:szCs w:val="16"/>
        </w:rPr>
        <w:t>de 1 de julio de 2006, Serie C No. 148, párr. 91</w:t>
      </w:r>
      <w:r w:rsidRPr="00143D29">
        <w:rPr>
          <w:rFonts w:cs="Verdana"/>
          <w:sz w:val="16"/>
          <w:szCs w:val="16"/>
        </w:rPr>
        <w:t>.</w:t>
      </w:r>
    </w:p>
  </w:footnote>
  <w:footnote w:id="28">
    <w:p w14:paraId="3BB38B4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Cfr. Caso Masacres de El Mozote y lugares aledaños Vs. El Salvador. Fondo, Reparaciones y Costas</w:t>
      </w:r>
      <w:r w:rsidRPr="00143D29">
        <w:rPr>
          <w:lang w:val="es-ES"/>
        </w:rPr>
        <w:t xml:space="preserve">. Sentencia de 25 de octubre de 2012, Serie C No. 252, párr. 51. </w:t>
      </w:r>
    </w:p>
  </w:footnote>
  <w:footnote w:id="29">
    <w:p w14:paraId="71F3C39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rStyle w:val="Textoennegrita"/>
          <w:b w:val="0"/>
          <w:i/>
          <w:color w:val="000000"/>
          <w:shd w:val="clear" w:color="auto" w:fill="FFFFFF"/>
          <w:lang w:val="es-ES"/>
        </w:rPr>
        <w:t>Caso Masacres de Río Negro Vs. Guatemala. Excepción Preliminar, Fondo, Reparaciones y Costas</w:t>
      </w:r>
      <w:r w:rsidRPr="00143D29">
        <w:rPr>
          <w:rStyle w:val="Textoennegrita"/>
          <w:b w:val="0"/>
          <w:color w:val="000000"/>
          <w:shd w:val="clear" w:color="auto" w:fill="FFFFFF"/>
          <w:lang w:val="es-ES"/>
        </w:rPr>
        <w:t xml:space="preserve">. Sentencia de 4 de septiembre de 2012. Serie C No. 250, párr. 48, y </w:t>
      </w:r>
      <w:r w:rsidRPr="00143D29">
        <w:rPr>
          <w:rStyle w:val="Textoennegrita"/>
          <w:b w:val="0"/>
          <w:i/>
          <w:color w:val="000000"/>
          <w:shd w:val="clear" w:color="auto" w:fill="FFFFFF"/>
          <w:lang w:val="es-ES"/>
        </w:rPr>
        <w:t>Caso Masacres de El Mozote y lugares aledaños</w:t>
      </w:r>
      <w:r w:rsidRPr="00143D29">
        <w:rPr>
          <w:rStyle w:val="Textoennegrita"/>
          <w:b w:val="0"/>
          <w:color w:val="000000"/>
          <w:shd w:val="clear" w:color="auto" w:fill="FFFFFF"/>
          <w:lang w:val="es-ES"/>
        </w:rPr>
        <w:t>, párr. 50.</w:t>
      </w:r>
    </w:p>
  </w:footnote>
  <w:footnote w:id="30">
    <w:p w14:paraId="2FA26D2A"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Cabe destacar que la Corte ha aplicado el artículo 35.2 de su Reglamento en los siguientes casos: </w:t>
      </w:r>
      <w:r w:rsidRPr="00143D29">
        <w:rPr>
          <w:i/>
          <w:lang w:val="es-PR"/>
        </w:rPr>
        <w:t>Caso Masacres de Río Negro Vs. Guatemala</w:t>
      </w:r>
      <w:r w:rsidRPr="00143D29">
        <w:rPr>
          <w:lang w:val="es-PR"/>
        </w:rPr>
        <w:t xml:space="preserve">; </w:t>
      </w:r>
      <w:r w:rsidRPr="00143D29">
        <w:rPr>
          <w:i/>
          <w:lang w:val="es-PR"/>
        </w:rPr>
        <w:t xml:space="preserve">Caso </w:t>
      </w:r>
      <w:proofErr w:type="spellStart"/>
      <w:r w:rsidRPr="00143D29">
        <w:rPr>
          <w:i/>
          <w:lang w:val="es-PR"/>
        </w:rPr>
        <w:t>Nadege</w:t>
      </w:r>
      <w:proofErr w:type="spellEnd"/>
      <w:r w:rsidRPr="00143D29">
        <w:rPr>
          <w:i/>
          <w:lang w:val="es-PR"/>
        </w:rPr>
        <w:t xml:space="preserve"> </w:t>
      </w:r>
      <w:proofErr w:type="spellStart"/>
      <w:r w:rsidRPr="00143D29">
        <w:rPr>
          <w:i/>
          <w:lang w:val="es-PR"/>
        </w:rPr>
        <w:t>Dorzema</w:t>
      </w:r>
      <w:proofErr w:type="spellEnd"/>
      <w:r w:rsidRPr="00143D29">
        <w:rPr>
          <w:i/>
          <w:lang w:val="es-PR"/>
        </w:rPr>
        <w:t xml:space="preserve"> y otros Vs. República Dominicana. Fondo Reparaciones y Costas.</w:t>
      </w:r>
      <w:r w:rsidRPr="00143D29">
        <w:rPr>
          <w:lang w:val="es-PR"/>
        </w:rPr>
        <w:t xml:space="preserve"> Sentencia de 24 de octubre de 2012. Serie C No. 251; </w:t>
      </w:r>
      <w:r w:rsidRPr="00143D29">
        <w:rPr>
          <w:i/>
          <w:lang w:val="es-PR"/>
        </w:rPr>
        <w:t>Caso Masacres de El Mozote y lugares aledaños Vs. El Salvador;</w:t>
      </w:r>
      <w:r w:rsidRPr="00143D29">
        <w:rPr>
          <w:lang w:val="es-PR"/>
        </w:rPr>
        <w:t xml:space="preserve"> </w:t>
      </w:r>
      <w:r w:rsidRPr="00143D29">
        <w:rPr>
          <w:i/>
          <w:lang w:val="es-PR"/>
        </w:rPr>
        <w:t>Caso de las Comunidades Afrodescendientes Desplazadas de la Cuenca del Río Cacarica (Operación Génesis) Vs. Colombia. Excepciones Preliminares, Fondo, Reparaciones y Costas.</w:t>
      </w:r>
      <w:r w:rsidRPr="00143D29">
        <w:rPr>
          <w:lang w:val="es-PR"/>
        </w:rPr>
        <w:t xml:space="preserve"> Sentencia de 20 de noviembre de 2013. Serie C No. 270, y </w:t>
      </w:r>
      <w:r w:rsidRPr="00143D29">
        <w:rPr>
          <w:rStyle w:val="Textoennegrita"/>
          <w:b w:val="0"/>
          <w:i/>
          <w:color w:val="000000"/>
          <w:shd w:val="clear" w:color="auto" w:fill="FFFFFF"/>
          <w:lang w:val="es-ES"/>
        </w:rPr>
        <w:t>Caso Comunidad Campesina de Santa Bárbara Vs. Perú. Excepciones Preliminares, Fondo, Reparaciones y Costas</w:t>
      </w:r>
      <w:r w:rsidRPr="00143D29">
        <w:rPr>
          <w:rStyle w:val="Textoennegrita"/>
          <w:b w:val="0"/>
          <w:color w:val="000000"/>
          <w:shd w:val="clear" w:color="auto" w:fill="FFFFFF"/>
          <w:lang w:val="es-ES"/>
        </w:rPr>
        <w:t>. Sentencia de 1 de septiembre de 2015. Serie C No. 299</w:t>
      </w:r>
      <w:r w:rsidRPr="00143D29">
        <w:rPr>
          <w:lang w:val="es-PR"/>
        </w:rPr>
        <w:t xml:space="preserve">. Asimismo, ha rechazado su aplicación en los siguientes casos: </w:t>
      </w:r>
      <w:r w:rsidRPr="00143D29">
        <w:rPr>
          <w:i/>
          <w:lang w:val="es-PR"/>
        </w:rPr>
        <w:t xml:space="preserve">Caso </w:t>
      </w:r>
      <w:proofErr w:type="spellStart"/>
      <w:r w:rsidRPr="00143D29">
        <w:rPr>
          <w:i/>
          <w:lang w:val="es-PR"/>
        </w:rPr>
        <w:t>Barbani</w:t>
      </w:r>
      <w:proofErr w:type="spellEnd"/>
      <w:r w:rsidRPr="00143D29">
        <w:rPr>
          <w:i/>
          <w:lang w:val="es-PR"/>
        </w:rPr>
        <w:t xml:space="preserve"> Duarte y Otros Vs. Uruguay. Fondo, Reparaciones y Costas.</w:t>
      </w:r>
      <w:r w:rsidRPr="00143D29">
        <w:rPr>
          <w:lang w:val="es-PR"/>
        </w:rPr>
        <w:t xml:space="preserve"> Sentencia de 13 de octubre de 2011. Serie C No. 234; </w:t>
      </w:r>
      <w:r w:rsidRPr="00143D29">
        <w:rPr>
          <w:i/>
          <w:lang w:val="es-PR"/>
        </w:rPr>
        <w:t>Caso Defensor de Derechos Humanos y otros Vs. Guatemala. Excepciones Preliminares, Fondo, Reparaciones y Costas.</w:t>
      </w:r>
      <w:r w:rsidRPr="00143D29">
        <w:rPr>
          <w:lang w:val="es-PR"/>
        </w:rPr>
        <w:t xml:space="preserve"> Sentencia de 28 de agosto de 2014. Serie C No. 283; </w:t>
      </w:r>
      <w:r w:rsidRPr="00143D29">
        <w:rPr>
          <w:i/>
          <w:lang w:val="es-PR"/>
        </w:rPr>
        <w:t>Caso García y Familiares Vs. Guatemala. Fondo Reparaciones y Costas.</w:t>
      </w:r>
      <w:r w:rsidRPr="00143D29">
        <w:rPr>
          <w:lang w:val="es-PR"/>
        </w:rPr>
        <w:t xml:space="preserve"> Sentencia de 29 noviembre de 2012. Serie C No. 258; </w:t>
      </w:r>
      <w:r w:rsidRPr="00143D29">
        <w:rPr>
          <w:i/>
          <w:lang w:val="es-PR"/>
        </w:rPr>
        <w:t>Caso Suárez Peralta Vs. Ecuador. Excepciones Preliminares, Fondo, Reparaciones y Costas.</w:t>
      </w:r>
      <w:r w:rsidRPr="00143D29">
        <w:rPr>
          <w:lang w:val="es-PR"/>
        </w:rPr>
        <w:t xml:space="preserve"> Sentencia de 21 de mayo de 2013. Serie C No. 261; </w:t>
      </w:r>
      <w:r w:rsidRPr="00143D29">
        <w:rPr>
          <w:i/>
          <w:lang w:val="es-PR"/>
        </w:rPr>
        <w:t>Caso J. Vs. Perú. Excepción Preliminar, Fondo, Reparaciones y Costas</w:t>
      </w:r>
      <w:r w:rsidRPr="00143D29">
        <w:rPr>
          <w:lang w:val="es-PR"/>
        </w:rPr>
        <w:t xml:space="preserve">. Sentencia de 27 de noviembre de 2013. Serie C No. 275; </w:t>
      </w:r>
      <w:r w:rsidRPr="00143D29">
        <w:rPr>
          <w:i/>
          <w:lang w:val="es-PR"/>
        </w:rPr>
        <w:t xml:space="preserve">Caso </w:t>
      </w:r>
      <w:proofErr w:type="spellStart"/>
      <w:r w:rsidRPr="00143D29">
        <w:rPr>
          <w:i/>
          <w:lang w:val="es-PR"/>
        </w:rPr>
        <w:t>Rochac</w:t>
      </w:r>
      <w:proofErr w:type="spellEnd"/>
      <w:r w:rsidRPr="00143D29">
        <w:rPr>
          <w:i/>
          <w:lang w:val="es-PR"/>
        </w:rPr>
        <w:t xml:space="preserve"> Hernández y otros Vs. El Salvador. Fondo, Reparaciones y Costas.</w:t>
      </w:r>
      <w:r w:rsidRPr="00143D29">
        <w:rPr>
          <w:lang w:val="es-PR"/>
        </w:rPr>
        <w:t xml:space="preserve"> Sentencia de 14 de octubre de 2014. Serie C No. 285, y </w:t>
      </w:r>
      <w:r w:rsidRPr="00143D29">
        <w:rPr>
          <w:i/>
          <w:lang w:val="es-PR"/>
        </w:rPr>
        <w:t>Caso Argüelles y otros Vs. Argentina. Excepciones Preliminares, Fondo, Reparaciones y Costas</w:t>
      </w:r>
      <w:r w:rsidRPr="00143D29">
        <w:rPr>
          <w:lang w:val="es-PR"/>
        </w:rPr>
        <w:t>. Sentencia de 20 de noviembre de 2014. Serie C No. 288.</w:t>
      </w:r>
    </w:p>
  </w:footnote>
  <w:footnote w:id="31">
    <w:p w14:paraId="0542B5DC"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Río Negro, </w:t>
      </w:r>
      <w:r w:rsidRPr="00143D29">
        <w:rPr>
          <w:lang w:val="es-PR"/>
        </w:rPr>
        <w:t xml:space="preserve">párr. 48, y </w:t>
      </w:r>
      <w:r w:rsidRPr="00143D29">
        <w:rPr>
          <w:i/>
          <w:lang w:val="es-PR"/>
        </w:rPr>
        <w:t xml:space="preserve">Caso de las Comunidades Afrodescendientes Desplazadas de la Cuenca del Río Cacarica (Operación Génesis), </w:t>
      </w:r>
      <w:r w:rsidRPr="00143D29">
        <w:rPr>
          <w:lang w:val="es-PR"/>
        </w:rPr>
        <w:t>párr. 41.</w:t>
      </w:r>
    </w:p>
  </w:footnote>
  <w:footnote w:id="32">
    <w:p w14:paraId="6B4764FA"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w:t>
      </w:r>
      <w:proofErr w:type="spellStart"/>
      <w:r w:rsidRPr="00143D29">
        <w:rPr>
          <w:i/>
          <w:lang w:val="es-PR"/>
        </w:rPr>
        <w:t>Nadege</w:t>
      </w:r>
      <w:proofErr w:type="spellEnd"/>
      <w:r w:rsidRPr="00143D29">
        <w:rPr>
          <w:i/>
          <w:lang w:val="es-PR"/>
        </w:rPr>
        <w:t xml:space="preserve"> </w:t>
      </w:r>
      <w:proofErr w:type="spellStart"/>
      <w:r w:rsidRPr="00143D29">
        <w:rPr>
          <w:i/>
          <w:lang w:val="es-PR"/>
        </w:rPr>
        <w:t>Dorzema</w:t>
      </w:r>
      <w:proofErr w:type="spellEnd"/>
      <w:r w:rsidRPr="00143D29">
        <w:rPr>
          <w:i/>
          <w:lang w:val="es-PR"/>
        </w:rPr>
        <w:t xml:space="preserve"> y otros, </w:t>
      </w:r>
      <w:r w:rsidRPr="00143D29">
        <w:rPr>
          <w:lang w:val="es-PR"/>
        </w:rPr>
        <w:t xml:space="preserve">párr. 30, y </w:t>
      </w:r>
      <w:r w:rsidRPr="00143D29">
        <w:rPr>
          <w:i/>
          <w:lang w:val="es-PR"/>
        </w:rPr>
        <w:t xml:space="preserve">Caso de las Comunidades Afrodescendientes Desplazadas de la Cuenca del Río Cacarica (Operación Génesis), </w:t>
      </w:r>
      <w:r w:rsidRPr="00143D29">
        <w:rPr>
          <w:lang w:val="es-PR"/>
        </w:rPr>
        <w:t>párr. 41.</w:t>
      </w:r>
    </w:p>
  </w:footnote>
  <w:footnote w:id="33">
    <w:p w14:paraId="2CF9C388"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El Mozote y lugares aledaños, </w:t>
      </w:r>
      <w:r w:rsidRPr="00143D29">
        <w:rPr>
          <w:lang w:val="es-PR"/>
        </w:rPr>
        <w:t xml:space="preserve">párr. 30. </w:t>
      </w:r>
    </w:p>
  </w:footnote>
  <w:footnote w:id="34">
    <w:p w14:paraId="04CF03DD"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Río Negro, </w:t>
      </w:r>
      <w:r w:rsidRPr="00143D29">
        <w:rPr>
          <w:lang w:val="es-PR"/>
        </w:rPr>
        <w:t xml:space="preserve">párr. 48. </w:t>
      </w:r>
    </w:p>
  </w:footnote>
  <w:footnote w:id="35">
    <w:p w14:paraId="14D3E564"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de las Comunidades Afrodescendientes Desplazadas de la Cuenca del Río Cacarica (Operación Génesis), </w:t>
      </w:r>
      <w:r w:rsidRPr="00143D29">
        <w:rPr>
          <w:lang w:val="es-PR"/>
        </w:rPr>
        <w:t>párr. 41.</w:t>
      </w:r>
    </w:p>
  </w:footnote>
  <w:footnote w:id="36">
    <w:p w14:paraId="2013F855"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El Mozote y lugares aledaños, </w:t>
      </w:r>
      <w:r w:rsidRPr="00143D29">
        <w:rPr>
          <w:lang w:val="es-PR"/>
        </w:rPr>
        <w:t xml:space="preserve">párr. 30, y </w:t>
      </w:r>
      <w:r w:rsidRPr="00143D29">
        <w:rPr>
          <w:i/>
          <w:lang w:val="es-PR"/>
        </w:rPr>
        <w:t xml:space="preserve">Caso Masacres de Río Negro, </w:t>
      </w:r>
      <w:r w:rsidRPr="00143D29">
        <w:rPr>
          <w:lang w:val="es-PR"/>
        </w:rPr>
        <w:t>párr. 48.</w:t>
      </w:r>
    </w:p>
  </w:footnote>
  <w:footnote w:id="37">
    <w:p w14:paraId="392AA7E6"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Río Negro, </w:t>
      </w:r>
      <w:r w:rsidRPr="00143D29">
        <w:rPr>
          <w:lang w:val="es-PR"/>
        </w:rPr>
        <w:t xml:space="preserve">párr. 51, y </w:t>
      </w:r>
      <w:r w:rsidRPr="00143D29">
        <w:rPr>
          <w:i/>
          <w:lang w:val="es-PR"/>
        </w:rPr>
        <w:t xml:space="preserve">Caso de las Comunidades Afrodescendientes Desplazadas de la Cuenca del Río Cacarica (Operación Génesis), </w:t>
      </w:r>
      <w:r w:rsidRPr="00143D29">
        <w:rPr>
          <w:lang w:val="es-PR"/>
        </w:rPr>
        <w:t>párr. 41.</w:t>
      </w:r>
    </w:p>
  </w:footnote>
  <w:footnote w:id="38">
    <w:p w14:paraId="34780649"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Río Negro, </w:t>
      </w:r>
      <w:r w:rsidRPr="00143D29">
        <w:rPr>
          <w:lang w:val="es-PR"/>
        </w:rPr>
        <w:t>párr. 48.</w:t>
      </w:r>
    </w:p>
  </w:footnote>
  <w:footnote w:id="39">
    <w:p w14:paraId="7B95EF4A"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w:t>
      </w:r>
      <w:proofErr w:type="spellStart"/>
      <w:r w:rsidRPr="00143D29">
        <w:rPr>
          <w:i/>
          <w:lang w:val="es-PR"/>
        </w:rPr>
        <w:t>Nadege</w:t>
      </w:r>
      <w:proofErr w:type="spellEnd"/>
      <w:r w:rsidRPr="00143D29">
        <w:rPr>
          <w:i/>
          <w:lang w:val="es-PR"/>
        </w:rPr>
        <w:t xml:space="preserve"> </w:t>
      </w:r>
      <w:proofErr w:type="spellStart"/>
      <w:r w:rsidRPr="00143D29">
        <w:rPr>
          <w:i/>
          <w:lang w:val="es-PR"/>
        </w:rPr>
        <w:t>Dorzema</w:t>
      </w:r>
      <w:proofErr w:type="spellEnd"/>
      <w:r w:rsidRPr="00143D29">
        <w:rPr>
          <w:i/>
          <w:lang w:val="es-PR"/>
        </w:rPr>
        <w:t xml:space="preserve"> y otros, </w:t>
      </w:r>
      <w:r w:rsidRPr="00143D29">
        <w:rPr>
          <w:lang w:val="es-PR"/>
        </w:rPr>
        <w:t>párr. 30.</w:t>
      </w:r>
    </w:p>
  </w:footnote>
  <w:footnote w:id="40">
    <w:p w14:paraId="4209E2BE" w14:textId="77777777" w:rsidR="00D4299B" w:rsidRPr="00143D29" w:rsidRDefault="00D4299B" w:rsidP="00D761C7">
      <w:pPr>
        <w:pStyle w:val="Textonotapie"/>
        <w:tabs>
          <w:tab w:val="left" w:pos="567"/>
        </w:tabs>
        <w:spacing w:after="20"/>
        <w:rPr>
          <w:lang w:val="es-PR"/>
        </w:rPr>
      </w:pPr>
      <w:r w:rsidRPr="00143D29">
        <w:rPr>
          <w:rStyle w:val="Refdenotaalpie"/>
          <w:szCs w:val="16"/>
          <w:lang w:val="es-PR"/>
        </w:rPr>
        <w:footnoteRef/>
      </w:r>
      <w:r w:rsidRPr="00143D29">
        <w:rPr>
          <w:lang w:val="es-PR"/>
        </w:rPr>
        <w:t xml:space="preserve"> </w:t>
      </w:r>
      <w:r w:rsidRPr="00143D29">
        <w:rPr>
          <w:i/>
          <w:lang w:val="es-PR"/>
        </w:rPr>
        <w:t xml:space="preserve">Cfr. Caso Masacres de Río Negro, </w:t>
      </w:r>
      <w:r w:rsidRPr="00143D29">
        <w:rPr>
          <w:lang w:val="es-PR"/>
        </w:rPr>
        <w:t xml:space="preserve">párr. 48, y </w:t>
      </w:r>
      <w:r w:rsidRPr="00143D29">
        <w:rPr>
          <w:i/>
          <w:lang w:val="es-PR"/>
        </w:rPr>
        <w:t xml:space="preserve">Caso Masacres de El Mozote y lugares aledaños, </w:t>
      </w:r>
      <w:r w:rsidRPr="00143D29">
        <w:rPr>
          <w:lang w:val="es-PR"/>
        </w:rPr>
        <w:t>párr. 50.</w:t>
      </w:r>
    </w:p>
  </w:footnote>
  <w:footnote w:id="41">
    <w:p w14:paraId="104C6C6B" w14:textId="77777777" w:rsidR="00D4299B" w:rsidRPr="00143D29" w:rsidRDefault="00D4299B" w:rsidP="00D761C7">
      <w:pPr>
        <w:tabs>
          <w:tab w:val="clear" w:pos="4419"/>
          <w:tab w:val="clear" w:pos="8838"/>
          <w:tab w:val="right" w:pos="0"/>
        </w:tabs>
        <w:spacing w:after="20"/>
        <w:jc w:val="both"/>
        <w:rPr>
          <w:sz w:val="16"/>
          <w:szCs w:val="16"/>
        </w:rPr>
      </w:pPr>
      <w:r w:rsidRPr="00143D29">
        <w:rPr>
          <w:sz w:val="16"/>
          <w:szCs w:val="16"/>
          <w:vertAlign w:val="superscript"/>
        </w:rPr>
        <w:footnoteRef/>
      </w:r>
      <w:r w:rsidRPr="00143D29">
        <w:rPr>
          <w:sz w:val="16"/>
          <w:szCs w:val="16"/>
          <w:vertAlign w:val="superscript"/>
        </w:rPr>
        <w:t xml:space="preserve"> </w:t>
      </w:r>
      <w:r w:rsidRPr="00143D29">
        <w:rPr>
          <w:i/>
          <w:sz w:val="16"/>
          <w:szCs w:val="16"/>
        </w:rPr>
        <w:t xml:space="preserve">Cfr. Caso Ticona Estrada y otros Vs. Bolivia. Fondo, Reparaciones y Costas. </w:t>
      </w:r>
      <w:r w:rsidRPr="00143D29">
        <w:rPr>
          <w:sz w:val="16"/>
          <w:szCs w:val="16"/>
        </w:rPr>
        <w:t>Sentencia de 27 de noviembre de 2008. Serie C No. 191, párr. 110, y</w:t>
      </w:r>
      <w:r w:rsidRPr="00143D29">
        <w:rPr>
          <w:i/>
          <w:sz w:val="16"/>
          <w:szCs w:val="16"/>
        </w:rPr>
        <w:t xml:space="preserve"> </w:t>
      </w:r>
      <w:r w:rsidRPr="00143D29">
        <w:rPr>
          <w:bCs/>
          <w:i/>
          <w:sz w:val="16"/>
          <w:szCs w:val="16"/>
        </w:rPr>
        <w:t xml:space="preserve">Caso López </w:t>
      </w:r>
      <w:proofErr w:type="spellStart"/>
      <w:r w:rsidRPr="00143D29">
        <w:rPr>
          <w:bCs/>
          <w:i/>
          <w:sz w:val="16"/>
          <w:szCs w:val="16"/>
        </w:rPr>
        <w:t>Lone</w:t>
      </w:r>
      <w:proofErr w:type="spellEnd"/>
      <w:r w:rsidRPr="00143D29">
        <w:rPr>
          <w:bCs/>
          <w:i/>
          <w:sz w:val="16"/>
          <w:szCs w:val="16"/>
        </w:rPr>
        <w:t xml:space="preserve"> y otros Vs. Honduras. </w:t>
      </w:r>
      <w:r w:rsidRPr="00143D29">
        <w:rPr>
          <w:rStyle w:val="Textoennegrita"/>
          <w:b w:val="0"/>
          <w:i/>
          <w:color w:val="000000"/>
          <w:sz w:val="16"/>
          <w:shd w:val="clear" w:color="auto" w:fill="FFFFFF"/>
          <w:lang w:val="es-ES"/>
        </w:rPr>
        <w:t>Excepción Preliminar, Fondo, Reparaciones y Costas</w:t>
      </w:r>
      <w:r w:rsidRPr="00143D29">
        <w:rPr>
          <w:rStyle w:val="Textoennegrita"/>
          <w:b w:val="0"/>
          <w:color w:val="000000"/>
          <w:sz w:val="16"/>
          <w:shd w:val="clear" w:color="auto" w:fill="FFFFFF"/>
          <w:lang w:val="es-ES"/>
        </w:rPr>
        <w:t>. Sentencia de 05 de octubre de 2015. Serie C No. 302</w:t>
      </w:r>
      <w:r w:rsidRPr="00143D29">
        <w:rPr>
          <w:i/>
          <w:sz w:val="16"/>
          <w:szCs w:val="16"/>
        </w:rPr>
        <w:t xml:space="preserve">, </w:t>
      </w:r>
      <w:r w:rsidRPr="00143D29">
        <w:rPr>
          <w:sz w:val="16"/>
          <w:szCs w:val="16"/>
        </w:rPr>
        <w:t>párr. 288.</w:t>
      </w:r>
    </w:p>
  </w:footnote>
  <w:footnote w:id="42">
    <w:p w14:paraId="5EE7ECB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Style w:val="Textoennegrita"/>
          <w:b w:val="0"/>
          <w:i/>
          <w:color w:val="000000"/>
          <w:shd w:val="clear" w:color="auto" w:fill="FFFFFF"/>
          <w:lang w:val="es-ES"/>
        </w:rPr>
        <w:t>Caso Velásquez Rodríguez Vs. Honduras. Excepciones Preliminares</w:t>
      </w:r>
      <w:r w:rsidRPr="00143D29">
        <w:rPr>
          <w:rStyle w:val="Textoennegrita"/>
          <w:b w:val="0"/>
          <w:color w:val="000000"/>
          <w:shd w:val="clear" w:color="auto" w:fill="FFFFFF"/>
          <w:lang w:val="es-ES"/>
        </w:rPr>
        <w:t xml:space="preserve">. Sentencia de 26 de junio de 1987. Serie C No. 1, párr. 96, y </w:t>
      </w:r>
      <w:r w:rsidRPr="00143D29">
        <w:rPr>
          <w:i/>
          <w:lang w:val="es-ES"/>
        </w:rPr>
        <w:t xml:space="preserve">Caso </w:t>
      </w:r>
      <w:proofErr w:type="spellStart"/>
      <w:r w:rsidRPr="00143D29">
        <w:rPr>
          <w:i/>
          <w:lang w:val="es-ES"/>
        </w:rPr>
        <w:t>Quispialaya</w:t>
      </w:r>
      <w:proofErr w:type="spellEnd"/>
      <w:r w:rsidRPr="00143D29">
        <w:rPr>
          <w:i/>
          <w:lang w:val="es-ES"/>
        </w:rPr>
        <w:t xml:space="preserve"> Vilcapoma Vs. Perú. Excepciones preliminares, Fondo y Reparaciones y Costas</w:t>
      </w:r>
      <w:r w:rsidRPr="00143D29">
        <w:rPr>
          <w:lang w:val="es-ES"/>
        </w:rPr>
        <w:t xml:space="preserve">. Sentencia de 23 de noviembre de 2015, Serie C No. 308, </w:t>
      </w:r>
      <w:proofErr w:type="spellStart"/>
      <w:r w:rsidRPr="00143D29">
        <w:rPr>
          <w:lang w:val="es-ES"/>
        </w:rPr>
        <w:t>párrs</w:t>
      </w:r>
      <w:proofErr w:type="spellEnd"/>
      <w:r w:rsidRPr="00143D29">
        <w:rPr>
          <w:lang w:val="es-ES"/>
        </w:rPr>
        <w:t>. 30 y 32</w:t>
      </w:r>
      <w:r w:rsidRPr="00143D29">
        <w:rPr>
          <w:rStyle w:val="Textoennegrita"/>
          <w:b w:val="0"/>
          <w:lang w:val="es-ES"/>
        </w:rPr>
        <w:t>.</w:t>
      </w:r>
    </w:p>
  </w:footnote>
  <w:footnote w:id="43">
    <w:p w14:paraId="0271B40E" w14:textId="77777777" w:rsidR="00D4299B" w:rsidRPr="00143D29" w:rsidRDefault="00D4299B" w:rsidP="00D761C7">
      <w:pPr>
        <w:pStyle w:val="Textonotapie"/>
        <w:tabs>
          <w:tab w:val="left" w:pos="720"/>
        </w:tabs>
        <w:spacing w:after="20"/>
        <w:rPr>
          <w:rFonts w:cs="Times New Roman"/>
          <w:lang w:val="es-ES"/>
        </w:rPr>
      </w:pPr>
      <w:r w:rsidRPr="00143D29">
        <w:rPr>
          <w:rStyle w:val="Refdenotaalpie"/>
          <w:szCs w:val="16"/>
        </w:rPr>
        <w:footnoteRef/>
      </w:r>
      <w:r w:rsidRPr="00143D29">
        <w:rPr>
          <w:lang w:val="es-ES"/>
        </w:rPr>
        <w:t xml:space="preserve"> El reconocimiento de competencia hecho por Brasil el 10 de diciembre de 1998 señala que “[e]l Gobierno de la República Federativa de Brasil declara que reconoce, por tiempo indeterminado, como obligatoria y de pleno derecho, la competencia de la Corte Interamericana de Derechos Humanos, en todos los casos relacionados con la interpretación o aplicación de la Convención Americana [sobre] Derechos Humanos, de conformidad con el artículo 62 de la misma, bajo reserva de reciprocidad y para hechos posteriores a esta Declaración”. </w:t>
      </w:r>
      <w:r w:rsidRPr="00143D29">
        <w:rPr>
          <w:i/>
          <w:lang w:val="es-ES"/>
        </w:rPr>
        <w:t xml:space="preserve">Cfr. </w:t>
      </w:r>
      <w:r w:rsidRPr="00143D29">
        <w:rPr>
          <w:lang w:val="es-ES"/>
        </w:rPr>
        <w:t xml:space="preserve">Información general del Tratado: Convención Americana sobre Derechos Humanos. Brasil, reconocimiento de competencia. Disponible en </w:t>
      </w:r>
      <w:hyperlink r:id="rId4" w:history="1">
        <w:r w:rsidRPr="00143D29">
          <w:rPr>
            <w:rStyle w:val="Hipervnculo"/>
            <w:lang w:val="es-ES"/>
          </w:rPr>
          <w:t>http://www.oas.org/juridico/spanish/firmas/b-32.html</w:t>
        </w:r>
      </w:hyperlink>
      <w:r w:rsidRPr="00143D29">
        <w:rPr>
          <w:rFonts w:cs="Times New Roman"/>
          <w:lang w:val="es-ES"/>
        </w:rPr>
        <w:t>; último acceso el 10 de octubre de 2016.</w:t>
      </w:r>
    </w:p>
  </w:footnote>
  <w:footnote w:id="44">
    <w:p w14:paraId="5F1522B3" w14:textId="77777777" w:rsidR="00D4299B" w:rsidRPr="00143D29" w:rsidRDefault="00D4299B" w:rsidP="00D761C7">
      <w:pPr>
        <w:pStyle w:val="Textonotapie"/>
        <w:tabs>
          <w:tab w:val="left" w:pos="360"/>
          <w:tab w:val="left" w:pos="720"/>
        </w:tabs>
        <w:spacing w:after="20"/>
        <w:rPr>
          <w:lang w:val="es-CR"/>
        </w:rPr>
      </w:pPr>
      <w:r w:rsidRPr="00143D29">
        <w:rPr>
          <w:rStyle w:val="Refdenotaalpie"/>
          <w:szCs w:val="16"/>
        </w:rPr>
        <w:footnoteRef/>
      </w:r>
      <w:r w:rsidRPr="00143D29">
        <w:rPr>
          <w:lang w:val="pt-BR"/>
        </w:rPr>
        <w:t xml:space="preserve"> </w:t>
      </w:r>
      <w:r w:rsidRPr="00143D29">
        <w:rPr>
          <w:lang w:val="pt-BR"/>
        </w:rPr>
        <w:tab/>
      </w:r>
      <w:r w:rsidRPr="00143D29">
        <w:rPr>
          <w:i/>
          <w:lang w:val="pt-BR"/>
        </w:rPr>
        <w:t xml:space="preserve">Cfr. Caso Gomes </w:t>
      </w:r>
      <w:proofErr w:type="spellStart"/>
      <w:r w:rsidRPr="00143D29">
        <w:rPr>
          <w:i/>
          <w:lang w:val="pt-BR"/>
        </w:rPr>
        <w:t>Lund</w:t>
      </w:r>
      <w:proofErr w:type="spellEnd"/>
      <w:r w:rsidRPr="00143D29">
        <w:rPr>
          <w:i/>
          <w:lang w:val="pt-BR"/>
        </w:rPr>
        <w:t xml:space="preserve"> y </w:t>
      </w:r>
      <w:proofErr w:type="spellStart"/>
      <w:r w:rsidRPr="00143D29">
        <w:rPr>
          <w:i/>
          <w:lang w:val="pt-BR"/>
        </w:rPr>
        <w:t>otros</w:t>
      </w:r>
      <w:proofErr w:type="spellEnd"/>
      <w:r w:rsidRPr="00143D29">
        <w:rPr>
          <w:i/>
          <w:lang w:val="pt-BR"/>
        </w:rPr>
        <w:t xml:space="preserve"> (“Guerrilha do Araguaia”) Vs. </w:t>
      </w:r>
      <w:r w:rsidRPr="00143D29">
        <w:rPr>
          <w:i/>
          <w:lang w:val="es-ES"/>
        </w:rPr>
        <w:t>Brasil</w:t>
      </w:r>
      <w:r w:rsidRPr="00143D29">
        <w:rPr>
          <w:lang w:val="es-ES"/>
        </w:rPr>
        <w:t xml:space="preserve">. Excepciones Preliminares, Fondo, Reparaciones y Costas. Sentencia de 24 de noviembre de 2010. </w:t>
      </w:r>
      <w:r w:rsidRPr="00143D29">
        <w:rPr>
          <w:lang w:val="es-CR"/>
        </w:rPr>
        <w:t xml:space="preserve">Serie C No. 219, párr. 16. </w:t>
      </w:r>
    </w:p>
  </w:footnote>
  <w:footnote w:id="45">
    <w:p w14:paraId="48E10DE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CR"/>
        </w:rPr>
        <w:t xml:space="preserve"> </w:t>
      </w:r>
      <w:r w:rsidRPr="00143D29">
        <w:rPr>
          <w:i/>
          <w:lang w:val="es-CR"/>
        </w:rPr>
        <w:t>Cfr. Gomes Lund y otros (“</w:t>
      </w:r>
      <w:proofErr w:type="spellStart"/>
      <w:r w:rsidRPr="00143D29">
        <w:rPr>
          <w:i/>
          <w:lang w:val="es-CR"/>
        </w:rPr>
        <w:t>Guerrilha</w:t>
      </w:r>
      <w:proofErr w:type="spellEnd"/>
      <w:r w:rsidRPr="00143D29">
        <w:rPr>
          <w:i/>
          <w:lang w:val="es-CR"/>
        </w:rPr>
        <w:t xml:space="preserve"> do </w:t>
      </w:r>
      <w:proofErr w:type="spellStart"/>
      <w:r w:rsidRPr="00143D29">
        <w:rPr>
          <w:i/>
          <w:lang w:val="es-CR"/>
        </w:rPr>
        <w:t>Araguaia</w:t>
      </w:r>
      <w:proofErr w:type="spellEnd"/>
      <w:r w:rsidRPr="00143D29">
        <w:rPr>
          <w:i/>
          <w:lang w:val="es-CR"/>
        </w:rPr>
        <w:t>”)</w:t>
      </w:r>
      <w:r w:rsidRPr="00143D29">
        <w:rPr>
          <w:lang w:val="es-CR"/>
        </w:rPr>
        <w:t xml:space="preserve">, párr. </w:t>
      </w:r>
      <w:r w:rsidRPr="00143D29">
        <w:rPr>
          <w:lang w:val="es-ES"/>
        </w:rPr>
        <w:t xml:space="preserve">17. </w:t>
      </w:r>
    </w:p>
  </w:footnote>
  <w:footnote w:id="46">
    <w:p w14:paraId="7CDF8F2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En el Preámbulo de la Convención Americana se sostiene que la protección internacional es “de naturaleza convencional coadyuvante o complementaria de la que ofrece el derecho interno de los Estados americanos”. Ver también, </w:t>
      </w:r>
      <w:r w:rsidRPr="00143D29">
        <w:rPr>
          <w:i/>
          <w:lang w:val="es-ES"/>
        </w:rPr>
        <w:t xml:space="preserve">El Efecto de las Reservas sobre la Entrada en Vigencia de la Convención Americana sobre Derechos Humanos </w:t>
      </w:r>
      <w:r w:rsidRPr="00143D29">
        <w:rPr>
          <w:lang w:val="es-ES"/>
        </w:rPr>
        <w:t xml:space="preserve">(arts. 74 y 75). Opinión Consultiva OC-2/82 de 24 de septiembre de 1982. Serie A No. 2, párr. 31; </w:t>
      </w:r>
      <w:r w:rsidRPr="00143D29">
        <w:rPr>
          <w:i/>
          <w:lang w:val="es-ES"/>
        </w:rPr>
        <w:t>La Expresión "Leyes" en el Artículo 30 de la Convención Americana sobre Derechos Humanos</w:t>
      </w:r>
      <w:r w:rsidRPr="00143D29">
        <w:rPr>
          <w:lang w:val="es-ES"/>
        </w:rPr>
        <w:t xml:space="preserve">. Opinión Consultiva OC-6/86 de 9 de mayo de 1986. Serie A No. 6, párr. 26; </w:t>
      </w:r>
      <w:r w:rsidRPr="00143D29">
        <w:rPr>
          <w:i/>
          <w:lang w:val="es-ES"/>
        </w:rPr>
        <w:t>Caso Velásquez Rodríguez Vs. Honduras</w:t>
      </w:r>
      <w:r w:rsidRPr="00143D29">
        <w:rPr>
          <w:lang w:val="es-ES"/>
        </w:rPr>
        <w:t xml:space="preserve">. </w:t>
      </w:r>
      <w:r w:rsidRPr="00143D29">
        <w:rPr>
          <w:i/>
          <w:lang w:val="es-ES"/>
        </w:rPr>
        <w:t>Fondo</w:t>
      </w:r>
      <w:r w:rsidRPr="00143D29">
        <w:rPr>
          <w:lang w:val="es-ES"/>
        </w:rPr>
        <w:t xml:space="preserve">. Sentencia de 29 de julio de 1988. Serie C No. 4, párr. 61, y </w:t>
      </w:r>
      <w:r w:rsidRPr="00143D29">
        <w:rPr>
          <w:i/>
          <w:lang w:val="es-ES"/>
        </w:rPr>
        <w:t xml:space="preserve">Caso García Ibarra y otros Vs. Ecuador. Excepciones Preliminares, Fondo, Reparaciones y Costas. </w:t>
      </w:r>
      <w:r w:rsidRPr="00143D29">
        <w:rPr>
          <w:lang w:val="es-ES"/>
        </w:rPr>
        <w:t>Sentencia de 17 de noviembre de 2015, párr.17.</w:t>
      </w:r>
    </w:p>
  </w:footnote>
  <w:footnote w:id="47">
    <w:p w14:paraId="27843133" w14:textId="77777777" w:rsidR="00D4299B" w:rsidRPr="00143D29" w:rsidRDefault="00D4299B" w:rsidP="00D761C7">
      <w:pPr>
        <w:tabs>
          <w:tab w:val="clear" w:pos="4419"/>
          <w:tab w:val="clear" w:pos="8838"/>
          <w:tab w:val="right" w:pos="0"/>
          <w:tab w:val="left" w:pos="720"/>
        </w:tabs>
        <w:spacing w:after="20"/>
        <w:jc w:val="both"/>
        <w:rPr>
          <w:rFonts w:cs="Verdana"/>
          <w:bCs/>
          <w:i/>
          <w:iCs/>
          <w:snapToGrid w:val="0"/>
          <w:color w:val="FF0000"/>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Caso </w:t>
      </w:r>
      <w:r w:rsidRPr="00143D29">
        <w:rPr>
          <w:i/>
          <w:sz w:val="16"/>
          <w:szCs w:val="16"/>
          <w:lang w:val="es-ES"/>
        </w:rPr>
        <w:t>Cabrera García y Montiel Flores Vs. México. Excepción Preliminar, Fondo, Reparaciones y Costas</w:t>
      </w:r>
      <w:r w:rsidRPr="00143D29">
        <w:rPr>
          <w:sz w:val="16"/>
          <w:szCs w:val="16"/>
          <w:lang w:val="es-ES"/>
        </w:rPr>
        <w:t xml:space="preserve">. Sentencia de 26 de noviembre de 2010. Serie C No. 220, párr. </w:t>
      </w:r>
      <w:r w:rsidRPr="00143D29">
        <w:rPr>
          <w:sz w:val="16"/>
          <w:szCs w:val="16"/>
        </w:rPr>
        <w:t xml:space="preserve">16, y </w:t>
      </w:r>
      <w:r w:rsidRPr="00143D29">
        <w:rPr>
          <w:i/>
          <w:sz w:val="16"/>
          <w:szCs w:val="16"/>
        </w:rPr>
        <w:t xml:space="preserve">Caso García Ibarra y otros, </w:t>
      </w:r>
      <w:r w:rsidRPr="00143D29">
        <w:rPr>
          <w:sz w:val="16"/>
          <w:szCs w:val="16"/>
        </w:rPr>
        <w:t>párr. 17</w:t>
      </w:r>
      <w:r w:rsidRPr="00143D29">
        <w:rPr>
          <w:rFonts w:cs="Verdana"/>
          <w:bCs/>
          <w:snapToGrid w:val="0"/>
          <w:sz w:val="16"/>
          <w:szCs w:val="16"/>
        </w:rPr>
        <w:t>.</w:t>
      </w:r>
    </w:p>
  </w:footnote>
  <w:footnote w:id="48">
    <w:p w14:paraId="15603D95" w14:textId="77777777" w:rsidR="00D4299B" w:rsidRPr="00143D29" w:rsidRDefault="00D4299B" w:rsidP="00D761C7">
      <w:pPr>
        <w:tabs>
          <w:tab w:val="clear" w:pos="4419"/>
          <w:tab w:val="clear" w:pos="8838"/>
          <w:tab w:val="right" w:pos="0"/>
        </w:tabs>
        <w:spacing w:after="20"/>
        <w:jc w:val="both"/>
        <w:rPr>
          <w:sz w:val="16"/>
          <w:szCs w:val="16"/>
          <w:lang w:val="es-ES"/>
        </w:rPr>
      </w:pPr>
      <w:r w:rsidRPr="00143D29">
        <w:rPr>
          <w:rStyle w:val="Refdenotaalpie"/>
          <w:sz w:val="16"/>
          <w:szCs w:val="16"/>
        </w:rPr>
        <w:footnoteRef/>
      </w:r>
      <w:r w:rsidRPr="00143D29">
        <w:rPr>
          <w:sz w:val="16"/>
          <w:szCs w:val="16"/>
          <w:lang w:val="es-GT"/>
        </w:rPr>
        <w:t xml:space="preserve"> </w:t>
      </w:r>
      <w:r w:rsidRPr="00143D29">
        <w:rPr>
          <w:i/>
          <w:sz w:val="16"/>
          <w:szCs w:val="16"/>
          <w:lang w:val="es-GT"/>
        </w:rPr>
        <w:t xml:space="preserve">Cfr. Caso Castañeda Gutman Vs. México. Excepciones Preliminares, Fondo, Reparaciones y Costas. </w:t>
      </w:r>
      <w:r w:rsidRPr="00143D29">
        <w:rPr>
          <w:sz w:val="16"/>
          <w:szCs w:val="16"/>
          <w:lang w:val="es-GT"/>
        </w:rPr>
        <w:t xml:space="preserve">Sentencia de 6 de agosto de 2008. Serie C No. 184, </w:t>
      </w:r>
      <w:r w:rsidRPr="00143D29">
        <w:rPr>
          <w:sz w:val="16"/>
          <w:szCs w:val="16"/>
          <w:lang w:val="es-ES"/>
        </w:rPr>
        <w:t>párr. 39, y</w:t>
      </w:r>
      <w:r w:rsidRPr="00143D29">
        <w:rPr>
          <w:sz w:val="16"/>
          <w:szCs w:val="16"/>
          <w:lang w:val="es-GT"/>
        </w:rPr>
        <w:t xml:space="preserve"> </w:t>
      </w:r>
      <w:r w:rsidRPr="00143D29">
        <w:rPr>
          <w:i/>
          <w:sz w:val="16"/>
          <w:szCs w:val="16"/>
        </w:rPr>
        <w:t xml:space="preserve">Caso García Ibarra y otros, </w:t>
      </w:r>
      <w:r w:rsidRPr="00143D29">
        <w:rPr>
          <w:sz w:val="16"/>
          <w:szCs w:val="16"/>
        </w:rPr>
        <w:t>párr. 17.</w:t>
      </w:r>
    </w:p>
  </w:footnote>
  <w:footnote w:id="49">
    <w:p w14:paraId="28273E9E" w14:textId="77777777" w:rsidR="00D4299B" w:rsidRPr="00143D29" w:rsidRDefault="00D4299B" w:rsidP="00D761C7">
      <w:pPr>
        <w:pStyle w:val="Textonotapie"/>
        <w:tabs>
          <w:tab w:val="clear" w:pos="4419"/>
          <w:tab w:val="clear" w:pos="8838"/>
          <w:tab w:val="right" w:pos="0"/>
        </w:tabs>
        <w:spacing w:after="20"/>
        <w:rPr>
          <w:i/>
          <w:lang w:val="es-ES"/>
        </w:rPr>
      </w:pPr>
      <w:r w:rsidRPr="00143D29">
        <w:rPr>
          <w:rStyle w:val="Refdenotaalpie"/>
          <w:szCs w:val="16"/>
        </w:rPr>
        <w:footnoteRef/>
      </w:r>
      <w:r w:rsidRPr="00143D29">
        <w:rPr>
          <w:lang w:val="es-ES"/>
        </w:rPr>
        <w:t xml:space="preserve"> </w:t>
      </w:r>
      <w:r w:rsidRPr="00143D29">
        <w:rPr>
          <w:rStyle w:val="Textoennegrita"/>
          <w:b w:val="0"/>
          <w:i/>
          <w:color w:val="000000"/>
          <w:shd w:val="clear" w:color="auto" w:fill="FFFFFF"/>
          <w:lang w:val="es-ES"/>
        </w:rPr>
        <w:t>Caso de los “Niños de la Calle” (Villagrán Morales y otros) Vs. Guatemala. Fondo</w:t>
      </w:r>
      <w:r w:rsidRPr="00143D29">
        <w:rPr>
          <w:rStyle w:val="Textoennegrita"/>
          <w:b w:val="0"/>
          <w:color w:val="000000"/>
          <w:shd w:val="clear" w:color="auto" w:fill="FFFFFF"/>
          <w:lang w:val="es-ES"/>
        </w:rPr>
        <w:t xml:space="preserve">. Sentencia de 19 de noviembre de 1999. Serie C No. 63, párr. 222, y </w:t>
      </w:r>
      <w:r w:rsidRPr="00143D29">
        <w:rPr>
          <w:i/>
          <w:lang w:val="es-ES"/>
        </w:rPr>
        <w:t xml:space="preserve">Caso García Ibarra y otros, </w:t>
      </w:r>
      <w:proofErr w:type="spellStart"/>
      <w:r w:rsidRPr="00143D29">
        <w:rPr>
          <w:lang w:val="es-ES"/>
        </w:rPr>
        <w:t>párrs</w:t>
      </w:r>
      <w:proofErr w:type="spellEnd"/>
      <w:r w:rsidRPr="00143D29">
        <w:rPr>
          <w:lang w:val="es-ES"/>
        </w:rPr>
        <w:t>. 19 y 20.</w:t>
      </w:r>
    </w:p>
  </w:footnote>
  <w:footnote w:id="50">
    <w:p w14:paraId="049A03CD" w14:textId="77777777" w:rsidR="00D4299B" w:rsidRPr="00143D29" w:rsidRDefault="00D4299B" w:rsidP="00D761C7">
      <w:pPr>
        <w:spacing w:after="20"/>
        <w:jc w:val="both"/>
        <w:rPr>
          <w:b/>
          <w:lang w:val="es-ES"/>
        </w:rPr>
      </w:pPr>
      <w:r w:rsidRPr="00143D29">
        <w:rPr>
          <w:sz w:val="16"/>
          <w:szCs w:val="16"/>
          <w:vertAlign w:val="superscript"/>
        </w:rPr>
        <w:footnoteRef/>
      </w:r>
      <w:r w:rsidRPr="00143D29">
        <w:rPr>
          <w:sz w:val="16"/>
          <w:szCs w:val="16"/>
          <w:lang w:val="es-ES"/>
        </w:rPr>
        <w:t xml:space="preserve"> </w:t>
      </w:r>
      <w:r w:rsidRPr="00143D29">
        <w:rPr>
          <w:i/>
          <w:sz w:val="16"/>
          <w:szCs w:val="16"/>
          <w:lang w:val="es-ES"/>
        </w:rPr>
        <w:t xml:space="preserve">Cfr. Caso de la Comunidad </w:t>
      </w:r>
      <w:proofErr w:type="spellStart"/>
      <w:r w:rsidRPr="00143D29">
        <w:rPr>
          <w:i/>
          <w:sz w:val="16"/>
          <w:szCs w:val="16"/>
          <w:lang w:val="es-ES"/>
        </w:rPr>
        <w:t>Mayagna</w:t>
      </w:r>
      <w:proofErr w:type="spellEnd"/>
      <w:r w:rsidRPr="00143D29">
        <w:rPr>
          <w:i/>
          <w:sz w:val="16"/>
          <w:szCs w:val="16"/>
          <w:lang w:val="es-ES"/>
        </w:rPr>
        <w:t xml:space="preserve"> (Sumo) </w:t>
      </w:r>
      <w:proofErr w:type="spellStart"/>
      <w:r w:rsidRPr="00143D29">
        <w:rPr>
          <w:i/>
          <w:sz w:val="16"/>
          <w:szCs w:val="16"/>
          <w:lang w:val="es-ES"/>
        </w:rPr>
        <w:t>Awas</w:t>
      </w:r>
      <w:proofErr w:type="spellEnd"/>
      <w:r w:rsidRPr="00143D29">
        <w:rPr>
          <w:i/>
          <w:sz w:val="16"/>
          <w:szCs w:val="16"/>
          <w:lang w:val="es-ES"/>
        </w:rPr>
        <w:t xml:space="preserve"> </w:t>
      </w:r>
      <w:proofErr w:type="spellStart"/>
      <w:r w:rsidRPr="00143D29">
        <w:rPr>
          <w:i/>
          <w:sz w:val="16"/>
          <w:szCs w:val="16"/>
          <w:lang w:val="es-ES"/>
        </w:rPr>
        <w:t>Tingni</w:t>
      </w:r>
      <w:proofErr w:type="spellEnd"/>
      <w:r w:rsidRPr="00143D29">
        <w:rPr>
          <w:i/>
          <w:sz w:val="16"/>
          <w:szCs w:val="16"/>
          <w:lang w:val="es-ES"/>
        </w:rPr>
        <w:t xml:space="preserve"> Vs. Nicaragua</w:t>
      </w:r>
      <w:r w:rsidRPr="00143D29">
        <w:rPr>
          <w:sz w:val="16"/>
          <w:szCs w:val="16"/>
          <w:lang w:val="es-ES"/>
        </w:rPr>
        <w:t>.</w:t>
      </w:r>
      <w:r w:rsidRPr="00143D29">
        <w:rPr>
          <w:rStyle w:val="apple-converted-space"/>
          <w:color w:val="000000"/>
          <w:sz w:val="16"/>
          <w:szCs w:val="16"/>
          <w:lang w:val="es-MX"/>
        </w:rPr>
        <w:t> </w:t>
      </w:r>
      <w:r w:rsidRPr="00143D29">
        <w:rPr>
          <w:i/>
          <w:sz w:val="16"/>
          <w:szCs w:val="16"/>
          <w:lang w:val="es-ES"/>
        </w:rPr>
        <w:t>Fondo, Reparaciones y Costas.</w:t>
      </w:r>
      <w:r w:rsidRPr="00143D29">
        <w:rPr>
          <w:rStyle w:val="apple-converted-space"/>
          <w:i/>
          <w:color w:val="000000"/>
          <w:sz w:val="16"/>
          <w:szCs w:val="16"/>
          <w:lang w:val="es-MX"/>
        </w:rPr>
        <w:t> </w:t>
      </w:r>
      <w:r w:rsidRPr="00143D29">
        <w:rPr>
          <w:sz w:val="16"/>
          <w:szCs w:val="16"/>
          <w:lang w:val="es-ES"/>
        </w:rPr>
        <w:t xml:space="preserve">Sentencia de 31 de agosto de 2001. Serie C No. 79, párr. 148, y </w:t>
      </w:r>
      <w:r w:rsidRPr="00143D29">
        <w:rPr>
          <w:i/>
          <w:sz w:val="16"/>
          <w:szCs w:val="16"/>
          <w:lang w:val="es-ES"/>
        </w:rPr>
        <w:t>Caso</w:t>
      </w:r>
      <w:r w:rsidRPr="00143D29">
        <w:rPr>
          <w:sz w:val="16"/>
          <w:szCs w:val="16"/>
          <w:lang w:val="es-ES"/>
        </w:rPr>
        <w:t xml:space="preserve"> </w:t>
      </w:r>
      <w:r w:rsidRPr="00143D29">
        <w:rPr>
          <w:i/>
          <w:sz w:val="16"/>
          <w:szCs w:val="16"/>
          <w:lang w:val="es-ES"/>
        </w:rPr>
        <w:t xml:space="preserve">Rodríguez Vera </w:t>
      </w:r>
      <w:r w:rsidRPr="00143D29">
        <w:rPr>
          <w:rStyle w:val="Textoennegrita"/>
          <w:b w:val="0"/>
          <w:i/>
          <w:color w:val="000000"/>
          <w:sz w:val="16"/>
          <w:szCs w:val="16"/>
          <w:shd w:val="clear" w:color="auto" w:fill="FFFFFF"/>
          <w:lang w:val="es-ES"/>
        </w:rPr>
        <w:t>y otros (Desaparecidos del Palacio de Justicia) Vs. Colombia. Excepciones Preliminares, Fondo, Reparaciones y Costas</w:t>
      </w:r>
      <w:r w:rsidRPr="00143D29">
        <w:rPr>
          <w:rStyle w:val="Textoennegrita"/>
          <w:b w:val="0"/>
          <w:color w:val="000000"/>
          <w:sz w:val="16"/>
          <w:szCs w:val="16"/>
          <w:shd w:val="clear" w:color="auto" w:fill="FFFFFF"/>
          <w:lang w:val="es-ES"/>
        </w:rPr>
        <w:t xml:space="preserve">. Sentencia de 14 de noviembre de 2014. </w:t>
      </w:r>
      <w:r w:rsidRPr="00143D29">
        <w:rPr>
          <w:rStyle w:val="Textoennegrita"/>
          <w:b w:val="0"/>
          <w:color w:val="000000"/>
          <w:sz w:val="16"/>
          <w:szCs w:val="16"/>
          <w:shd w:val="clear" w:color="auto" w:fill="FFFFFF"/>
        </w:rPr>
        <w:t>Serie C No. 287</w:t>
      </w:r>
      <w:r w:rsidRPr="00143D29">
        <w:rPr>
          <w:sz w:val="16"/>
          <w:szCs w:val="16"/>
          <w:lang w:val="es-ES"/>
        </w:rPr>
        <w:t>, párr. 39. Al respecto, el artículo 31.3.c de la referida Convención de Viena establece como regla de interpretación que “[j]</w:t>
      </w:r>
      <w:proofErr w:type="spellStart"/>
      <w:r w:rsidRPr="00143D29">
        <w:rPr>
          <w:sz w:val="16"/>
          <w:szCs w:val="16"/>
          <w:lang w:val="es-ES"/>
        </w:rPr>
        <w:t>untamente</w:t>
      </w:r>
      <w:proofErr w:type="spellEnd"/>
      <w:r w:rsidRPr="00143D29">
        <w:rPr>
          <w:sz w:val="16"/>
          <w:szCs w:val="16"/>
          <w:lang w:val="es-ES"/>
        </w:rPr>
        <w:t xml:space="preserve"> con el contexto, habrá de tenerse en cuenta: […] c) toda forma pertinente de derecho internacional aplicable en las relaciones entre las partes”.</w:t>
      </w:r>
    </w:p>
  </w:footnote>
  <w:footnote w:id="51">
    <w:p w14:paraId="23907F21" w14:textId="77777777" w:rsidR="00D4299B" w:rsidRPr="00143D29" w:rsidRDefault="00D4299B" w:rsidP="00D761C7">
      <w:pPr>
        <w:pStyle w:val="Footnotes"/>
        <w:tabs>
          <w:tab w:val="right" w:pos="0"/>
        </w:tabs>
        <w:spacing w:after="20"/>
        <w:rPr>
          <w:lang w:val="es-ES"/>
        </w:rPr>
      </w:pPr>
      <w:r w:rsidRPr="00143D29">
        <w:rPr>
          <w:rStyle w:val="Refdenotaalpie"/>
          <w:szCs w:val="16"/>
        </w:rPr>
        <w:footnoteRef/>
      </w:r>
      <w:r w:rsidRPr="00143D29">
        <w:t xml:space="preserve"> </w:t>
      </w:r>
      <w:r w:rsidRPr="00143D29">
        <w:rPr>
          <w:i/>
        </w:rPr>
        <w:t xml:space="preserve">Cfr. Caso </w:t>
      </w:r>
      <w:proofErr w:type="spellStart"/>
      <w:r w:rsidRPr="00143D29">
        <w:rPr>
          <w:i/>
        </w:rPr>
        <w:t>Masacre</w:t>
      </w:r>
      <w:proofErr w:type="spellEnd"/>
      <w:r w:rsidRPr="00143D29">
        <w:rPr>
          <w:i/>
        </w:rPr>
        <w:t xml:space="preserve"> de Santo Domingo Vs. </w:t>
      </w:r>
      <w:r w:rsidRPr="00143D29">
        <w:rPr>
          <w:i/>
          <w:lang w:val="es-ES"/>
        </w:rPr>
        <w:t>Colombia. Excepciones Preliminares, Fondo y Reparaciones</w:t>
      </w:r>
      <w:r w:rsidRPr="00143D29">
        <w:rPr>
          <w:lang w:val="es-ES"/>
        </w:rPr>
        <w:t xml:space="preserve">. Sentencia de 30 de noviembre de 2012. Serie C No. 259, párr. 24, y </w:t>
      </w:r>
      <w:r w:rsidRPr="00143D29">
        <w:rPr>
          <w:i/>
          <w:color w:val="000000"/>
          <w:lang w:val="es-MX"/>
        </w:rPr>
        <w:t>Caso Rodríguez Vera</w:t>
      </w:r>
      <w:r w:rsidRPr="00143D29">
        <w:rPr>
          <w:color w:val="000000"/>
          <w:lang w:val="es-MX"/>
        </w:rPr>
        <w:t>, párr. 39.</w:t>
      </w:r>
    </w:p>
  </w:footnote>
  <w:footnote w:id="52">
    <w:p w14:paraId="7969DC8B" w14:textId="77777777" w:rsidR="00D4299B" w:rsidRPr="00143D29" w:rsidRDefault="00D4299B" w:rsidP="00D761C7">
      <w:pPr>
        <w:spacing w:after="20"/>
        <w:jc w:val="both"/>
        <w:rPr>
          <w:b/>
          <w:sz w:val="2"/>
          <w:lang w:val="es-ES"/>
        </w:rPr>
      </w:pPr>
      <w:r w:rsidRPr="00143D29">
        <w:rPr>
          <w:rStyle w:val="Refdenotaalpie"/>
          <w:sz w:val="16"/>
          <w:szCs w:val="16"/>
        </w:rPr>
        <w:footnoteRef/>
      </w:r>
      <w:r w:rsidRPr="00143D29">
        <w:rPr>
          <w:sz w:val="16"/>
          <w:szCs w:val="16"/>
        </w:rPr>
        <w:t xml:space="preserve"> </w:t>
      </w:r>
      <w:r w:rsidRPr="00143D29">
        <w:rPr>
          <w:rFonts w:cs="Verdana"/>
          <w:i/>
          <w:iCs/>
          <w:sz w:val="16"/>
          <w:szCs w:val="16"/>
        </w:rPr>
        <w:t>Cfr. Caso Velásquez Rodríguez Vs. Honduras</w:t>
      </w:r>
      <w:r w:rsidRPr="00143D29">
        <w:rPr>
          <w:rFonts w:cs="Verdana"/>
          <w:sz w:val="16"/>
          <w:szCs w:val="16"/>
        </w:rPr>
        <w:t xml:space="preserve">. </w:t>
      </w:r>
      <w:r w:rsidRPr="00143D29">
        <w:rPr>
          <w:rFonts w:cs="Verdana"/>
          <w:i/>
          <w:iCs/>
          <w:sz w:val="16"/>
          <w:szCs w:val="16"/>
        </w:rPr>
        <w:t>Excepciones Preliminares</w:t>
      </w:r>
      <w:r w:rsidRPr="00143D29">
        <w:rPr>
          <w:rFonts w:cs="Verdana"/>
          <w:sz w:val="16"/>
          <w:szCs w:val="16"/>
        </w:rPr>
        <w:t xml:space="preserve">, párr. 88, y </w:t>
      </w:r>
      <w:r w:rsidRPr="00143D29">
        <w:rPr>
          <w:rStyle w:val="Textoennegrita"/>
          <w:b w:val="0"/>
          <w:i/>
          <w:color w:val="000000"/>
          <w:sz w:val="16"/>
          <w:shd w:val="clear" w:color="auto" w:fill="FFFFFF"/>
          <w:lang w:val="es-ES"/>
        </w:rPr>
        <w:t>Caso Herrera Espinoza y otros Vs. Ecuador. Excepciones Preliminares, Fondo, Reparaciones y Costas</w:t>
      </w:r>
      <w:r w:rsidRPr="00143D29">
        <w:rPr>
          <w:rStyle w:val="Textoennegrita"/>
          <w:b w:val="0"/>
          <w:color w:val="000000"/>
          <w:sz w:val="16"/>
          <w:shd w:val="clear" w:color="auto" w:fill="FFFFFF"/>
          <w:lang w:val="es-ES"/>
        </w:rPr>
        <w:t xml:space="preserve">. </w:t>
      </w:r>
      <w:r w:rsidRPr="00143D29">
        <w:rPr>
          <w:rStyle w:val="Textoennegrita"/>
          <w:b w:val="0"/>
          <w:color w:val="000000"/>
          <w:sz w:val="16"/>
          <w:shd w:val="clear" w:color="auto" w:fill="FFFFFF"/>
        </w:rPr>
        <w:t xml:space="preserve">Sentencia de 1 de septiembre de 2016. Serie C No. 316, </w:t>
      </w:r>
      <w:proofErr w:type="spellStart"/>
      <w:r w:rsidRPr="00143D29">
        <w:rPr>
          <w:rStyle w:val="Textoennegrita"/>
          <w:b w:val="0"/>
          <w:color w:val="000000"/>
          <w:sz w:val="16"/>
          <w:shd w:val="clear" w:color="auto" w:fill="FFFFFF"/>
        </w:rPr>
        <w:t>párrs</w:t>
      </w:r>
      <w:proofErr w:type="spellEnd"/>
      <w:r w:rsidRPr="00143D29">
        <w:rPr>
          <w:rStyle w:val="Textoennegrita"/>
          <w:b w:val="0"/>
          <w:color w:val="000000"/>
          <w:sz w:val="16"/>
          <w:shd w:val="clear" w:color="auto" w:fill="FFFFFF"/>
        </w:rPr>
        <w:t>. 25 y 26</w:t>
      </w:r>
      <w:r w:rsidRPr="00143D29">
        <w:rPr>
          <w:rFonts w:cs="Verdana"/>
          <w:sz w:val="16"/>
          <w:szCs w:val="16"/>
        </w:rPr>
        <w:t>.</w:t>
      </w:r>
    </w:p>
  </w:footnote>
  <w:footnote w:id="53">
    <w:p w14:paraId="6D3EAC3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cs="Verdana"/>
          <w:i/>
          <w:iCs/>
          <w:lang w:val="es-ES"/>
        </w:rPr>
        <w:t>Caso Velásquez Rodríguez Vs. Honduras</w:t>
      </w:r>
      <w:r w:rsidRPr="00143D29">
        <w:rPr>
          <w:rFonts w:cs="Verdana"/>
          <w:lang w:val="es-ES"/>
        </w:rPr>
        <w:t xml:space="preserve">. </w:t>
      </w:r>
      <w:r w:rsidRPr="00143D29">
        <w:rPr>
          <w:rFonts w:cs="Verdana"/>
          <w:i/>
          <w:iCs/>
          <w:lang w:val="es-ES"/>
        </w:rPr>
        <w:t>Excepciones Preliminares</w:t>
      </w:r>
      <w:r w:rsidRPr="00143D29">
        <w:rPr>
          <w:rFonts w:cs="Verdana"/>
          <w:lang w:val="es-ES"/>
        </w:rPr>
        <w:t xml:space="preserve">, párr. 85, y </w:t>
      </w:r>
      <w:r w:rsidRPr="00143D29">
        <w:rPr>
          <w:rStyle w:val="Textoennegrita"/>
          <w:b w:val="0"/>
          <w:i/>
          <w:color w:val="000000"/>
          <w:shd w:val="clear" w:color="auto" w:fill="FFFFFF"/>
          <w:lang w:val="es-ES"/>
        </w:rPr>
        <w:t>Caso Herrera Espinoza y otros</w:t>
      </w:r>
      <w:r w:rsidRPr="00143D29">
        <w:rPr>
          <w:rStyle w:val="Textoennegrita"/>
          <w:b w:val="0"/>
          <w:color w:val="000000"/>
          <w:shd w:val="clear" w:color="auto" w:fill="FFFFFF"/>
          <w:lang w:val="es-ES"/>
        </w:rPr>
        <w:t xml:space="preserve">, párr. 24. </w:t>
      </w:r>
    </w:p>
  </w:footnote>
  <w:footnote w:id="54">
    <w:p w14:paraId="1862A828" w14:textId="77777777" w:rsidR="00D4299B" w:rsidRPr="00143D29" w:rsidRDefault="00D4299B" w:rsidP="00D761C7">
      <w:pPr>
        <w:spacing w:after="20"/>
        <w:jc w:val="both"/>
        <w:rPr>
          <w:b/>
          <w:sz w:val="2"/>
          <w:lang w:val="es-ES"/>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rStyle w:val="Textoennegrita"/>
          <w:b w:val="0"/>
          <w:i/>
          <w:color w:val="000000"/>
          <w:sz w:val="16"/>
          <w:szCs w:val="16"/>
          <w:shd w:val="clear" w:color="auto" w:fill="FFFFFF"/>
          <w:lang w:val="es-ES"/>
        </w:rPr>
        <w:t xml:space="preserve">Caso Gonzales </w:t>
      </w:r>
      <w:proofErr w:type="spellStart"/>
      <w:r w:rsidRPr="00143D29">
        <w:rPr>
          <w:rStyle w:val="Textoennegrita"/>
          <w:b w:val="0"/>
          <w:i/>
          <w:color w:val="000000"/>
          <w:sz w:val="16"/>
          <w:szCs w:val="16"/>
          <w:shd w:val="clear" w:color="auto" w:fill="FFFFFF"/>
          <w:lang w:val="es-ES"/>
        </w:rPr>
        <w:t>Lluy</w:t>
      </w:r>
      <w:proofErr w:type="spellEnd"/>
      <w:r w:rsidRPr="00143D29">
        <w:rPr>
          <w:rStyle w:val="Textoennegrita"/>
          <w:b w:val="0"/>
          <w:i/>
          <w:color w:val="000000"/>
          <w:sz w:val="16"/>
          <w:szCs w:val="16"/>
          <w:shd w:val="clear" w:color="auto" w:fill="FFFFFF"/>
          <w:lang w:val="es-ES"/>
        </w:rPr>
        <w:t xml:space="preserve"> y otros Vs. Ecuador. Excepciones Preliminares, Fondo, Reparaciones y Costas</w:t>
      </w:r>
      <w:r w:rsidRPr="00143D29">
        <w:rPr>
          <w:rStyle w:val="Textoennegrita"/>
          <w:b w:val="0"/>
          <w:color w:val="000000"/>
          <w:sz w:val="16"/>
          <w:szCs w:val="16"/>
          <w:shd w:val="clear" w:color="auto" w:fill="FFFFFF"/>
          <w:lang w:val="es-ES"/>
        </w:rPr>
        <w:t xml:space="preserve">. </w:t>
      </w:r>
      <w:r w:rsidRPr="00143D29">
        <w:rPr>
          <w:rStyle w:val="Textoennegrita"/>
          <w:b w:val="0"/>
          <w:color w:val="000000"/>
          <w:sz w:val="16"/>
          <w:szCs w:val="16"/>
          <w:shd w:val="clear" w:color="auto" w:fill="FFFFFF"/>
        </w:rPr>
        <w:t xml:space="preserve">Sentencia de 1 de septiembre de 2015. Serie C No. 298, párr. 28, y </w:t>
      </w:r>
      <w:r w:rsidRPr="00143D29">
        <w:rPr>
          <w:rStyle w:val="Textoennegrita"/>
          <w:b w:val="0"/>
          <w:i/>
          <w:color w:val="000000"/>
          <w:sz w:val="16"/>
          <w:shd w:val="clear" w:color="auto" w:fill="FFFFFF"/>
          <w:lang w:val="es-ES"/>
        </w:rPr>
        <w:t>Caso Chinchilla Sandoval Vs. Guatemala. Excepción Preliminar, Fondo, Reparaciones y Costas</w:t>
      </w:r>
      <w:r w:rsidRPr="00143D29">
        <w:rPr>
          <w:rStyle w:val="Textoennegrita"/>
          <w:b w:val="0"/>
          <w:color w:val="000000"/>
          <w:sz w:val="16"/>
          <w:shd w:val="clear" w:color="auto" w:fill="FFFFFF"/>
          <w:lang w:val="es-ES"/>
        </w:rPr>
        <w:t xml:space="preserve">. </w:t>
      </w:r>
      <w:r w:rsidRPr="00143D29">
        <w:rPr>
          <w:rStyle w:val="Textoennegrita"/>
          <w:b w:val="0"/>
          <w:color w:val="000000"/>
          <w:sz w:val="16"/>
          <w:shd w:val="clear" w:color="auto" w:fill="FFFFFF"/>
        </w:rPr>
        <w:t>Sentencia de 29 de febrero de 2016. Serie C No. 312, párr. 21.</w:t>
      </w:r>
    </w:p>
  </w:footnote>
  <w:footnote w:id="55">
    <w:p w14:paraId="1BD9D416"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rStyle w:val="Textoennegrita"/>
          <w:b w:val="0"/>
          <w:i/>
          <w:color w:val="000000"/>
          <w:sz w:val="16"/>
          <w:shd w:val="clear" w:color="auto" w:fill="FFFFFF"/>
          <w:lang w:val="es-ES"/>
        </w:rPr>
        <w:t>Caso Reverón Trujillo Vs. Venezuela. Excepción Preliminar, Fondo, Reparaciones y Costas</w:t>
      </w:r>
      <w:r w:rsidRPr="00143D29">
        <w:rPr>
          <w:rStyle w:val="Textoennegrita"/>
          <w:b w:val="0"/>
          <w:color w:val="000000"/>
          <w:sz w:val="16"/>
          <w:shd w:val="clear" w:color="auto" w:fill="FFFFFF"/>
          <w:lang w:val="es-ES"/>
        </w:rPr>
        <w:t xml:space="preserve">. Sentencia de 30 de junio de 2009. Serie C No. 197, párr. 23, y </w:t>
      </w:r>
      <w:r w:rsidRPr="00143D29">
        <w:rPr>
          <w:rStyle w:val="Textoennegrita"/>
          <w:b w:val="0"/>
          <w:i/>
          <w:color w:val="000000"/>
          <w:sz w:val="16"/>
          <w:shd w:val="clear" w:color="auto" w:fill="FFFFFF"/>
          <w:lang w:val="es-ES"/>
        </w:rPr>
        <w:t>Caso Tenorio Roca y otros Vs. Perú. Excepciones Preliminares, Fondo, Reparaciones y Costas</w:t>
      </w:r>
      <w:r w:rsidRPr="00143D29">
        <w:rPr>
          <w:rStyle w:val="Textoennegrita"/>
          <w:b w:val="0"/>
          <w:color w:val="000000"/>
          <w:sz w:val="16"/>
          <w:shd w:val="clear" w:color="auto" w:fill="FFFFFF"/>
          <w:lang w:val="es-ES"/>
        </w:rPr>
        <w:t xml:space="preserve">. Sentencia de 22 de junio de 2016. </w:t>
      </w:r>
      <w:r w:rsidRPr="00143D29">
        <w:rPr>
          <w:rStyle w:val="Textoennegrita"/>
          <w:b w:val="0"/>
          <w:color w:val="000000"/>
          <w:sz w:val="16"/>
          <w:shd w:val="clear" w:color="auto" w:fill="FFFFFF"/>
        </w:rPr>
        <w:t xml:space="preserve">Serie C No. 314, párr. 21. </w:t>
      </w:r>
    </w:p>
  </w:footnote>
  <w:footnote w:id="56">
    <w:p w14:paraId="0EAA036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Style w:val="Textoennegrita"/>
          <w:b w:val="0"/>
          <w:i/>
          <w:color w:val="000000"/>
          <w:shd w:val="clear" w:color="auto" w:fill="FFFFFF"/>
          <w:lang w:val="es-ES"/>
        </w:rPr>
        <w:t xml:space="preserve">Caso </w:t>
      </w:r>
      <w:proofErr w:type="spellStart"/>
      <w:r w:rsidRPr="00143D29">
        <w:rPr>
          <w:rStyle w:val="Textoennegrita"/>
          <w:b w:val="0"/>
          <w:i/>
          <w:color w:val="000000"/>
          <w:shd w:val="clear" w:color="auto" w:fill="FFFFFF"/>
          <w:lang w:val="es-ES"/>
        </w:rPr>
        <w:t>Furlan</w:t>
      </w:r>
      <w:proofErr w:type="spellEnd"/>
      <w:r w:rsidRPr="00143D29">
        <w:rPr>
          <w:rStyle w:val="Textoennegrita"/>
          <w:b w:val="0"/>
          <w:i/>
          <w:color w:val="000000"/>
          <w:shd w:val="clear" w:color="auto" w:fill="FFFFFF"/>
          <w:lang w:val="es-ES"/>
        </w:rPr>
        <w:t xml:space="preserve"> y familiares Vs. Argentina. Excepciones Preliminares, Fondo, Reparaciones y Costas</w:t>
      </w:r>
      <w:r w:rsidRPr="00143D29">
        <w:rPr>
          <w:rStyle w:val="Textoennegrita"/>
          <w:b w:val="0"/>
          <w:color w:val="000000"/>
          <w:shd w:val="clear" w:color="auto" w:fill="FFFFFF"/>
          <w:lang w:val="es-ES"/>
        </w:rPr>
        <w:t xml:space="preserve">. Sentencia de 31 de agosto de 2012. Serie C No. 246, párr. 29, y </w:t>
      </w:r>
      <w:r w:rsidRPr="00143D29">
        <w:rPr>
          <w:rStyle w:val="Textoennegrita"/>
          <w:b w:val="0"/>
          <w:i/>
          <w:color w:val="000000"/>
          <w:shd w:val="clear" w:color="auto" w:fill="FFFFFF"/>
          <w:lang w:val="es-ES"/>
        </w:rPr>
        <w:t>Caso Herrera Espinoza y otros</w:t>
      </w:r>
      <w:r w:rsidRPr="00143D29">
        <w:rPr>
          <w:rStyle w:val="Textoennegrita"/>
          <w:b w:val="0"/>
          <w:color w:val="000000"/>
          <w:shd w:val="clear" w:color="auto" w:fill="FFFFFF"/>
          <w:lang w:val="es-ES"/>
        </w:rPr>
        <w:t xml:space="preserve">, párr. 28. </w:t>
      </w:r>
    </w:p>
  </w:footnote>
  <w:footnote w:id="57">
    <w:p w14:paraId="2B51046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i/>
          <w:lang w:val="es-ES"/>
        </w:rPr>
        <w:t xml:space="preserve"> Cfr. Caso Velásquez Rodríguez Vs. Honduras. Fondo</w:t>
      </w:r>
      <w:r w:rsidRPr="00143D29">
        <w:rPr>
          <w:lang w:val="es-ES"/>
        </w:rPr>
        <w:t xml:space="preserve">, párr. 140, y </w:t>
      </w:r>
      <w:r w:rsidRPr="00143D29">
        <w:rPr>
          <w:rStyle w:val="Textoennegrita"/>
          <w:b w:val="0"/>
          <w:i/>
          <w:color w:val="000000"/>
          <w:shd w:val="clear" w:color="auto" w:fill="FFFFFF"/>
          <w:lang w:val="es-ES"/>
        </w:rPr>
        <w:t>Caso Herrera Espinoza y otros</w:t>
      </w:r>
      <w:r w:rsidRPr="00143D29">
        <w:rPr>
          <w:rStyle w:val="Textoennegrita"/>
          <w:b w:val="0"/>
          <w:color w:val="000000"/>
          <w:shd w:val="clear" w:color="auto" w:fill="FFFFFF"/>
          <w:lang w:val="es-ES"/>
        </w:rPr>
        <w:t xml:space="preserve">, párr. 44. </w:t>
      </w:r>
    </w:p>
  </w:footnote>
  <w:footnote w:id="58">
    <w:p w14:paraId="5E22743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i/>
          <w:lang w:val="es-ES"/>
        </w:rPr>
        <w:t xml:space="preserve"> Cfr. Caso </w:t>
      </w:r>
      <w:proofErr w:type="spellStart"/>
      <w:r w:rsidRPr="00143D29">
        <w:rPr>
          <w:i/>
          <w:lang w:val="es-ES"/>
        </w:rPr>
        <w:t>Escué</w:t>
      </w:r>
      <w:proofErr w:type="spellEnd"/>
      <w:r w:rsidRPr="00143D29">
        <w:rPr>
          <w:i/>
          <w:lang w:val="es-ES"/>
        </w:rPr>
        <w:t xml:space="preserve"> Zapata Vs. Colombia. Fondo, Reparaciones y Costas</w:t>
      </w:r>
      <w:r w:rsidRPr="00143D29">
        <w:rPr>
          <w:lang w:val="es-ES"/>
        </w:rPr>
        <w:t xml:space="preserve">. Sentencia de 4 de julio de 2007. Serie C No. 165, párr. 26, y </w:t>
      </w:r>
      <w:r w:rsidRPr="00143D29">
        <w:rPr>
          <w:rStyle w:val="Textoennegrita"/>
          <w:b w:val="0"/>
          <w:i/>
          <w:color w:val="000000"/>
          <w:shd w:val="clear" w:color="auto" w:fill="FFFFFF"/>
          <w:lang w:val="es-ES"/>
        </w:rPr>
        <w:t>Caso Herrera Espinoza y otros</w:t>
      </w:r>
      <w:r w:rsidRPr="00143D29">
        <w:rPr>
          <w:rStyle w:val="Textoennegrita"/>
          <w:b w:val="0"/>
          <w:color w:val="000000"/>
          <w:shd w:val="clear" w:color="auto" w:fill="FFFFFF"/>
          <w:lang w:val="es-ES"/>
        </w:rPr>
        <w:t>, párr. 45.</w:t>
      </w:r>
    </w:p>
  </w:footnote>
  <w:footnote w:id="59">
    <w:p w14:paraId="6AD0BCBD" w14:textId="77777777" w:rsidR="00D4299B" w:rsidRPr="00143D29" w:rsidRDefault="00D4299B" w:rsidP="00D761C7">
      <w:pPr>
        <w:tabs>
          <w:tab w:val="clear" w:pos="4419"/>
          <w:tab w:val="clear" w:pos="8838"/>
          <w:tab w:val="right" w:pos="0"/>
          <w:tab w:val="left" w:pos="567"/>
        </w:tabs>
        <w:spacing w:after="20"/>
        <w:jc w:val="both"/>
        <w:rPr>
          <w:sz w:val="16"/>
          <w:szCs w:val="16"/>
        </w:rPr>
      </w:pPr>
      <w:r w:rsidRPr="00143D29">
        <w:rPr>
          <w:sz w:val="16"/>
          <w:szCs w:val="16"/>
          <w:vertAlign w:val="superscript"/>
        </w:rPr>
        <w:footnoteRef/>
      </w:r>
      <w:r w:rsidRPr="00143D29">
        <w:rPr>
          <w:sz w:val="16"/>
          <w:szCs w:val="16"/>
          <w:vertAlign w:val="superscript"/>
        </w:rPr>
        <w:t xml:space="preserve"> </w:t>
      </w:r>
      <w:r w:rsidRPr="00143D29">
        <w:rPr>
          <w:i/>
          <w:sz w:val="16"/>
          <w:szCs w:val="16"/>
        </w:rPr>
        <w:t>Cfr. Caso Maldonado Ordoñez</w:t>
      </w:r>
      <w:r w:rsidRPr="00143D29">
        <w:rPr>
          <w:sz w:val="16"/>
          <w:szCs w:val="16"/>
        </w:rPr>
        <w:t>, párr. 29.</w:t>
      </w:r>
    </w:p>
  </w:footnote>
  <w:footnote w:id="60">
    <w:p w14:paraId="64E5944C" w14:textId="77777777" w:rsidR="00D4299B" w:rsidRPr="00143D29" w:rsidRDefault="00D4299B" w:rsidP="00D761C7">
      <w:pPr>
        <w:tabs>
          <w:tab w:val="clear" w:pos="4419"/>
          <w:tab w:val="clear" w:pos="8838"/>
          <w:tab w:val="right" w:pos="0"/>
          <w:tab w:val="left" w:pos="567"/>
        </w:tabs>
        <w:spacing w:after="20"/>
        <w:jc w:val="both"/>
        <w:rPr>
          <w:sz w:val="16"/>
          <w:szCs w:val="16"/>
        </w:rPr>
      </w:pPr>
      <w:r w:rsidRPr="00143D29">
        <w:rPr>
          <w:sz w:val="16"/>
          <w:szCs w:val="16"/>
          <w:vertAlign w:val="superscript"/>
        </w:rPr>
        <w:footnoteRef/>
      </w:r>
      <w:r w:rsidRPr="00143D29">
        <w:rPr>
          <w:sz w:val="16"/>
          <w:szCs w:val="16"/>
        </w:rPr>
        <w:t xml:space="preserve"> </w:t>
      </w:r>
      <w:r w:rsidRPr="00143D29">
        <w:rPr>
          <w:i/>
          <w:sz w:val="16"/>
          <w:szCs w:val="16"/>
        </w:rPr>
        <w:t xml:space="preserve">Cfr. Caso </w:t>
      </w:r>
      <w:proofErr w:type="spellStart"/>
      <w:r w:rsidRPr="00143D29">
        <w:rPr>
          <w:i/>
          <w:sz w:val="16"/>
          <w:szCs w:val="16"/>
        </w:rPr>
        <w:t>Quispialaya</w:t>
      </w:r>
      <w:proofErr w:type="spellEnd"/>
      <w:r w:rsidRPr="00143D29">
        <w:rPr>
          <w:i/>
          <w:sz w:val="16"/>
          <w:szCs w:val="16"/>
        </w:rPr>
        <w:t xml:space="preserve"> Vilcapoma</w:t>
      </w:r>
      <w:r w:rsidRPr="00143D29">
        <w:rPr>
          <w:sz w:val="16"/>
          <w:szCs w:val="16"/>
        </w:rPr>
        <w:t>, párr. 40.</w:t>
      </w:r>
    </w:p>
  </w:footnote>
  <w:footnote w:id="61">
    <w:p w14:paraId="56770857" w14:textId="77777777" w:rsidR="00D4299B" w:rsidRPr="00143D29" w:rsidRDefault="00D4299B" w:rsidP="00D761C7">
      <w:pPr>
        <w:spacing w:after="20"/>
        <w:jc w:val="both"/>
        <w:rPr>
          <w:b/>
          <w:lang w:val="es-ES"/>
        </w:rPr>
      </w:pPr>
      <w:r w:rsidRPr="00143D29">
        <w:rPr>
          <w:rStyle w:val="Refdenotaalpie"/>
          <w:sz w:val="16"/>
          <w:szCs w:val="16"/>
        </w:rPr>
        <w:footnoteRef/>
      </w:r>
      <w:r w:rsidRPr="00143D29">
        <w:rPr>
          <w:sz w:val="16"/>
          <w:szCs w:val="16"/>
          <w:lang w:val="es-ES"/>
        </w:rPr>
        <w:t xml:space="preserve"> </w:t>
      </w:r>
      <w:r w:rsidRPr="00143D29">
        <w:rPr>
          <w:i/>
          <w:sz w:val="16"/>
          <w:szCs w:val="16"/>
          <w:lang w:val="es-ES"/>
        </w:rPr>
        <w:t xml:space="preserve">Cfr. Caso de la “Panel Blanca” (Paniagua Morales y otros) Vs. Guatemala. </w:t>
      </w:r>
      <w:r w:rsidRPr="00143D29">
        <w:rPr>
          <w:rStyle w:val="Textoennegrita"/>
          <w:b w:val="0"/>
          <w:i/>
          <w:color w:val="000000"/>
          <w:sz w:val="16"/>
          <w:szCs w:val="16"/>
          <w:shd w:val="clear" w:color="auto" w:fill="FFFFFF"/>
          <w:lang w:val="es-ES"/>
        </w:rPr>
        <w:t>Fondo</w:t>
      </w:r>
      <w:r w:rsidRPr="00143D29">
        <w:rPr>
          <w:rStyle w:val="Textoennegrita"/>
          <w:b w:val="0"/>
          <w:color w:val="000000"/>
          <w:sz w:val="16"/>
          <w:szCs w:val="16"/>
          <w:shd w:val="clear" w:color="auto" w:fill="FFFFFF"/>
          <w:lang w:val="es-ES"/>
        </w:rPr>
        <w:t xml:space="preserve">. Sentencia de 8 de marzo de 1998. </w:t>
      </w:r>
      <w:r w:rsidRPr="00143D29">
        <w:rPr>
          <w:rStyle w:val="Textoennegrita"/>
          <w:b w:val="0"/>
          <w:color w:val="000000"/>
          <w:sz w:val="16"/>
          <w:szCs w:val="16"/>
          <w:shd w:val="clear" w:color="auto" w:fill="FFFFFF"/>
        </w:rPr>
        <w:t>Serie C No. 37</w:t>
      </w:r>
      <w:r w:rsidRPr="00143D29">
        <w:rPr>
          <w:sz w:val="16"/>
          <w:szCs w:val="16"/>
          <w:lang w:val="es-ES"/>
        </w:rPr>
        <w:t xml:space="preserve">, párr. 76, y </w:t>
      </w:r>
      <w:r w:rsidRPr="00143D29">
        <w:rPr>
          <w:rStyle w:val="Textoennegrita"/>
          <w:b w:val="0"/>
          <w:i/>
          <w:color w:val="000000"/>
          <w:sz w:val="16"/>
          <w:szCs w:val="16"/>
          <w:shd w:val="clear" w:color="auto" w:fill="FFFFFF"/>
          <w:lang w:val="es-ES"/>
        </w:rPr>
        <w:t>Caso Tenorio Roca</w:t>
      </w:r>
      <w:r w:rsidRPr="00143D29">
        <w:rPr>
          <w:rStyle w:val="Textoennegrita"/>
          <w:b w:val="0"/>
          <w:color w:val="000000"/>
          <w:sz w:val="16"/>
          <w:szCs w:val="16"/>
          <w:shd w:val="clear" w:color="auto" w:fill="FFFFFF"/>
          <w:lang w:val="es-ES"/>
        </w:rPr>
        <w:t>, párr. 45</w:t>
      </w:r>
      <w:r w:rsidRPr="00143D29">
        <w:rPr>
          <w:sz w:val="16"/>
          <w:szCs w:val="16"/>
          <w:lang w:val="es-ES"/>
        </w:rPr>
        <w:t>.</w:t>
      </w:r>
    </w:p>
  </w:footnote>
  <w:footnote w:id="62">
    <w:p w14:paraId="2F87DE8D" w14:textId="77777777" w:rsidR="00D4299B" w:rsidRPr="00143D29" w:rsidRDefault="00D4299B" w:rsidP="00D761C7">
      <w:pPr>
        <w:pStyle w:val="Textonotapie"/>
        <w:tabs>
          <w:tab w:val="clear" w:pos="4419"/>
          <w:tab w:val="clear" w:pos="8838"/>
          <w:tab w:val="right" w:pos="0"/>
        </w:tabs>
        <w:spacing w:after="20"/>
        <w:rPr>
          <w:i/>
          <w:lang w:val="es-ES"/>
        </w:rPr>
      </w:pPr>
      <w:r w:rsidRPr="00143D29">
        <w:rPr>
          <w:rStyle w:val="Refdenotaalpie"/>
          <w:szCs w:val="16"/>
        </w:rPr>
        <w:footnoteRef/>
      </w:r>
      <w:r w:rsidRPr="00143D29">
        <w:rPr>
          <w:lang w:val="es-ES"/>
        </w:rPr>
        <w:t xml:space="preserve"> </w:t>
      </w:r>
      <w:r w:rsidRPr="00143D29">
        <w:rPr>
          <w:i/>
          <w:lang w:val="es-ES"/>
        </w:rPr>
        <w:t xml:space="preserve">Cfr. Caso Loayza Tamayo Vs. Perú. Fondo. </w:t>
      </w:r>
      <w:r w:rsidRPr="00143D29">
        <w:rPr>
          <w:lang w:val="es-ES"/>
        </w:rPr>
        <w:t xml:space="preserve">Sentencia de 17 de septiembre de 1997. Serie C No. 33, párr. 43, y </w:t>
      </w:r>
      <w:r w:rsidRPr="00143D29">
        <w:rPr>
          <w:rStyle w:val="Textoennegrita"/>
          <w:b w:val="0"/>
          <w:i/>
          <w:color w:val="000000"/>
          <w:shd w:val="clear" w:color="auto" w:fill="FFFFFF"/>
          <w:lang w:val="es-ES"/>
        </w:rPr>
        <w:t>Caso Tenorio Roca</w:t>
      </w:r>
      <w:r w:rsidRPr="00143D29">
        <w:rPr>
          <w:rStyle w:val="Textoennegrita"/>
          <w:b w:val="0"/>
          <w:color w:val="000000"/>
          <w:shd w:val="clear" w:color="auto" w:fill="FFFFFF"/>
          <w:lang w:val="es-ES"/>
        </w:rPr>
        <w:t>, párr. 46</w:t>
      </w:r>
      <w:r w:rsidRPr="00143D29">
        <w:rPr>
          <w:lang w:val="es-ES"/>
        </w:rPr>
        <w:t xml:space="preserve">. </w:t>
      </w:r>
    </w:p>
  </w:footnote>
  <w:footnote w:id="63">
    <w:p w14:paraId="0A71A51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23 (expediente de prueba, folio 163).</w:t>
      </w:r>
    </w:p>
  </w:footnote>
  <w:footnote w:id="64">
    <w:p w14:paraId="44D7ED80" w14:textId="77777777" w:rsidR="00D4299B" w:rsidRPr="00143D29" w:rsidRDefault="00D4299B" w:rsidP="00D761C7">
      <w:pPr>
        <w:tabs>
          <w:tab w:val="clear" w:pos="4419"/>
          <w:tab w:val="clear" w:pos="8838"/>
          <w:tab w:val="right" w:pos="0"/>
        </w:tabs>
        <w:autoSpaceDE w:val="0"/>
        <w:autoSpaceDN w:val="0"/>
        <w:adjustRightInd w:val="0"/>
        <w:spacing w:after="20"/>
        <w:jc w:val="both"/>
        <w:rPr>
          <w:rFonts w:cs="Arial"/>
          <w:sz w:val="16"/>
          <w:szCs w:val="16"/>
          <w:lang w:val="es-ES"/>
        </w:rPr>
      </w:pPr>
      <w:r w:rsidRPr="00143D29">
        <w:rPr>
          <w:rStyle w:val="Refdenotaalpie"/>
          <w:sz w:val="16"/>
          <w:szCs w:val="16"/>
        </w:rPr>
        <w:footnoteRef/>
      </w:r>
      <w:r w:rsidRPr="00143D29">
        <w:rPr>
          <w:sz w:val="16"/>
          <w:szCs w:val="16"/>
          <w:lang w:val="es-ES"/>
        </w:rPr>
        <w:t xml:space="preserve"> Informe de la Relatora Especial sobre las formas contemporáneas de la esclavitud, incluidas sus causas y consecuencias,</w:t>
      </w:r>
      <w:r w:rsidRPr="00143D29">
        <w:rPr>
          <w:rFonts w:cs="Arial"/>
          <w:i/>
          <w:iCs/>
          <w:sz w:val="16"/>
          <w:szCs w:val="16"/>
          <w:lang w:val="es-ES"/>
        </w:rPr>
        <w:t xml:space="preserve"> </w:t>
      </w:r>
      <w:proofErr w:type="spellStart"/>
      <w:r w:rsidRPr="00143D29">
        <w:rPr>
          <w:rFonts w:cs="Arial"/>
          <w:sz w:val="16"/>
          <w:szCs w:val="16"/>
          <w:lang w:val="es-ES"/>
        </w:rPr>
        <w:t>Gulnara</w:t>
      </w:r>
      <w:proofErr w:type="spellEnd"/>
      <w:r w:rsidRPr="00143D29">
        <w:rPr>
          <w:rFonts w:cs="Arial"/>
          <w:sz w:val="16"/>
          <w:szCs w:val="16"/>
          <w:lang w:val="es-ES"/>
        </w:rPr>
        <w:t xml:space="preserve"> </w:t>
      </w:r>
      <w:proofErr w:type="spellStart"/>
      <w:r w:rsidRPr="00143D29">
        <w:rPr>
          <w:rFonts w:cs="Arial"/>
          <w:sz w:val="16"/>
          <w:szCs w:val="16"/>
          <w:lang w:val="es-ES"/>
        </w:rPr>
        <w:t>Shahinian</w:t>
      </w:r>
      <w:proofErr w:type="spellEnd"/>
      <w:r w:rsidRPr="00143D29">
        <w:rPr>
          <w:rFonts w:cs="Arial"/>
          <w:sz w:val="16"/>
          <w:szCs w:val="16"/>
          <w:lang w:val="es-ES"/>
        </w:rPr>
        <w:t xml:space="preserve">. Misión a Brasil, 30 de agosto de 2010, </w:t>
      </w:r>
      <w:proofErr w:type="spellStart"/>
      <w:r w:rsidRPr="00143D29">
        <w:rPr>
          <w:rFonts w:cs="Arial"/>
          <w:sz w:val="16"/>
          <w:szCs w:val="16"/>
          <w:lang w:val="es-ES"/>
        </w:rPr>
        <w:t>párrs</w:t>
      </w:r>
      <w:proofErr w:type="spellEnd"/>
      <w:r w:rsidRPr="00143D29">
        <w:rPr>
          <w:rFonts w:cs="Arial"/>
          <w:sz w:val="16"/>
          <w:szCs w:val="16"/>
          <w:lang w:val="es-ES"/>
        </w:rPr>
        <w:t>. 24 y 25 (expediente de prueba, folio 163).</w:t>
      </w:r>
    </w:p>
  </w:footnote>
  <w:footnote w:id="65">
    <w:p w14:paraId="2ABF2889" w14:textId="77777777" w:rsidR="00D4299B" w:rsidRPr="00143D29" w:rsidRDefault="00D4299B" w:rsidP="00D761C7">
      <w:pPr>
        <w:tabs>
          <w:tab w:val="clear" w:pos="4419"/>
          <w:tab w:val="clear" w:pos="8838"/>
          <w:tab w:val="right" w:pos="0"/>
        </w:tabs>
        <w:autoSpaceDE w:val="0"/>
        <w:autoSpaceDN w:val="0"/>
        <w:adjustRightInd w:val="0"/>
        <w:spacing w:after="20"/>
        <w:jc w:val="both"/>
        <w:rPr>
          <w:rFonts w:cs="Arial"/>
          <w:sz w:val="16"/>
          <w:szCs w:val="16"/>
          <w:lang w:val="es-ES"/>
        </w:rPr>
      </w:pPr>
      <w:r w:rsidRPr="00143D29">
        <w:rPr>
          <w:rStyle w:val="Refdenotaalpie"/>
          <w:sz w:val="16"/>
          <w:szCs w:val="16"/>
        </w:rPr>
        <w:footnoteRef/>
      </w:r>
      <w:r w:rsidRPr="00143D29">
        <w:rPr>
          <w:sz w:val="16"/>
          <w:szCs w:val="16"/>
          <w:lang w:val="es-ES"/>
        </w:rPr>
        <w:t xml:space="preserve"> </w:t>
      </w:r>
      <w:r w:rsidRPr="00143D29">
        <w:rPr>
          <w:rFonts w:cs="Arial"/>
          <w:sz w:val="16"/>
          <w:szCs w:val="16"/>
          <w:lang w:val="es-ES"/>
        </w:rPr>
        <w:t xml:space="preserve">Organización Internacional del Trabajo (OIT). </w:t>
      </w:r>
      <w:r w:rsidRPr="00143D29">
        <w:rPr>
          <w:rFonts w:cs="Arial"/>
          <w:sz w:val="16"/>
          <w:szCs w:val="16"/>
          <w:lang w:val="pt-BR"/>
        </w:rPr>
        <w:t xml:space="preserve">Combatendo o Trabalho escravo contemporâneo: o exemplo do Brasil. </w:t>
      </w:r>
      <w:proofErr w:type="spellStart"/>
      <w:r w:rsidRPr="00143D29">
        <w:rPr>
          <w:rFonts w:cs="Arial"/>
          <w:sz w:val="16"/>
          <w:szCs w:val="16"/>
          <w:lang w:val="es-ES"/>
        </w:rPr>
        <w:t>Brasília</w:t>
      </w:r>
      <w:proofErr w:type="spellEnd"/>
      <w:r w:rsidRPr="00143D29">
        <w:rPr>
          <w:rFonts w:cs="Arial"/>
          <w:sz w:val="16"/>
          <w:szCs w:val="16"/>
          <w:lang w:val="es-ES"/>
        </w:rPr>
        <w:t>, 2010, pág. 61 (expediente de prueba, folio 364).</w:t>
      </w:r>
    </w:p>
  </w:footnote>
  <w:footnote w:id="66">
    <w:p w14:paraId="0282CBDE" w14:textId="77777777" w:rsidR="00D4299B" w:rsidRPr="00143D29" w:rsidRDefault="00D4299B" w:rsidP="00D761C7">
      <w:pPr>
        <w:tabs>
          <w:tab w:val="clear" w:pos="4419"/>
          <w:tab w:val="clear" w:pos="8838"/>
          <w:tab w:val="right" w:pos="0"/>
        </w:tabs>
        <w:autoSpaceDE w:val="0"/>
        <w:autoSpaceDN w:val="0"/>
        <w:adjustRightInd w:val="0"/>
        <w:spacing w:after="20"/>
        <w:jc w:val="both"/>
        <w:rPr>
          <w:rFonts w:cs="Arial"/>
          <w:sz w:val="16"/>
          <w:szCs w:val="16"/>
          <w:lang w:val="es-ES"/>
        </w:rPr>
      </w:pPr>
      <w:r w:rsidRPr="00143D29">
        <w:rPr>
          <w:rStyle w:val="Refdenotaalpie"/>
          <w:sz w:val="16"/>
          <w:szCs w:val="16"/>
        </w:rPr>
        <w:footnoteRef/>
      </w:r>
      <w:r w:rsidRPr="00143D29">
        <w:rPr>
          <w:sz w:val="16"/>
          <w:szCs w:val="16"/>
          <w:lang w:val="es-ES"/>
        </w:rPr>
        <w:t xml:space="preserve"> </w:t>
      </w:r>
      <w:r w:rsidRPr="00143D29">
        <w:rPr>
          <w:rFonts w:cs="Arial"/>
          <w:sz w:val="16"/>
          <w:szCs w:val="16"/>
          <w:lang w:val="es-ES"/>
        </w:rPr>
        <w:t xml:space="preserve">Organización Internacional del Trabajo (OIT). </w:t>
      </w:r>
      <w:r w:rsidRPr="00143D29">
        <w:rPr>
          <w:rFonts w:cs="Arial"/>
          <w:sz w:val="16"/>
          <w:szCs w:val="16"/>
          <w:lang w:val="pt-BR"/>
        </w:rPr>
        <w:t xml:space="preserve">Combatendo o Trabalho escravo contemporâneo: o exemplo do Brasil. </w:t>
      </w:r>
      <w:proofErr w:type="spellStart"/>
      <w:r w:rsidRPr="00143D29">
        <w:rPr>
          <w:rFonts w:cs="Arial"/>
          <w:sz w:val="16"/>
          <w:szCs w:val="16"/>
          <w:lang w:val="es-ES"/>
        </w:rPr>
        <w:t>Brasília</w:t>
      </w:r>
      <w:proofErr w:type="spellEnd"/>
      <w:r w:rsidRPr="00143D29">
        <w:rPr>
          <w:rFonts w:cs="Arial"/>
          <w:sz w:val="16"/>
          <w:szCs w:val="16"/>
          <w:lang w:val="es-ES"/>
        </w:rPr>
        <w:t>, 2010, pág. 63 (expediente de prueba, folio 366).</w:t>
      </w:r>
    </w:p>
  </w:footnote>
  <w:footnote w:id="67">
    <w:p w14:paraId="6ED3AAAF" w14:textId="77777777" w:rsidR="00D4299B" w:rsidRPr="00143D29" w:rsidRDefault="00D4299B" w:rsidP="00D761C7">
      <w:pPr>
        <w:tabs>
          <w:tab w:val="clear" w:pos="4419"/>
          <w:tab w:val="clear" w:pos="8838"/>
          <w:tab w:val="right" w:pos="0"/>
        </w:tabs>
        <w:autoSpaceDE w:val="0"/>
        <w:autoSpaceDN w:val="0"/>
        <w:adjustRightInd w:val="0"/>
        <w:spacing w:after="20"/>
        <w:jc w:val="both"/>
        <w:rPr>
          <w:rFonts w:cs="Arial"/>
          <w:sz w:val="16"/>
          <w:szCs w:val="16"/>
          <w:lang w:val="es-ES"/>
        </w:rPr>
      </w:pPr>
      <w:r w:rsidRPr="00143D29">
        <w:rPr>
          <w:rStyle w:val="Refdenotaalpie"/>
          <w:sz w:val="16"/>
          <w:szCs w:val="16"/>
        </w:rPr>
        <w:footnoteRef/>
      </w:r>
      <w:r w:rsidRPr="00143D29">
        <w:rPr>
          <w:sz w:val="16"/>
          <w:szCs w:val="16"/>
          <w:lang w:val="es-ES"/>
        </w:rPr>
        <w:t xml:space="preserve"> </w:t>
      </w:r>
      <w:r w:rsidRPr="00143D29">
        <w:rPr>
          <w:rFonts w:cs="Arial"/>
          <w:sz w:val="16"/>
          <w:szCs w:val="16"/>
          <w:lang w:val="es-ES"/>
        </w:rPr>
        <w:t xml:space="preserve">Organización Internacional del Trabajo (OIT). </w:t>
      </w:r>
      <w:r w:rsidRPr="00143D29">
        <w:rPr>
          <w:rFonts w:cs="Arial"/>
          <w:sz w:val="16"/>
          <w:szCs w:val="16"/>
          <w:lang w:val="pt-BR"/>
        </w:rPr>
        <w:t xml:space="preserve">Combatendo o Trabalho escravo contemporâneo: o exemplo do Brasil. </w:t>
      </w:r>
      <w:proofErr w:type="spellStart"/>
      <w:r w:rsidRPr="00143D29">
        <w:rPr>
          <w:rFonts w:cs="Arial"/>
          <w:sz w:val="16"/>
          <w:szCs w:val="16"/>
          <w:lang w:val="es-ES"/>
        </w:rPr>
        <w:t>Brasília</w:t>
      </w:r>
      <w:proofErr w:type="spellEnd"/>
      <w:r w:rsidRPr="00143D29">
        <w:rPr>
          <w:rFonts w:cs="Arial"/>
          <w:sz w:val="16"/>
          <w:szCs w:val="16"/>
          <w:lang w:val="es-ES"/>
        </w:rPr>
        <w:t>, 2010, pág. 63 (expediente de prueba, folio 366).</w:t>
      </w:r>
    </w:p>
  </w:footnote>
  <w:footnote w:id="68">
    <w:p w14:paraId="4947EDC4"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 9991), y Organización Internacional del Trabajo (OIT). </w:t>
      </w:r>
      <w:r w:rsidRPr="00143D29">
        <w:rPr>
          <w:rFonts w:cs="Arial"/>
          <w:lang w:val="pt-BR"/>
        </w:rPr>
        <w:t xml:space="preserve">Combatendo o Trabalho escravo contemporâneo: o exemplo do Brasil. Brasília, 2010, pág. 31 (expediente de </w:t>
      </w:r>
      <w:proofErr w:type="spellStart"/>
      <w:r w:rsidRPr="00143D29">
        <w:rPr>
          <w:rFonts w:cs="Arial"/>
          <w:lang w:val="pt-BR"/>
        </w:rPr>
        <w:t>prueba</w:t>
      </w:r>
      <w:proofErr w:type="spellEnd"/>
      <w:r w:rsidRPr="00143D29">
        <w:rPr>
          <w:rFonts w:cs="Arial"/>
          <w:lang w:val="pt-BR"/>
        </w:rPr>
        <w:t>, folio 334).</w:t>
      </w:r>
    </w:p>
  </w:footnote>
  <w:footnote w:id="69">
    <w:p w14:paraId="67796239" w14:textId="77777777" w:rsidR="00D4299B" w:rsidRPr="00143D29" w:rsidRDefault="00D4299B" w:rsidP="00D761C7">
      <w:pPr>
        <w:pStyle w:val="Textonotapie"/>
        <w:tabs>
          <w:tab w:val="clear" w:pos="4419"/>
          <w:tab w:val="clear" w:pos="8838"/>
          <w:tab w:val="right" w:pos="0"/>
        </w:tabs>
        <w:spacing w:after="20"/>
        <w:rPr>
          <w:lang w:val="es-CR"/>
        </w:rPr>
      </w:pPr>
      <w:r w:rsidRPr="00143D29">
        <w:rPr>
          <w:rStyle w:val="Refdenotaalpie"/>
          <w:szCs w:val="16"/>
          <w:lang w:val="es-ES"/>
        </w:rPr>
        <w:footnoteRef/>
      </w:r>
      <w:r w:rsidRPr="00143D29">
        <w:rPr>
          <w:lang w:val="es-CR"/>
        </w:rPr>
        <w:t xml:space="preserve"> Organización Internacional del Trabajo (OIT). </w:t>
      </w:r>
      <w:r w:rsidRPr="00143D29">
        <w:rPr>
          <w:lang w:val="pt-BR"/>
        </w:rPr>
        <w:t xml:space="preserve">Combatendo o Trabalho escravo contemporâneo: o exemplo do Brasil. </w:t>
      </w:r>
      <w:proofErr w:type="spellStart"/>
      <w:r w:rsidRPr="00143D29">
        <w:rPr>
          <w:lang w:val="es-CR"/>
        </w:rPr>
        <w:t>Brasília</w:t>
      </w:r>
      <w:proofErr w:type="spellEnd"/>
      <w:r w:rsidRPr="00143D29">
        <w:rPr>
          <w:lang w:val="es-CR"/>
        </w:rPr>
        <w:t>, 2010, pág. 56 (expediente de prueba, folio 359).</w:t>
      </w:r>
    </w:p>
  </w:footnote>
  <w:footnote w:id="70">
    <w:p w14:paraId="36BA25B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28 (expediente de prueba, folio 163).</w:t>
      </w:r>
    </w:p>
  </w:footnote>
  <w:footnote w:id="71">
    <w:p w14:paraId="1E466EE5" w14:textId="77777777" w:rsidR="00D4299B" w:rsidRPr="00143D29" w:rsidRDefault="00D4299B" w:rsidP="00D761C7">
      <w:pPr>
        <w:tabs>
          <w:tab w:val="clear" w:pos="4419"/>
          <w:tab w:val="clear" w:pos="8838"/>
          <w:tab w:val="right" w:pos="0"/>
        </w:tabs>
        <w:autoSpaceDE w:val="0"/>
        <w:autoSpaceDN w:val="0"/>
        <w:adjustRightInd w:val="0"/>
        <w:spacing w:after="20"/>
        <w:jc w:val="both"/>
        <w:rPr>
          <w:rFonts w:cs="Arial"/>
          <w:sz w:val="16"/>
          <w:szCs w:val="16"/>
          <w:lang w:val="es-ES"/>
        </w:rPr>
      </w:pPr>
      <w:r w:rsidRPr="00143D29">
        <w:rPr>
          <w:rStyle w:val="Refdenotaalpie"/>
          <w:sz w:val="16"/>
          <w:szCs w:val="16"/>
        </w:rPr>
        <w:footnoteRef/>
      </w:r>
      <w:r w:rsidRPr="00143D29">
        <w:rPr>
          <w:sz w:val="16"/>
          <w:szCs w:val="16"/>
          <w:lang w:val="es-ES"/>
        </w:rPr>
        <w:t xml:space="preserve"> Peritaje escrito de Raquel </w:t>
      </w:r>
      <w:proofErr w:type="spellStart"/>
      <w:r w:rsidRPr="00143D29">
        <w:rPr>
          <w:sz w:val="16"/>
          <w:szCs w:val="16"/>
          <w:lang w:val="es-ES"/>
        </w:rPr>
        <w:t>Elias</w:t>
      </w:r>
      <w:proofErr w:type="spellEnd"/>
      <w:r w:rsidRPr="00143D29">
        <w:rPr>
          <w:sz w:val="16"/>
          <w:szCs w:val="16"/>
          <w:lang w:val="es-ES"/>
        </w:rPr>
        <w:t xml:space="preserve"> Ferreira Dodge de 18 de febrero de 2016 (expediente de prueba folio 15365). Informe de la Relatora Especial sobre las formas contemporáneas de la esclavitud, incluidas sus causas y consecuencias,</w:t>
      </w:r>
      <w:r w:rsidRPr="00143D29">
        <w:rPr>
          <w:rFonts w:cs="Arial"/>
          <w:i/>
          <w:iCs/>
          <w:sz w:val="16"/>
          <w:szCs w:val="16"/>
          <w:lang w:val="es-ES"/>
        </w:rPr>
        <w:t xml:space="preserve"> </w:t>
      </w:r>
      <w:proofErr w:type="spellStart"/>
      <w:r w:rsidRPr="00143D29">
        <w:rPr>
          <w:rFonts w:cs="Arial"/>
          <w:sz w:val="16"/>
          <w:szCs w:val="16"/>
          <w:lang w:val="es-ES"/>
        </w:rPr>
        <w:t>Gulnara</w:t>
      </w:r>
      <w:proofErr w:type="spellEnd"/>
      <w:r w:rsidRPr="00143D29">
        <w:rPr>
          <w:rFonts w:cs="Arial"/>
          <w:sz w:val="16"/>
          <w:szCs w:val="16"/>
          <w:lang w:val="es-ES"/>
        </w:rPr>
        <w:t xml:space="preserve"> </w:t>
      </w:r>
      <w:proofErr w:type="spellStart"/>
      <w:r w:rsidRPr="00143D29">
        <w:rPr>
          <w:rFonts w:cs="Arial"/>
          <w:sz w:val="16"/>
          <w:szCs w:val="16"/>
          <w:lang w:val="es-ES"/>
        </w:rPr>
        <w:t>Shahinian</w:t>
      </w:r>
      <w:proofErr w:type="spellEnd"/>
      <w:r w:rsidRPr="00143D29">
        <w:rPr>
          <w:rFonts w:cs="Arial"/>
          <w:sz w:val="16"/>
          <w:szCs w:val="16"/>
          <w:lang w:val="es-ES"/>
        </w:rPr>
        <w:t>. Misión a Brasil, 30 de agosto de 2010, párr. 28 (expediente de prueba, folio 163).</w:t>
      </w:r>
    </w:p>
  </w:footnote>
  <w:footnote w:id="72">
    <w:p w14:paraId="0F19199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Peritaje escrito de Raquel </w:t>
      </w:r>
      <w:proofErr w:type="spellStart"/>
      <w:r w:rsidRPr="00143D29">
        <w:rPr>
          <w:lang w:val="es-ES"/>
        </w:rPr>
        <w:t>Elias</w:t>
      </w:r>
      <w:proofErr w:type="spellEnd"/>
      <w:r w:rsidRPr="00143D29">
        <w:rPr>
          <w:lang w:val="es-ES"/>
        </w:rPr>
        <w:t xml:space="preserve"> Ferreira Dodge de 18 de febrero de 2016 (expediente de prueba folio 15365). </w:t>
      </w:r>
    </w:p>
  </w:footnote>
  <w:footnote w:id="73">
    <w:p w14:paraId="50F86E6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29 (expediente de prueba, folio 163).</w:t>
      </w:r>
    </w:p>
  </w:footnote>
  <w:footnote w:id="74">
    <w:p w14:paraId="65AF70F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de Leonardo </w:t>
      </w:r>
      <w:proofErr w:type="spellStart"/>
      <w:r w:rsidRPr="00143D29">
        <w:rPr>
          <w:lang w:val="es-ES"/>
        </w:rPr>
        <w:t>Sakamoto</w:t>
      </w:r>
      <w:proofErr w:type="spellEnd"/>
      <w:r w:rsidRPr="00143D29">
        <w:rPr>
          <w:lang w:val="es-ES"/>
        </w:rPr>
        <w:t xml:space="preserve"> en audiencia pública. Peritaje escrito de Raquel </w:t>
      </w:r>
      <w:proofErr w:type="spellStart"/>
      <w:r w:rsidRPr="00143D29">
        <w:rPr>
          <w:lang w:val="es-ES"/>
        </w:rPr>
        <w:t>Elias</w:t>
      </w:r>
      <w:proofErr w:type="spellEnd"/>
      <w:r w:rsidRPr="00143D29">
        <w:rPr>
          <w:lang w:val="es-ES"/>
        </w:rPr>
        <w:t xml:space="preserve"> Ferreira Dodge de 18 de febrero de 2016 (expediente de prueba folio 15368).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xml:space="preserve">. Misión a Brasil, 30 de agosto de 2010, </w:t>
      </w:r>
      <w:proofErr w:type="spellStart"/>
      <w:r w:rsidRPr="00143D29">
        <w:rPr>
          <w:rFonts w:cs="Arial"/>
          <w:lang w:val="es-ES"/>
        </w:rPr>
        <w:t>párrs</w:t>
      </w:r>
      <w:proofErr w:type="spellEnd"/>
      <w:r w:rsidRPr="00143D29">
        <w:rPr>
          <w:rFonts w:cs="Arial"/>
          <w:lang w:val="es-ES"/>
        </w:rPr>
        <w:t>. 15 a 40 (expediente de prueba, folio 163).</w:t>
      </w:r>
    </w:p>
  </w:footnote>
  <w:footnote w:id="75">
    <w:p w14:paraId="168E1CA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 el término empleado para designar a las personas que contactan, reclutan, trasladan y en algunos casos también vigilan a los trabajadores desde sus estados de origen hasta las Haciendas. Ver, entre otros, las declaraciones testimoniales ante la Corte de Leonardo </w:t>
      </w:r>
      <w:proofErr w:type="spellStart"/>
      <w:r w:rsidRPr="00143D29">
        <w:rPr>
          <w:lang w:val="es-ES"/>
        </w:rPr>
        <w:t>Sakamoto</w:t>
      </w:r>
      <w:proofErr w:type="spellEnd"/>
      <w:r w:rsidRPr="00143D29">
        <w:rPr>
          <w:lang w:val="es-ES"/>
        </w:rPr>
        <w:t xml:space="preserve">, Ana Paula de Sousa y Raquel Dodge. </w:t>
      </w:r>
    </w:p>
  </w:footnote>
  <w:footnote w:id="76">
    <w:p w14:paraId="64EF34B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 10003). </w:t>
      </w:r>
      <w:r w:rsidRPr="00143D29">
        <w:rPr>
          <w:lang w:val="es-ES"/>
        </w:rPr>
        <w:t xml:space="preserve">Peritaje escrito de Raquel </w:t>
      </w:r>
      <w:proofErr w:type="spellStart"/>
      <w:r w:rsidRPr="00143D29">
        <w:rPr>
          <w:lang w:val="es-ES"/>
        </w:rPr>
        <w:t>Elias</w:t>
      </w:r>
      <w:proofErr w:type="spellEnd"/>
      <w:r w:rsidRPr="00143D29">
        <w:rPr>
          <w:lang w:val="es-ES"/>
        </w:rPr>
        <w:t xml:space="preserve"> Ferreira Dodge de 18 de febrero de 2016 (expediente de prueba folio 15366). Testimonio de Ana Paula de Souza en audiencia pública.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31 (expediente de prueba, folio 164).</w:t>
      </w:r>
    </w:p>
  </w:footnote>
  <w:footnote w:id="77">
    <w:p w14:paraId="47C589A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folios 10006 y 10007). </w:t>
      </w:r>
      <w:r w:rsidRPr="00143D29">
        <w:rPr>
          <w:lang w:val="es-ES"/>
        </w:rPr>
        <w:t>Testimonio de Ana Paula de Souza en audiencia pública.</w:t>
      </w:r>
      <w:r w:rsidRPr="00143D29">
        <w:rPr>
          <w:rFonts w:cs="Arial"/>
          <w:lang w:val="es-ES"/>
        </w:rPr>
        <w:t xml:space="preserve"> </w:t>
      </w:r>
      <w:r w:rsidRPr="00143D29">
        <w:rPr>
          <w:lang w:val="es-ES"/>
        </w:rPr>
        <w:t>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31 (expediente de prueba, folio 164).</w:t>
      </w:r>
    </w:p>
  </w:footnote>
  <w:footnote w:id="78">
    <w:p w14:paraId="003F72B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 10004). </w:t>
      </w:r>
      <w:r w:rsidRPr="00143D29">
        <w:rPr>
          <w:lang w:val="es-ES"/>
        </w:rPr>
        <w:t xml:space="preserve">Testimonio de Ana Paula de Souza en audiencia pública. Peritaje escrito de Raquel </w:t>
      </w:r>
      <w:proofErr w:type="spellStart"/>
      <w:r w:rsidRPr="00143D29">
        <w:rPr>
          <w:lang w:val="es-ES"/>
        </w:rPr>
        <w:t>Elias</w:t>
      </w:r>
      <w:proofErr w:type="spellEnd"/>
      <w:r w:rsidRPr="00143D29">
        <w:rPr>
          <w:lang w:val="es-ES"/>
        </w:rPr>
        <w:t xml:space="preserve"> Ferreira Dodge de 18 de febrero de 2016 (expediente de prueba folio 15368).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32 (expediente de prueba, folio 164).</w:t>
      </w:r>
    </w:p>
  </w:footnote>
  <w:footnote w:id="79">
    <w:p w14:paraId="1D217BA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 10005).</w:t>
      </w:r>
    </w:p>
  </w:footnote>
  <w:footnote w:id="80">
    <w:p w14:paraId="28926C7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 10004). </w:t>
      </w:r>
      <w:r w:rsidRPr="00143D29">
        <w:rPr>
          <w:lang w:val="es-ES"/>
        </w:rPr>
        <w:t xml:space="preserve">Peritaje escrito de Raquel </w:t>
      </w:r>
      <w:proofErr w:type="spellStart"/>
      <w:r w:rsidRPr="00143D29">
        <w:rPr>
          <w:lang w:val="es-ES"/>
        </w:rPr>
        <w:t>Elias</w:t>
      </w:r>
      <w:proofErr w:type="spellEnd"/>
      <w:r w:rsidRPr="00143D29">
        <w:rPr>
          <w:lang w:val="es-ES"/>
        </w:rPr>
        <w:t xml:space="preserve"> Ferreira Dodge de 18 de febrero de 2016 (expediente de prueba folios 15372 y 15373). Testimonio de Ana Paula de Souza en audiencia pública.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Misión a Brasil, 30 de agosto de 2010, párr. 33 (expediente de prueba, folio 164).</w:t>
      </w:r>
    </w:p>
  </w:footnote>
  <w:footnote w:id="81">
    <w:p w14:paraId="145830E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de Leonardo </w:t>
      </w:r>
      <w:proofErr w:type="spellStart"/>
      <w:r w:rsidRPr="00143D29">
        <w:rPr>
          <w:lang w:val="es-ES"/>
        </w:rPr>
        <w:t>Sakamoto</w:t>
      </w:r>
      <w:proofErr w:type="spellEnd"/>
      <w:r w:rsidRPr="00143D29">
        <w:rPr>
          <w:lang w:val="es-ES"/>
        </w:rPr>
        <w:t xml:space="preserve"> en audiencia pública. Informe de la Relatora Especial sobre las formas contemporáneas de la esclavitud, incluidas sus causas y consecuencias,</w:t>
      </w:r>
      <w:r w:rsidRPr="00143D29">
        <w:rPr>
          <w:rFonts w:cs="Arial"/>
          <w:i/>
          <w:iCs/>
          <w:lang w:val="es-ES"/>
        </w:rPr>
        <w:t xml:space="preserve"> </w:t>
      </w:r>
      <w:proofErr w:type="spellStart"/>
      <w:r w:rsidRPr="00143D29">
        <w:rPr>
          <w:rFonts w:cs="Arial"/>
          <w:lang w:val="es-ES"/>
        </w:rPr>
        <w:t>Gulnara</w:t>
      </w:r>
      <w:proofErr w:type="spellEnd"/>
      <w:r w:rsidRPr="00143D29">
        <w:rPr>
          <w:rFonts w:cs="Arial"/>
          <w:lang w:val="es-ES"/>
        </w:rPr>
        <w:t xml:space="preserve"> </w:t>
      </w:r>
      <w:proofErr w:type="spellStart"/>
      <w:r w:rsidRPr="00143D29">
        <w:rPr>
          <w:rFonts w:cs="Arial"/>
          <w:lang w:val="es-ES"/>
        </w:rPr>
        <w:t>Shahinian</w:t>
      </w:r>
      <w:proofErr w:type="spellEnd"/>
      <w:r w:rsidRPr="00143D29">
        <w:rPr>
          <w:rFonts w:cs="Arial"/>
          <w:lang w:val="es-ES"/>
        </w:rPr>
        <w:t xml:space="preserve">. Misión a Brasil, 30 de agosto de 2010, párr. 35 (expediente de prueba, folio 164). </w:t>
      </w:r>
    </w:p>
  </w:footnote>
  <w:footnote w:id="82">
    <w:p w14:paraId="1658EAAF"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es-ES"/>
        </w:rPr>
        <w:t xml:space="preserve"> Testimonio de Leonardo </w:t>
      </w:r>
      <w:proofErr w:type="spellStart"/>
      <w:r w:rsidRPr="00143D29">
        <w:rPr>
          <w:lang w:val="es-ES"/>
        </w:rPr>
        <w:t>Sakamoto</w:t>
      </w:r>
      <w:proofErr w:type="spellEnd"/>
      <w:r w:rsidRPr="00143D29">
        <w:rPr>
          <w:lang w:val="es-ES"/>
        </w:rPr>
        <w:t xml:space="preserve"> en audiencia pública. Organización Internacional del Trabajo (OIT). </w:t>
      </w:r>
      <w:r w:rsidRPr="00143D29">
        <w:rPr>
          <w:lang w:val="pt-BR"/>
        </w:rPr>
        <w:t xml:space="preserve">Combatendo o Trabalho escravo contemporâneo: o exemplo do Brasil. Brasília, 2010, pág. 68 (expediente de </w:t>
      </w:r>
      <w:proofErr w:type="spellStart"/>
      <w:r w:rsidRPr="00143D29">
        <w:rPr>
          <w:lang w:val="pt-BR"/>
        </w:rPr>
        <w:t>prueba</w:t>
      </w:r>
      <w:proofErr w:type="spellEnd"/>
      <w:r w:rsidRPr="00143D29">
        <w:rPr>
          <w:lang w:val="pt-BR"/>
        </w:rPr>
        <w:t>, folio 371).</w:t>
      </w:r>
    </w:p>
  </w:footnote>
  <w:footnote w:id="83">
    <w:p w14:paraId="6C2FEA1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Ministerio del Trabajo y Empleo de Brasil. Manual de combate al trabajo en condiciones análogas a las de esclavo. Noviembre de 2011 (expediente</w:t>
      </w:r>
      <w:r w:rsidRPr="00143D29">
        <w:rPr>
          <w:rFonts w:cs="Arial"/>
          <w:lang w:val="es-ES"/>
        </w:rPr>
        <w:t xml:space="preserve"> de prueba, folio 9991). </w:t>
      </w:r>
      <w:r w:rsidRPr="00143D29">
        <w:rPr>
          <w:lang w:val="es-ES"/>
        </w:rPr>
        <w:t xml:space="preserve">Ver, entre otros, Declaración del </w:t>
      </w:r>
      <w:proofErr w:type="gramStart"/>
      <w:r w:rsidRPr="00143D29">
        <w:rPr>
          <w:lang w:val="es-ES"/>
        </w:rPr>
        <w:t>Presidente</w:t>
      </w:r>
      <w:proofErr w:type="gramEnd"/>
      <w:r w:rsidRPr="00143D29">
        <w:rPr>
          <w:lang w:val="es-ES"/>
        </w:rPr>
        <w:t xml:space="preserve"> de la República Fernando Henrique Cardoso el 27 de junio de 1995: “Todavía existen brasileños que trabajan sin libertad. Pero antiguamente los </w:t>
      </w:r>
      <w:proofErr w:type="gramStart"/>
      <w:r w:rsidRPr="00143D29">
        <w:rPr>
          <w:lang w:val="es-ES"/>
        </w:rPr>
        <w:t>esclavos  tenían</w:t>
      </w:r>
      <w:proofErr w:type="gramEnd"/>
      <w:r w:rsidRPr="00143D29">
        <w:rPr>
          <w:lang w:val="es-ES"/>
        </w:rPr>
        <w:t xml:space="preserve"> un propietario. Los esclavos del Brasil moderno cambian de dueño y nunca saben lo que les espera el día siguiente. [...] Trabajo esclavo es aquel que priva la libertad de ir y venir del trabajador. Eso ocurre, principalmente, en el Sur de Pará. Más de 8o% de las denuncias que llegan al Ministerio del Trabajo son de Pará. En haciendas que </w:t>
      </w:r>
      <w:proofErr w:type="gramStart"/>
      <w:r w:rsidRPr="00143D29">
        <w:rPr>
          <w:lang w:val="es-ES"/>
        </w:rPr>
        <w:t>hacen  deforestación</w:t>
      </w:r>
      <w:proofErr w:type="gramEnd"/>
      <w:r w:rsidRPr="00143D29">
        <w:rPr>
          <w:lang w:val="es-ES"/>
        </w:rPr>
        <w:t>, por ejemplo, el trabajador esclavo es vigilado 24 horas por día, por pistoleros muy bien armados. […] su deuda aumenta, no recibe nada al final del mes y es obligado a continuar trabajando para pagar la deuda […] El día de hoy estoy firmando un Decreto para crear un grupo ejecutivo de represión al trabajo forzoso […] La primera tarea será definir sanciones realmente rigurosas para esas personas que transforman brasileños en esclavos. […] ¡El problema del trabajo esclavo y del trabajo degradante, en Brasil, es muy, pero muy grave! Felizmente, no solamente el Gobierno se moviliza para combatirlo. Varias entidades de la sociedad civil, como la Comisión Pastoral de la Tierra, también están actuando. Ese problema debe ser enfrentado así: con la unión de esfuerzos y sin intereses políticos o religiosos […] ¡Es un llamado a esos brasileños que son esclavizados y a sus familias: denuncien! […] ¡Necesitamos hacer un esfuerzo nacional para cumplir, definitivamente, la Ley Áurea</w:t>
      </w:r>
      <w:proofErr w:type="gramStart"/>
      <w:r w:rsidRPr="00143D29">
        <w:rPr>
          <w:lang w:val="es-ES"/>
        </w:rPr>
        <w:t>!”(</w:t>
      </w:r>
      <w:proofErr w:type="gramEnd"/>
      <w:r w:rsidRPr="00143D29">
        <w:rPr>
          <w:lang w:val="es-ES"/>
        </w:rPr>
        <w:t>traducción de la Secretaría) (expediente de prueba, folio 7108).</w:t>
      </w:r>
    </w:p>
  </w:footnote>
  <w:footnote w:id="84">
    <w:p w14:paraId="0534DFE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rendido mediante affidávit de José Armando Fraga Diniz Guerra de 28 de enero de 2016 (expediente</w:t>
      </w:r>
      <w:r w:rsidRPr="00143D29">
        <w:rPr>
          <w:rFonts w:cs="Arial"/>
          <w:lang w:val="es-ES"/>
        </w:rPr>
        <w:t xml:space="preserve"> de prueba, folio 13314). </w:t>
      </w:r>
    </w:p>
  </w:footnote>
  <w:footnote w:id="85">
    <w:p w14:paraId="587F8A4C"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es-ES"/>
        </w:rPr>
        <w:t xml:space="preserve"> Organización Internacional del Trabajo (OIT). </w:t>
      </w:r>
      <w:r w:rsidRPr="00143D29">
        <w:rPr>
          <w:lang w:val="pt-BR"/>
        </w:rPr>
        <w:t xml:space="preserve">Combatendo o Trabalho escravo contemporâneo: o exemplo do Brasil. Brasília, 2010, pág. 126 (expediente de </w:t>
      </w:r>
      <w:proofErr w:type="spellStart"/>
      <w:r w:rsidRPr="00143D29">
        <w:rPr>
          <w:lang w:val="pt-BR"/>
        </w:rPr>
        <w:t>prueba</w:t>
      </w:r>
      <w:proofErr w:type="spellEnd"/>
      <w:r w:rsidRPr="00143D29">
        <w:rPr>
          <w:lang w:val="pt-BR"/>
        </w:rPr>
        <w:t>, folio 427).</w:t>
      </w:r>
    </w:p>
  </w:footnote>
  <w:footnote w:id="86">
    <w:p w14:paraId="2FE96179"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w:t>
      </w:r>
      <w:proofErr w:type="spellStart"/>
      <w:r w:rsidRPr="00143D29">
        <w:rPr>
          <w:lang w:val="pt-BR"/>
        </w:rPr>
        <w:t>Testimonio</w:t>
      </w:r>
      <w:proofErr w:type="spellEnd"/>
      <w:r w:rsidRPr="00143D29">
        <w:rPr>
          <w:lang w:val="pt-BR"/>
        </w:rPr>
        <w:t xml:space="preserve"> rendido mediante </w:t>
      </w:r>
      <w:proofErr w:type="spellStart"/>
      <w:r w:rsidRPr="00143D29">
        <w:rPr>
          <w:lang w:val="pt-BR"/>
        </w:rPr>
        <w:t>affidávit</w:t>
      </w:r>
      <w:proofErr w:type="spellEnd"/>
      <w:r w:rsidRPr="00143D29">
        <w:rPr>
          <w:lang w:val="pt-BR"/>
        </w:rPr>
        <w:t xml:space="preserve"> de Jonas </w:t>
      </w:r>
      <w:proofErr w:type="spellStart"/>
      <w:r w:rsidRPr="00143D29">
        <w:rPr>
          <w:lang w:val="pt-BR"/>
        </w:rPr>
        <w:t>Ratier</w:t>
      </w:r>
      <w:proofErr w:type="spellEnd"/>
      <w:r w:rsidRPr="00143D29">
        <w:rPr>
          <w:lang w:val="pt-BR"/>
        </w:rPr>
        <w:t xml:space="preserve"> Moreno de 29 de </w:t>
      </w:r>
      <w:proofErr w:type="spellStart"/>
      <w:r w:rsidRPr="00143D29">
        <w:rPr>
          <w:lang w:val="pt-BR"/>
        </w:rPr>
        <w:t>enero</w:t>
      </w:r>
      <w:proofErr w:type="spellEnd"/>
      <w:r w:rsidRPr="00143D29">
        <w:rPr>
          <w:lang w:val="pt-BR"/>
        </w:rPr>
        <w:t xml:space="preserve"> de 2016 (expediente</w:t>
      </w:r>
      <w:r w:rsidRPr="00143D29">
        <w:rPr>
          <w:rFonts w:cs="Arial"/>
          <w:lang w:val="pt-BR"/>
        </w:rPr>
        <w:t xml:space="preserve"> de </w:t>
      </w:r>
      <w:proofErr w:type="spellStart"/>
      <w:r w:rsidRPr="00143D29">
        <w:rPr>
          <w:rFonts w:cs="Arial"/>
          <w:lang w:val="pt-BR"/>
        </w:rPr>
        <w:t>prueba</w:t>
      </w:r>
      <w:proofErr w:type="spellEnd"/>
      <w:r w:rsidRPr="00143D29">
        <w:rPr>
          <w:rFonts w:cs="Arial"/>
          <w:lang w:val="pt-BR"/>
        </w:rPr>
        <w:t>, folio 13327).</w:t>
      </w:r>
    </w:p>
  </w:footnote>
  <w:footnote w:id="87">
    <w:p w14:paraId="274D2CF6"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es-ES"/>
        </w:rPr>
        <w:t xml:space="preserve"> Ministerio del Trabajo y Empleo de Brasil. Trabajo Esclavo en Brasil en retrospectiva: referencias para estudios e investigaciones. Enero de 2012 (expediente</w:t>
      </w:r>
      <w:r w:rsidRPr="00143D29">
        <w:rPr>
          <w:rFonts w:cs="Arial"/>
          <w:lang w:val="es-ES"/>
        </w:rPr>
        <w:t xml:space="preserve"> de prueba, folio 9958). Organización Internacional del Trabajo (OIT). </w:t>
      </w:r>
      <w:r w:rsidRPr="00143D29">
        <w:rPr>
          <w:rFonts w:cs="Arial"/>
          <w:lang w:val="pt-BR"/>
        </w:rPr>
        <w:t xml:space="preserve">Combatendo o Trabalho escravo contemporâneo: o exemplo do Brasil. Brasília, 2010, pág. 126 (expediente de </w:t>
      </w:r>
      <w:proofErr w:type="spellStart"/>
      <w:r w:rsidRPr="00143D29">
        <w:rPr>
          <w:rFonts w:cs="Arial"/>
          <w:lang w:val="pt-BR"/>
        </w:rPr>
        <w:t>prueba</w:t>
      </w:r>
      <w:proofErr w:type="spellEnd"/>
      <w:r w:rsidRPr="00143D29">
        <w:rPr>
          <w:rFonts w:cs="Arial"/>
          <w:lang w:val="pt-BR"/>
        </w:rPr>
        <w:t xml:space="preserve">, folio 427). </w:t>
      </w:r>
    </w:p>
  </w:footnote>
  <w:footnote w:id="88">
    <w:p w14:paraId="56C2903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rendido mediante afidávit de </w:t>
      </w:r>
      <w:proofErr w:type="spellStart"/>
      <w:r w:rsidRPr="00143D29">
        <w:rPr>
          <w:lang w:val="es-ES"/>
        </w:rPr>
        <w:t>Jonas</w:t>
      </w:r>
      <w:proofErr w:type="spellEnd"/>
      <w:r w:rsidRPr="00143D29">
        <w:rPr>
          <w:lang w:val="es-ES"/>
        </w:rPr>
        <w:t xml:space="preserve"> </w:t>
      </w:r>
      <w:proofErr w:type="spellStart"/>
      <w:r w:rsidRPr="00143D29">
        <w:rPr>
          <w:lang w:val="es-ES"/>
        </w:rPr>
        <w:t>Ratier</w:t>
      </w:r>
      <w:proofErr w:type="spellEnd"/>
      <w:r w:rsidRPr="00143D29">
        <w:rPr>
          <w:lang w:val="es-ES"/>
        </w:rPr>
        <w:t xml:space="preserve"> Moreno de 29 de enero de 2016 (expediente</w:t>
      </w:r>
      <w:r w:rsidRPr="00143D29">
        <w:rPr>
          <w:rFonts w:cs="Arial"/>
          <w:lang w:val="es-ES"/>
        </w:rPr>
        <w:t xml:space="preserve"> de prueba, folio 13327).</w:t>
      </w:r>
    </w:p>
  </w:footnote>
  <w:footnote w:id="89">
    <w:p w14:paraId="0123665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rendido mediante afidávit de </w:t>
      </w:r>
      <w:proofErr w:type="spellStart"/>
      <w:r w:rsidRPr="00143D29">
        <w:rPr>
          <w:lang w:val="es-ES"/>
        </w:rPr>
        <w:t>Jonas</w:t>
      </w:r>
      <w:proofErr w:type="spellEnd"/>
      <w:r w:rsidRPr="00143D29">
        <w:rPr>
          <w:lang w:val="es-ES"/>
        </w:rPr>
        <w:t xml:space="preserve"> </w:t>
      </w:r>
      <w:proofErr w:type="spellStart"/>
      <w:r w:rsidRPr="00143D29">
        <w:rPr>
          <w:lang w:val="es-ES"/>
        </w:rPr>
        <w:t>Ratier</w:t>
      </w:r>
      <w:proofErr w:type="spellEnd"/>
      <w:r w:rsidRPr="00143D29">
        <w:rPr>
          <w:lang w:val="es-ES"/>
        </w:rPr>
        <w:t xml:space="preserve"> Moreno de 29 de enero de 2016 (expediente</w:t>
      </w:r>
      <w:r w:rsidRPr="00143D29">
        <w:rPr>
          <w:rFonts w:cs="Arial"/>
          <w:lang w:val="es-ES"/>
        </w:rPr>
        <w:t xml:space="preserve"> de prueba, folio 13327).</w:t>
      </w:r>
    </w:p>
  </w:footnote>
  <w:footnote w:id="90">
    <w:p w14:paraId="4619378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de Leonardo </w:t>
      </w:r>
      <w:proofErr w:type="spellStart"/>
      <w:r w:rsidRPr="00143D29">
        <w:rPr>
          <w:lang w:val="es-ES"/>
        </w:rPr>
        <w:t>Sakamoto</w:t>
      </w:r>
      <w:proofErr w:type="spellEnd"/>
      <w:r w:rsidRPr="00143D29">
        <w:rPr>
          <w:lang w:val="es-ES"/>
        </w:rPr>
        <w:t xml:space="preserve"> en audiencia pública. Organización Internacional del Trabajo (OIT). </w:t>
      </w:r>
      <w:r w:rsidRPr="00143D29">
        <w:rPr>
          <w:lang w:val="pt-BR"/>
        </w:rPr>
        <w:t xml:space="preserve">Combatendo o Trabalho escravo contemporâneo: o exemplo do Brasil. Brasília, 2010, pág. 146 (expediente de </w:t>
      </w:r>
      <w:proofErr w:type="spellStart"/>
      <w:r w:rsidRPr="00143D29">
        <w:rPr>
          <w:lang w:val="pt-BR"/>
        </w:rPr>
        <w:t>prueba</w:t>
      </w:r>
      <w:proofErr w:type="spellEnd"/>
      <w:r w:rsidRPr="00143D29">
        <w:rPr>
          <w:lang w:val="pt-BR"/>
        </w:rPr>
        <w:t xml:space="preserve">, folio 447). </w:t>
      </w:r>
      <w:r w:rsidRPr="00143D29">
        <w:rPr>
          <w:lang w:val="es-ES"/>
        </w:rPr>
        <w:t xml:space="preserve">La publicación de la “lista sucia” fue suspendida el 23 de diciembre de 2014 como resultado de la resolución de la Acción Directa de Inconstitucionalidad No. 5.209 (expediente de prueba, folio 7301). Posteriormente, fue reinstaurada a través de la Decisión Interministerial No. 2 el 31 de marzo de 2015 (expediente de prueba, folio 7409). Testimonio rendido mediante afidávit de </w:t>
      </w:r>
      <w:proofErr w:type="spellStart"/>
      <w:r w:rsidRPr="00143D29">
        <w:rPr>
          <w:lang w:val="es-ES"/>
        </w:rPr>
        <w:t>Jonas</w:t>
      </w:r>
      <w:proofErr w:type="spellEnd"/>
      <w:r w:rsidRPr="00143D29">
        <w:rPr>
          <w:lang w:val="es-ES"/>
        </w:rPr>
        <w:t xml:space="preserve"> </w:t>
      </w:r>
      <w:proofErr w:type="spellStart"/>
      <w:r w:rsidRPr="00143D29">
        <w:rPr>
          <w:lang w:val="es-ES"/>
        </w:rPr>
        <w:t>Ratier</w:t>
      </w:r>
      <w:proofErr w:type="spellEnd"/>
      <w:r w:rsidRPr="00143D29">
        <w:rPr>
          <w:lang w:val="es-ES"/>
        </w:rPr>
        <w:t xml:space="preserve"> Moreno de 29 de enero de 2016 (expediente</w:t>
      </w:r>
      <w:r w:rsidRPr="00143D29">
        <w:rPr>
          <w:rFonts w:cs="Arial"/>
          <w:lang w:val="es-ES"/>
        </w:rPr>
        <w:t xml:space="preserve"> de prueba, folio 13328).</w:t>
      </w:r>
    </w:p>
  </w:footnote>
  <w:footnote w:id="91">
    <w:p w14:paraId="5074D4F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rFonts w:cs="Arial"/>
          <w:bCs/>
          <w:lang w:val="es-ES"/>
        </w:rPr>
        <w:t xml:space="preserve">Segundo </w:t>
      </w:r>
      <w:r w:rsidRPr="00143D29">
        <w:rPr>
          <w:rFonts w:cs="Arial"/>
          <w:lang w:val="es-ES"/>
        </w:rPr>
        <w:t xml:space="preserve">Plan Nacional para la erradicación de la esclavitud (expediente de prueba, folio 7189). </w:t>
      </w:r>
      <w:r w:rsidRPr="00143D29">
        <w:rPr>
          <w:lang w:val="es-ES"/>
        </w:rPr>
        <w:t>Ministerio del Trabajo y Empleo de Brasil. Trabajo Esclavo en Brasil en retrospectiva: referencias para estudios e investigaciones. Enero de 2012 (expediente</w:t>
      </w:r>
      <w:r w:rsidRPr="00143D29">
        <w:rPr>
          <w:rFonts w:cs="Arial"/>
          <w:lang w:val="es-ES"/>
        </w:rPr>
        <w:t xml:space="preserve"> de prueba, folio 9961). </w:t>
      </w:r>
      <w:r w:rsidRPr="00143D29">
        <w:rPr>
          <w:lang w:val="es-ES"/>
        </w:rPr>
        <w:t xml:space="preserve">Testimonio rendido mediante affidávit de </w:t>
      </w:r>
      <w:proofErr w:type="spellStart"/>
      <w:r w:rsidRPr="00143D29">
        <w:rPr>
          <w:lang w:val="es-ES"/>
        </w:rPr>
        <w:t>Jonas</w:t>
      </w:r>
      <w:proofErr w:type="spellEnd"/>
      <w:r w:rsidRPr="00143D29">
        <w:rPr>
          <w:lang w:val="es-ES"/>
        </w:rPr>
        <w:t xml:space="preserve"> </w:t>
      </w:r>
      <w:proofErr w:type="spellStart"/>
      <w:r w:rsidRPr="00143D29">
        <w:rPr>
          <w:lang w:val="es-ES"/>
        </w:rPr>
        <w:t>Ratier</w:t>
      </w:r>
      <w:proofErr w:type="spellEnd"/>
      <w:r w:rsidRPr="00143D29">
        <w:rPr>
          <w:lang w:val="es-ES"/>
        </w:rPr>
        <w:t xml:space="preserve"> Moreno de 29 de enero de 2016 (expediente</w:t>
      </w:r>
      <w:r w:rsidRPr="00143D29">
        <w:rPr>
          <w:rFonts w:cs="Arial"/>
          <w:lang w:val="es-ES"/>
        </w:rPr>
        <w:t xml:space="preserve"> de prueba, folio 13329).</w:t>
      </w:r>
    </w:p>
  </w:footnote>
  <w:footnote w:id="92">
    <w:p w14:paraId="2D1A1A1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rendido mediante affidávit de Michael Freitas </w:t>
      </w:r>
      <w:proofErr w:type="spellStart"/>
      <w:r w:rsidRPr="00143D29">
        <w:rPr>
          <w:lang w:val="es-ES"/>
        </w:rPr>
        <w:t>Mohallem</w:t>
      </w:r>
      <w:proofErr w:type="spellEnd"/>
      <w:r w:rsidRPr="00143D29">
        <w:rPr>
          <w:lang w:val="es-ES"/>
        </w:rPr>
        <w:t xml:space="preserve"> de 4 de febrero de 2016 (expediente</w:t>
      </w:r>
      <w:r w:rsidRPr="00143D29">
        <w:rPr>
          <w:rFonts w:cs="Arial"/>
          <w:lang w:val="es-ES"/>
        </w:rPr>
        <w:t xml:space="preserve"> de prueba, folio 14089).</w:t>
      </w:r>
    </w:p>
  </w:footnote>
  <w:footnote w:id="93">
    <w:p w14:paraId="5D6887F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Testimonio rendido mediante affidávit de </w:t>
      </w:r>
      <w:proofErr w:type="spellStart"/>
      <w:r w:rsidRPr="00143D29">
        <w:rPr>
          <w:lang w:val="es-ES"/>
        </w:rPr>
        <w:t>Jonas</w:t>
      </w:r>
      <w:proofErr w:type="spellEnd"/>
      <w:r w:rsidRPr="00143D29">
        <w:rPr>
          <w:lang w:val="es-ES"/>
        </w:rPr>
        <w:t xml:space="preserve"> </w:t>
      </w:r>
      <w:proofErr w:type="spellStart"/>
      <w:r w:rsidRPr="00143D29">
        <w:rPr>
          <w:lang w:val="es-ES"/>
        </w:rPr>
        <w:t>Ratier</w:t>
      </w:r>
      <w:proofErr w:type="spellEnd"/>
      <w:r w:rsidRPr="00143D29">
        <w:rPr>
          <w:lang w:val="es-ES"/>
        </w:rPr>
        <w:t xml:space="preserve"> Moreno de 29 de enero de 2016 (expediente</w:t>
      </w:r>
      <w:r w:rsidRPr="00143D29">
        <w:rPr>
          <w:rFonts w:cs="Arial"/>
          <w:lang w:val="es-ES"/>
        </w:rPr>
        <w:t xml:space="preserve"> de prueba, folio 13329).</w:t>
      </w:r>
    </w:p>
  </w:footnote>
  <w:footnote w:id="94">
    <w:p w14:paraId="0E35599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Organización Internacional del Trabajo (OIT). </w:t>
      </w:r>
      <w:r w:rsidRPr="00143D29">
        <w:rPr>
          <w:lang w:val="pt-BR"/>
        </w:rPr>
        <w:t xml:space="preserve">Combatendo o Trabalho escravo contemporâneo: o exemplo do Brasil. </w:t>
      </w:r>
      <w:proofErr w:type="spellStart"/>
      <w:r w:rsidRPr="00143D29">
        <w:rPr>
          <w:lang w:val="es-ES"/>
        </w:rPr>
        <w:t>Brasília</w:t>
      </w:r>
      <w:proofErr w:type="spellEnd"/>
      <w:r w:rsidRPr="00143D29">
        <w:rPr>
          <w:lang w:val="es-ES"/>
        </w:rPr>
        <w:t>, 2010, pág. 145 (expediente de prueba, folio 446).</w:t>
      </w:r>
    </w:p>
  </w:footnote>
  <w:footnote w:id="95">
    <w:p w14:paraId="2FB9B7B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Decreto de Ley No. 5.452 de 1 de mayo de 1943 (expediente de prueba, folio 6188).</w:t>
      </w:r>
    </w:p>
  </w:footnote>
  <w:footnote w:id="96">
    <w:p w14:paraId="02C8B4A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Ley No. 5.889 de 8 de junio de 1973 (expediente de prueba, folio 6316).</w:t>
      </w:r>
    </w:p>
  </w:footnote>
  <w:footnote w:id="97">
    <w:p w14:paraId="68C6483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Artículo 7 de la Constitución Política de la República Federativa de Brasil de 1988.</w:t>
      </w:r>
    </w:p>
  </w:footnote>
  <w:footnote w:id="98">
    <w:p w14:paraId="19CD945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Artículo 149 del Código Penal brasileño de 1940. </w:t>
      </w:r>
    </w:p>
  </w:footnote>
  <w:footnote w:id="99">
    <w:p w14:paraId="7EC0B21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Artículo 197 del Código Penal brasileño de 1940: Constreñir a alguien, mediante violencia o grave amenaza: I - a ejercer o no ejercer un oficio, profesión o industria, o a trabajar o no trabajar durante un cierto período o en ciertos días: Pena - detención de un (1) mes a 1 (un) año y multa, además de la pena correspondiente a la violencia; II - a abrir o cerrar su local de trabajo, o a asistir al paro de la actividad económica: Pena - detención de 3 (tres) meses a un (1) año y multa, además de la pena correspondiente a la violencia. (traducción de la Secretaría)</w:t>
      </w:r>
    </w:p>
  </w:footnote>
  <w:footnote w:id="100">
    <w:p w14:paraId="417CBFB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Artículo 207 Código Penal brasileño: Atraer trabajadores de una localidad a otra del territorio nacional. Art. 207 - Atraer a trabajadores, con el fin de llevarlos de una localidad a otra del territorio nacional: Pena - reclusión de uno a tres años y multa. § 1 En la misma pena incurre quien reclutar a trabajadores fuera de la ubicación de ejecución del trabajo, dentro del territorio nacional, a través de fraude o cobro de cualquier cantidad al trabajador, o incluso no garantizar las condiciones para su retorno al lugar de origen. § 2 La pena se aumentará en una sexta a una tercera parte si la víctima es menor de dieciocho años de edad, anciano, mujer embarazada, indígena o portador de discapacidad física o mental. (traducción de la Secretaría)</w:t>
      </w:r>
    </w:p>
  </w:footnote>
  <w:footnote w:id="101">
    <w:p w14:paraId="69D3EBD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Instrucción Normativa Intersecretarial No. 1 de 24 de marzo de 1994 (expediente de prueba, folio 6427).</w:t>
      </w:r>
    </w:p>
  </w:footnote>
  <w:footnote w:id="102">
    <w:p w14:paraId="020C0DA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Instrucción Normativa Intersecretarial No. 65 de 31 de julio de 2006 (expediente de prueba, folio 6432).</w:t>
      </w:r>
    </w:p>
  </w:footnote>
  <w:footnote w:id="103">
    <w:p w14:paraId="2373572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Superintendencia Regional de Pará, Policía Federal (expediente de prueba, folio 550).</w:t>
      </w:r>
    </w:p>
  </w:footnote>
  <w:footnote w:id="104">
    <w:p w14:paraId="1AE3CE4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Auto de fiscalización (expediente de prueba, folio 548).</w:t>
      </w:r>
    </w:p>
  </w:footnote>
  <w:footnote w:id="105">
    <w:p w14:paraId="306CAF5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Orden de Misión 018/89 (expediente de prueba, folio 554).</w:t>
      </w:r>
    </w:p>
  </w:footnote>
  <w:footnote w:id="106">
    <w:p w14:paraId="548E7B2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Denuncia a Policía Federal de 21 de diciembre de 1988 (expediente de prueba, folio 7428).</w:t>
      </w:r>
    </w:p>
  </w:footnote>
  <w:footnote w:id="107">
    <w:p w14:paraId="7916B6D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Denuncia a Policía Federal de 21 de diciembre de 1988 (expediente de prueba, folio 7428).</w:t>
      </w:r>
    </w:p>
  </w:footnote>
  <w:footnote w:id="108">
    <w:p w14:paraId="7771611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Vegetación/maleza que crece en los campos de cultivo y que es necesario retirar para sembrar la tierra.</w:t>
      </w:r>
    </w:p>
  </w:footnote>
  <w:footnote w:id="109">
    <w:p w14:paraId="53A6D3D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w:t>
      </w:r>
      <w:proofErr w:type="spellStart"/>
      <w:r w:rsidRPr="00143D29">
        <w:rPr>
          <w:rFonts w:cs="Arial"/>
          <w:lang w:val="es-ES"/>
        </w:rPr>
        <w:t>Adailton</w:t>
      </w:r>
      <w:proofErr w:type="spellEnd"/>
      <w:r w:rsidRPr="00143D29">
        <w:rPr>
          <w:rFonts w:cs="Arial"/>
          <w:lang w:val="es-ES"/>
        </w:rPr>
        <w:t xml:space="preserve"> </w:t>
      </w:r>
      <w:proofErr w:type="spellStart"/>
      <w:r w:rsidRPr="00143D29">
        <w:rPr>
          <w:rFonts w:cs="Arial"/>
          <w:lang w:val="es-ES"/>
        </w:rPr>
        <w:t>Martins</w:t>
      </w:r>
      <w:proofErr w:type="spellEnd"/>
      <w:r w:rsidRPr="00143D29">
        <w:rPr>
          <w:rFonts w:cs="Arial"/>
          <w:lang w:val="es-ES"/>
        </w:rPr>
        <w:t xml:space="preserve"> dos Reis</w:t>
      </w:r>
      <w:r w:rsidRPr="00143D29">
        <w:rPr>
          <w:lang w:val="es-ES"/>
        </w:rPr>
        <w:t xml:space="preserve"> de 21 de diciembre de 1988 (expediente de prueba, folio 558).</w:t>
      </w:r>
    </w:p>
  </w:footnote>
  <w:footnote w:id="110">
    <w:p w14:paraId="4219141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w:t>
      </w:r>
      <w:proofErr w:type="spellStart"/>
      <w:r w:rsidRPr="00143D29">
        <w:rPr>
          <w:rFonts w:cs="Arial"/>
          <w:lang w:val="es-ES"/>
        </w:rPr>
        <w:t>Maria</w:t>
      </w:r>
      <w:proofErr w:type="spellEnd"/>
      <w:r w:rsidRPr="00143D29">
        <w:rPr>
          <w:rFonts w:cs="Arial"/>
          <w:lang w:val="es-ES"/>
        </w:rPr>
        <w:t xml:space="preserve"> Madalena </w:t>
      </w:r>
      <w:proofErr w:type="spellStart"/>
      <w:r w:rsidRPr="00143D29">
        <w:rPr>
          <w:rFonts w:cs="Arial"/>
          <w:lang w:val="es-ES"/>
        </w:rPr>
        <w:t>Vindoura</w:t>
      </w:r>
      <w:proofErr w:type="spellEnd"/>
      <w:r w:rsidRPr="00143D29">
        <w:rPr>
          <w:rFonts w:cs="Arial"/>
          <w:lang w:val="es-ES"/>
        </w:rPr>
        <w:t xml:space="preserve"> dos Santos</w:t>
      </w:r>
      <w:r w:rsidRPr="00143D29">
        <w:rPr>
          <w:lang w:val="es-ES"/>
        </w:rPr>
        <w:t xml:space="preserve"> de 27 de diciembre de 1988 (expediente de prueba, folio 7432).</w:t>
      </w:r>
    </w:p>
  </w:footnote>
  <w:footnote w:id="111">
    <w:p w14:paraId="57250A1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Denuncia </w:t>
      </w:r>
      <w:r w:rsidRPr="00143D29">
        <w:rPr>
          <w:rFonts w:cs="Arial"/>
          <w:lang w:val="es-ES"/>
        </w:rPr>
        <w:t xml:space="preserve">al Consejo de Defensa de los Derechos de la Persona Humana en </w:t>
      </w:r>
      <w:proofErr w:type="spellStart"/>
      <w:r w:rsidRPr="00143D29">
        <w:rPr>
          <w:rFonts w:cs="Arial"/>
          <w:lang w:val="es-ES"/>
        </w:rPr>
        <w:t>Brasília</w:t>
      </w:r>
      <w:proofErr w:type="spellEnd"/>
      <w:r w:rsidRPr="00143D29">
        <w:rPr>
          <w:lang w:val="es-ES"/>
        </w:rPr>
        <w:t xml:space="preserve"> de 25 de enero de 1989 (expediente de prueba, folio 7434).</w:t>
      </w:r>
    </w:p>
  </w:footnote>
  <w:footnote w:id="112">
    <w:p w14:paraId="43016D6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Orden de misión No. 018/89 de 9 de febrero de 1989 (expediente de prueba, folio 7436).</w:t>
      </w:r>
    </w:p>
  </w:footnote>
  <w:footnote w:id="113">
    <w:p w14:paraId="28CFAA3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Agente de la Policía Federal de 24 de febrero de 1989 (expediente de prueba, folio 7439).</w:t>
      </w:r>
    </w:p>
  </w:footnote>
  <w:footnote w:id="114">
    <w:p w14:paraId="41C2D67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Agente de la Policía Federal de 24 de febrero de 1989 (expediente de prueba, folio 7439).</w:t>
      </w:r>
    </w:p>
  </w:footnote>
  <w:footnote w:id="115">
    <w:p w14:paraId="6AAAEAD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enviado a Subprocurador General de la República de 18 de marzo de 1992 (expediente de prueba, folio 7471).</w:t>
      </w:r>
    </w:p>
  </w:footnote>
  <w:footnote w:id="116">
    <w:p w14:paraId="3A01641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706 de la Procuraduría General de la República de 4 de junio de 1992 (expediente de prueba, folio 7473).</w:t>
      </w:r>
    </w:p>
  </w:footnote>
  <w:footnote w:id="117">
    <w:p w14:paraId="6268F86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707 de la Procuraduría General de la República de 4 de junio de 1992 (expediente de prueba, folio 7474).</w:t>
      </w:r>
    </w:p>
  </w:footnote>
  <w:footnote w:id="118">
    <w:p w14:paraId="700F716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1556 de la Procuraduría General de la República de 22 de septiembre de 1992 (expediente de prueba, folio 7476).</w:t>
      </w:r>
    </w:p>
  </w:footnote>
  <w:footnote w:id="119">
    <w:p w14:paraId="1B7E1CF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096/92 de la </w:t>
      </w:r>
      <w:r w:rsidRPr="00143D29">
        <w:rPr>
          <w:rFonts w:cs="Arial"/>
          <w:lang w:val="es-ES"/>
        </w:rPr>
        <w:t>Coordinación Central de Policía del Departamento de Policía Federal</w:t>
      </w:r>
      <w:r w:rsidRPr="00143D29">
        <w:rPr>
          <w:lang w:val="es-ES"/>
        </w:rPr>
        <w:t xml:space="preserve"> de 7 de diciembre de 1992 (expediente de prueba, folio 7478).</w:t>
      </w:r>
    </w:p>
  </w:footnote>
  <w:footnote w:id="120">
    <w:p w14:paraId="5028F6B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096/92 de la </w:t>
      </w:r>
      <w:r w:rsidRPr="00143D29">
        <w:rPr>
          <w:rFonts w:cs="Arial"/>
          <w:lang w:val="es-ES"/>
        </w:rPr>
        <w:t>Coordinación Central de Policía del Departamento de Policía Federal</w:t>
      </w:r>
      <w:r w:rsidRPr="00143D29">
        <w:rPr>
          <w:lang w:val="es-ES"/>
        </w:rPr>
        <w:t xml:space="preserve"> de 7 de diciembre de 1992 (expediente de prueba, folio 7479).</w:t>
      </w:r>
    </w:p>
  </w:footnote>
  <w:footnote w:id="121">
    <w:p w14:paraId="4E8E521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370/93 de la </w:t>
      </w:r>
      <w:r w:rsidRPr="00143D29">
        <w:rPr>
          <w:rFonts w:cs="Arial"/>
          <w:lang w:val="es-ES"/>
        </w:rPr>
        <w:t>Delegación Regional de Trabajo de Pará</w:t>
      </w:r>
      <w:r w:rsidRPr="00143D29">
        <w:rPr>
          <w:lang w:val="es-ES"/>
        </w:rPr>
        <w:t xml:space="preserve"> de 2 de agosto de 1993 (expediente de prueba, folio 7494).</w:t>
      </w:r>
    </w:p>
  </w:footnote>
  <w:footnote w:id="122">
    <w:p w14:paraId="44EFA38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370/93 de la </w:t>
      </w:r>
      <w:r w:rsidRPr="00143D29">
        <w:rPr>
          <w:rFonts w:cs="Arial"/>
          <w:lang w:val="es-ES"/>
        </w:rPr>
        <w:t>Delegación Regional de Trabajo de Pará</w:t>
      </w:r>
      <w:r w:rsidRPr="00143D29">
        <w:rPr>
          <w:lang w:val="es-ES"/>
        </w:rPr>
        <w:t xml:space="preserve"> de 2 de agosto de 1993 (expediente de prueba, folio 7494).</w:t>
      </w:r>
    </w:p>
  </w:footnote>
  <w:footnote w:id="123">
    <w:p w14:paraId="386253B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006 del Subprocurador General de la República de 25 de abril de 1994 (expediente de prueba, folio 566).</w:t>
      </w:r>
    </w:p>
  </w:footnote>
  <w:footnote w:id="124">
    <w:p w14:paraId="2F32076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29 de marzo de 1994 (expediente de prueba, folio 568).</w:t>
      </w:r>
    </w:p>
  </w:footnote>
  <w:footnote w:id="125">
    <w:p w14:paraId="2D53645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29 de marzo de 1994 (expediente de prueba, folios 568 y 569).</w:t>
      </w:r>
    </w:p>
  </w:footnote>
  <w:footnote w:id="126">
    <w:p w14:paraId="733D60F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Registro de inspección de 29 de noviembre de 1996 (expediente de prueba, folio 7523).</w:t>
      </w:r>
    </w:p>
  </w:footnote>
  <w:footnote w:id="127">
    <w:p w14:paraId="14BD5A7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Registro de inspección de 29 de noviembre de 1996 (expediente de prueba, folio 7523).</w:t>
      </w:r>
    </w:p>
  </w:footnote>
  <w:footnote w:id="128">
    <w:p w14:paraId="3F4366C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José da Costa Oliveira </w:t>
      </w:r>
      <w:r w:rsidRPr="00143D29">
        <w:rPr>
          <w:rFonts w:cs="Arial"/>
          <w:lang w:val="es-ES"/>
        </w:rPr>
        <w:t>y José Ferreira dos Santos</w:t>
      </w:r>
      <w:r w:rsidRPr="00143D29">
        <w:rPr>
          <w:lang w:val="es-ES"/>
        </w:rPr>
        <w:t xml:space="preserve"> de 10 de marzo de 1997 (expediente de prueba, folios 845 a 847).</w:t>
      </w:r>
    </w:p>
  </w:footnote>
  <w:footnote w:id="129">
    <w:p w14:paraId="17CBF12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José da Costa Oliveira </w:t>
      </w:r>
      <w:r w:rsidRPr="00143D29">
        <w:rPr>
          <w:rFonts w:cs="Arial"/>
          <w:lang w:val="es-ES"/>
        </w:rPr>
        <w:t>y José Ferreira dos Santos</w:t>
      </w:r>
      <w:r w:rsidRPr="00143D29">
        <w:rPr>
          <w:lang w:val="es-ES"/>
        </w:rPr>
        <w:t xml:space="preserve"> de 10 de marzo de 1997 (expediente de prueba, folios 845 y 846).</w:t>
      </w:r>
    </w:p>
  </w:footnote>
  <w:footnote w:id="130">
    <w:p w14:paraId="05EF833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José da Costa Oliveira </w:t>
      </w:r>
      <w:r w:rsidRPr="00143D29">
        <w:rPr>
          <w:rFonts w:cs="Arial"/>
          <w:lang w:val="es-ES"/>
        </w:rPr>
        <w:t>y José Ferreira dos Santos</w:t>
      </w:r>
      <w:r w:rsidRPr="00143D29">
        <w:rPr>
          <w:lang w:val="es-ES"/>
        </w:rPr>
        <w:t xml:space="preserve"> de 10 de marzo de 1997 (expediente de prueba, folio 846).</w:t>
      </w:r>
    </w:p>
  </w:footnote>
  <w:footnote w:id="131">
    <w:p w14:paraId="5088CBB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visita a la Hacienda Brasil Verde, Grupo Móvil de Trabajo, 23, 28 y 29 de abril de 1997 (expediente de prueba, folios 4629 a 4638).</w:t>
      </w:r>
    </w:p>
  </w:footnote>
  <w:footnote w:id="132">
    <w:p w14:paraId="2AFBE7F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visita a la Hacienda Brasil Verde, Grupo Móvil de Trabajo, 23, 28 y 29 de abril de 1997 (expediente de prueba, folios 4629 y 4630).</w:t>
      </w:r>
    </w:p>
  </w:footnote>
  <w:footnote w:id="133">
    <w:p w14:paraId="1CFE1F2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visita a la Hacienda Brasil Verde, Grupo Móvil de Trabajo, 23, 28 y 29 de abril de 1997 (expediente de prueba, folio 4637).</w:t>
      </w:r>
    </w:p>
  </w:footnote>
  <w:footnote w:id="134">
    <w:p w14:paraId="5BFE1F1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visita a la Hacienda Brasil Verde, Grupo Móvil de Trabajo, 23, 28 y 29 de abril de 1997 (expediente de prueba, folio 4637).</w:t>
      </w:r>
    </w:p>
  </w:footnote>
  <w:footnote w:id="135">
    <w:p w14:paraId="3EFC96B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Denuncia del Ministerio Público Federal de 30 de junio de 1997 (expediente de prueba, folios 4623 y 4625 a 4628).</w:t>
      </w:r>
    </w:p>
  </w:footnote>
  <w:footnote w:id="136">
    <w:p w14:paraId="7B2EDBF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Denuncia del Ministerio Público Federal de 30 de junio de 1997 (expediente de prueba, folios 4623 a 4626).</w:t>
      </w:r>
    </w:p>
  </w:footnote>
  <w:footnote w:id="137">
    <w:p w14:paraId="4FBAA69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Denuncia del Ministerio Público Federal de 30 de junio de 1997 (expediente de prueba, folio 4627).</w:t>
      </w:r>
    </w:p>
  </w:footnote>
  <w:footnote w:id="138">
    <w:p w14:paraId="4695F0D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1183 Juez Federal Titular de </w:t>
      </w:r>
      <w:proofErr w:type="spellStart"/>
      <w:r w:rsidRPr="00143D29">
        <w:rPr>
          <w:lang w:val="es-ES"/>
        </w:rPr>
        <w:t>Marabá</w:t>
      </w:r>
      <w:proofErr w:type="spellEnd"/>
      <w:r w:rsidRPr="00143D29">
        <w:rPr>
          <w:lang w:val="es-ES"/>
        </w:rPr>
        <w:t xml:space="preserve"> de 14 de julio de 1997 (expediente de prueba, folio 4711).</w:t>
      </w:r>
    </w:p>
  </w:footnote>
  <w:footnote w:id="139">
    <w:p w14:paraId="0145E10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Decisión del Juez Federal Titular de </w:t>
      </w:r>
      <w:proofErr w:type="spellStart"/>
      <w:r w:rsidRPr="00143D29">
        <w:rPr>
          <w:lang w:val="es-ES"/>
        </w:rPr>
        <w:t>Marabá</w:t>
      </w:r>
      <w:proofErr w:type="spellEnd"/>
      <w:r w:rsidRPr="00143D29">
        <w:rPr>
          <w:lang w:val="es-ES"/>
        </w:rPr>
        <w:t xml:space="preserve"> de 17 de septiembre de 1997 (expediente de prueba, folio 4719).</w:t>
      </w:r>
    </w:p>
  </w:footnote>
  <w:footnote w:id="140">
    <w:p w14:paraId="70D6400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Oficios del Poder Judicial de </w:t>
      </w:r>
      <w:proofErr w:type="spellStart"/>
      <w:r w:rsidRPr="00143D29">
        <w:rPr>
          <w:lang w:val="es-ES"/>
        </w:rPr>
        <w:t>Marabá</w:t>
      </w:r>
      <w:proofErr w:type="spellEnd"/>
      <w:r w:rsidRPr="00143D29">
        <w:rPr>
          <w:lang w:val="es-ES"/>
        </w:rPr>
        <w:t xml:space="preserve"> (expediente de prueba, folios 4722, 4724, 4727, 4728, 4730, 4731, 4732 y 4735).</w:t>
      </w:r>
    </w:p>
  </w:footnote>
  <w:footnote w:id="141">
    <w:p w14:paraId="666323C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del Ministerio Público del Trabajo de 21 de junio de 2001 (expediente de prueba, folio 7525).</w:t>
      </w:r>
    </w:p>
  </w:footnote>
  <w:footnote w:id="142">
    <w:p w14:paraId="045FBF5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7525). </w:t>
      </w:r>
    </w:p>
  </w:footnote>
  <w:footnote w:id="143">
    <w:p w14:paraId="683C3BB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7526).</w:t>
      </w:r>
    </w:p>
  </w:footnote>
  <w:footnote w:id="144">
    <w:p w14:paraId="69CC479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7526).</w:t>
      </w:r>
    </w:p>
  </w:footnote>
  <w:footnote w:id="145">
    <w:p w14:paraId="5CE2E00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7526).</w:t>
      </w:r>
    </w:p>
  </w:footnote>
  <w:footnote w:id="146">
    <w:p w14:paraId="06B8DED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7526).</w:t>
      </w:r>
    </w:p>
  </w:footnote>
  <w:footnote w:id="147">
    <w:p w14:paraId="7D49620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7526).</w:t>
      </w:r>
    </w:p>
  </w:footnote>
  <w:footnote w:id="148">
    <w:p w14:paraId="034184E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Audiencia preliminar de 13 de septiembre de 1999 (expediente de prueba, folio 4765).</w:t>
      </w:r>
    </w:p>
  </w:footnote>
  <w:footnote w:id="149">
    <w:p w14:paraId="0395335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Escrito de João </w:t>
      </w:r>
      <w:proofErr w:type="spellStart"/>
      <w:r w:rsidRPr="00143D29">
        <w:rPr>
          <w:lang w:val="es-ES"/>
        </w:rPr>
        <w:t>Luiz</w:t>
      </w:r>
      <w:proofErr w:type="spellEnd"/>
      <w:r w:rsidRPr="00143D29">
        <w:rPr>
          <w:lang w:val="es-ES"/>
        </w:rPr>
        <w:t xml:space="preserve"> </w:t>
      </w:r>
      <w:proofErr w:type="spellStart"/>
      <w:r w:rsidRPr="00143D29">
        <w:rPr>
          <w:lang w:val="es-ES"/>
        </w:rPr>
        <w:t>Quagliato</w:t>
      </w:r>
      <w:proofErr w:type="spellEnd"/>
      <w:r w:rsidRPr="00143D29">
        <w:rPr>
          <w:lang w:val="es-ES"/>
        </w:rPr>
        <w:t xml:space="preserve"> Neto de 14 de septiembre de 1999 (expediente de prueba, folio 4767).</w:t>
      </w:r>
    </w:p>
  </w:footnote>
  <w:footnote w:id="150">
    <w:p w14:paraId="0DE06AA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Decisión del Juez Federal sustituto de </w:t>
      </w:r>
      <w:proofErr w:type="spellStart"/>
      <w:r w:rsidRPr="00143D29">
        <w:rPr>
          <w:lang w:val="es-ES"/>
        </w:rPr>
        <w:t>Marabá</w:t>
      </w:r>
      <w:proofErr w:type="spellEnd"/>
      <w:r w:rsidRPr="00143D29">
        <w:rPr>
          <w:lang w:val="es-ES"/>
        </w:rPr>
        <w:t xml:space="preserve"> de 23 de septiembre de 1999 (expediente de prueba, folio 4768).</w:t>
      </w:r>
    </w:p>
  </w:footnote>
  <w:footnote w:id="151">
    <w:p w14:paraId="756765E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Oficios del Poder Judicial de </w:t>
      </w:r>
      <w:proofErr w:type="spellStart"/>
      <w:r w:rsidRPr="00143D29">
        <w:rPr>
          <w:lang w:val="es-ES"/>
        </w:rPr>
        <w:t>Marabá</w:t>
      </w:r>
      <w:proofErr w:type="spellEnd"/>
      <w:r w:rsidRPr="00143D29">
        <w:rPr>
          <w:lang w:val="es-ES"/>
        </w:rPr>
        <w:t xml:space="preserve"> (expediente de prueba, folios 4723, 4725, 4729, 4730, 4732, 4733, 4737 y 4739).</w:t>
      </w:r>
    </w:p>
  </w:footnote>
  <w:footnote w:id="152">
    <w:p w14:paraId="1ABD9EE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Escrito de </w:t>
      </w:r>
      <w:r w:rsidRPr="00143D29">
        <w:rPr>
          <w:rFonts w:cs="Arial"/>
          <w:lang w:val="es-ES"/>
        </w:rPr>
        <w:t>Raimundo Alves de Rocha (expediente</w:t>
      </w:r>
      <w:r w:rsidRPr="00143D29">
        <w:rPr>
          <w:lang w:val="es-ES"/>
        </w:rPr>
        <w:t xml:space="preserve"> de prueba, folio 4750). Escrito de </w:t>
      </w:r>
      <w:proofErr w:type="spellStart"/>
      <w:r w:rsidRPr="00143D29">
        <w:rPr>
          <w:rFonts w:cs="Arial"/>
          <w:lang w:val="es-ES"/>
        </w:rPr>
        <w:t>Antônio</w:t>
      </w:r>
      <w:proofErr w:type="spellEnd"/>
      <w:r w:rsidRPr="00143D29">
        <w:rPr>
          <w:rFonts w:cs="Arial"/>
          <w:lang w:val="es-ES"/>
        </w:rPr>
        <w:t xml:space="preserve"> Vieira (expediente</w:t>
      </w:r>
      <w:r w:rsidRPr="00143D29">
        <w:rPr>
          <w:lang w:val="es-ES"/>
        </w:rPr>
        <w:t xml:space="preserve"> de prueba, folio 4752).</w:t>
      </w:r>
    </w:p>
  </w:footnote>
  <w:footnote w:id="153">
    <w:p w14:paraId="7785104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Declaraciones testimoniales (expediente de prueba, folios 4784 a 4791).</w:t>
      </w:r>
    </w:p>
  </w:footnote>
  <w:footnote w:id="154">
    <w:p w14:paraId="46CF4FC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Decisión del Juez Federal sustituto de </w:t>
      </w:r>
      <w:proofErr w:type="spellStart"/>
      <w:r w:rsidRPr="00143D29">
        <w:rPr>
          <w:lang w:val="es-ES"/>
        </w:rPr>
        <w:t>Marabá</w:t>
      </w:r>
      <w:proofErr w:type="spellEnd"/>
      <w:r w:rsidRPr="00143D29">
        <w:rPr>
          <w:lang w:val="es-ES"/>
        </w:rPr>
        <w:t xml:space="preserve"> de 16 de marzo de 2001 (expediente de prueba, folio 4813 a 4816).</w:t>
      </w:r>
    </w:p>
  </w:footnote>
  <w:footnote w:id="155">
    <w:p w14:paraId="1A33B40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Decisión del Juez Federal sustituto de </w:t>
      </w:r>
      <w:proofErr w:type="spellStart"/>
      <w:r w:rsidRPr="00143D29">
        <w:rPr>
          <w:lang w:val="es-ES"/>
        </w:rPr>
        <w:t>Marabá</w:t>
      </w:r>
      <w:proofErr w:type="spellEnd"/>
      <w:r w:rsidRPr="00143D29">
        <w:rPr>
          <w:lang w:val="es-ES"/>
        </w:rPr>
        <w:t xml:space="preserve"> de 16 de marzo de 2001 (expediente de prueba, folio 4816).</w:t>
      </w:r>
    </w:p>
  </w:footnote>
  <w:footnote w:id="156">
    <w:p w14:paraId="4C8D146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Ratificación de la denuncia (expediente de prueba, folio 4824 a 4826).</w:t>
      </w:r>
    </w:p>
  </w:footnote>
  <w:footnote w:id="157">
    <w:p w14:paraId="5B549A4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Solicitud de declaración de extinción del proceso penal de 28 de mayo de 2002 (expediente de prueba, folio 4900).</w:t>
      </w:r>
    </w:p>
  </w:footnote>
  <w:footnote w:id="158">
    <w:p w14:paraId="57B0182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Resolución del Juez Estadual de 5 de agosto de 2003 (expediente de prueba, folio 5523).</w:t>
      </w:r>
    </w:p>
  </w:footnote>
  <w:footnote w:id="159">
    <w:p w14:paraId="199B28A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Audiencia de recepción de prueba testimonial de 24 de octubre de 2003 (expediente de prueba, folio 5528), y audiencia de recepción de prueba testimonial de 18 de noviembre de 2003 (expediente de prueba, folio 5532).</w:t>
      </w:r>
    </w:p>
  </w:footnote>
  <w:footnote w:id="160">
    <w:p w14:paraId="7074112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Alegatos finales del Ministerio Público de Pará (expediente de prueba, folio 5544 a 5547).</w:t>
      </w:r>
    </w:p>
  </w:footnote>
  <w:footnote w:id="161">
    <w:p w14:paraId="2FC391C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conflicto de competencias (expediente de prueba, folio 5557 a 5560).</w:t>
      </w:r>
    </w:p>
  </w:footnote>
  <w:footnote w:id="162">
    <w:p w14:paraId="7CBCACE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Decisión del Superior Tribunal de Justicia (expediente de prueba, folio 5588).</w:t>
      </w:r>
    </w:p>
  </w:footnote>
  <w:footnote w:id="163">
    <w:p w14:paraId="6D41EE6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Certificado de tránsito de expediente (expediente de prueba, folio 5592).</w:t>
      </w:r>
    </w:p>
  </w:footnote>
  <w:footnote w:id="164">
    <w:p w14:paraId="1565145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Resolución del Juez Federal de 26 de mayo de 2008 (expediente de prueba, folio 5600).</w:t>
      </w:r>
    </w:p>
  </w:footnote>
  <w:footnote w:id="165">
    <w:p w14:paraId="61C9CC0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Alegatos finales del Ministerio Público Federal (expediente de prueba, folio 5616 a 5621).</w:t>
      </w:r>
    </w:p>
  </w:footnote>
  <w:footnote w:id="166">
    <w:p w14:paraId="15A52FD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Alegatos finales del Ministerio Público Federal (expediente de prueba, folios 5619 a 5621).</w:t>
      </w:r>
    </w:p>
  </w:footnote>
  <w:footnote w:id="167">
    <w:p w14:paraId="7D2A0CC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Sentencia de 10 de julio de 2008 (expediente de prueba, folio 5622).</w:t>
      </w:r>
    </w:p>
  </w:footnote>
  <w:footnote w:id="168">
    <w:p w14:paraId="5138D97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Sentencia de 10 de julio de 2008 (expediente de prueba, folio 5622).</w:t>
      </w:r>
    </w:p>
  </w:footnote>
  <w:footnote w:id="169">
    <w:p w14:paraId="0CFB029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7526).</w:t>
      </w:r>
    </w:p>
  </w:footnote>
  <w:footnote w:id="170">
    <w:p w14:paraId="149F57B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7527).</w:t>
      </w:r>
    </w:p>
  </w:footnote>
  <w:footnote w:id="171">
    <w:p w14:paraId="3FF3C5F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7527).</w:t>
      </w:r>
    </w:p>
  </w:footnote>
  <w:footnote w:id="172">
    <w:p w14:paraId="05FD819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(expediente de prueba, folio 7527).</w:t>
      </w:r>
    </w:p>
  </w:footnote>
  <w:footnote w:id="173">
    <w:p w14:paraId="6960A1C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Informe de 31 de marzo de 2000 sobre la fiscalización de la Hacienda Brasil Verde (expediente de prueba, folios 9571 a 9573); declaración de Francisco Fabiano Leandro, recibida durante la diligencia in situ, realizada el 6 de junio de 2016; declaración de Francisco das Chagas Bastos Souza, recibida durante la diligencia in situ, realizada el 6 de junio de 2016, y 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w:t>
      </w:r>
    </w:p>
  </w:footnote>
  <w:footnote w:id="174">
    <w:p w14:paraId="3B2AD357" w14:textId="77777777" w:rsidR="00D4299B" w:rsidRPr="00143D29" w:rsidRDefault="00D4299B" w:rsidP="00D761C7">
      <w:pPr>
        <w:pStyle w:val="Textonotapie"/>
        <w:spacing w:after="20"/>
        <w:rPr>
          <w:lang w:val="es-ES"/>
        </w:rPr>
      </w:pPr>
      <w:r w:rsidRPr="00143D29">
        <w:rPr>
          <w:rStyle w:val="Refdenotaalpie"/>
        </w:rPr>
        <w:footnoteRef/>
      </w:r>
      <w:r w:rsidRPr="00143D29">
        <w:rPr>
          <w:lang w:val="es-ES"/>
        </w:rPr>
        <w:t xml:space="preserve"> “</w:t>
      </w:r>
      <w:proofErr w:type="spellStart"/>
      <w:r w:rsidRPr="00143D29">
        <w:rPr>
          <w:lang w:val="es-ES"/>
        </w:rPr>
        <w:t>Alqueire</w:t>
      </w:r>
      <w:proofErr w:type="spellEnd"/>
      <w:r w:rsidRPr="00143D29">
        <w:rPr>
          <w:lang w:val="es-ES"/>
        </w:rPr>
        <w:t xml:space="preserve">” es una unidad de medida rural usada en determinadas regiones de Brasil. </w:t>
      </w:r>
    </w:p>
  </w:footnote>
  <w:footnote w:id="175">
    <w:p w14:paraId="74FA831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Francisco Fabiano Leandro,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xml:space="preserve">, rendida el 8 de marzo de 2000 (expediente de prueba, folio 1038);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7570), y declaración de </w:t>
      </w:r>
      <w:proofErr w:type="spellStart"/>
      <w:r w:rsidRPr="00143D29">
        <w:rPr>
          <w:lang w:val="es-ES"/>
        </w:rPr>
        <w:t>Vanilson</w:t>
      </w:r>
      <w:proofErr w:type="spellEnd"/>
      <w:r w:rsidRPr="00143D29">
        <w:rPr>
          <w:lang w:val="es-ES"/>
        </w:rPr>
        <w:t xml:space="preserve"> </w:t>
      </w:r>
      <w:proofErr w:type="spellStart"/>
      <w:r w:rsidRPr="00143D29">
        <w:rPr>
          <w:lang w:val="es-ES"/>
        </w:rPr>
        <w:t>Rodrigues</w:t>
      </w:r>
      <w:proofErr w:type="spellEnd"/>
      <w:r w:rsidRPr="00143D29">
        <w:rPr>
          <w:lang w:val="es-ES"/>
        </w:rPr>
        <w:t xml:space="preserve"> </w:t>
      </w:r>
      <w:proofErr w:type="spellStart"/>
      <w:r w:rsidRPr="00143D29">
        <w:rPr>
          <w:lang w:val="es-ES"/>
        </w:rPr>
        <w:t>Fernandes</w:t>
      </w:r>
      <w:proofErr w:type="spellEnd"/>
      <w:r w:rsidRPr="00143D29">
        <w:rPr>
          <w:lang w:val="es-ES"/>
        </w:rPr>
        <w:t xml:space="preserve">, Fiscal de Trabajo, rendida ante el Juzgado de </w:t>
      </w:r>
      <w:proofErr w:type="spellStart"/>
      <w:r w:rsidRPr="00143D29">
        <w:rPr>
          <w:lang w:val="es-ES"/>
        </w:rPr>
        <w:t>Marabá</w:t>
      </w:r>
      <w:proofErr w:type="spellEnd"/>
      <w:r w:rsidRPr="00143D29">
        <w:rPr>
          <w:lang w:val="es-ES"/>
        </w:rPr>
        <w:t>, en relación con la fiscalización de 1997 (expediente de prueba, folio 4787).</w:t>
      </w:r>
    </w:p>
  </w:footnote>
  <w:footnote w:id="176">
    <w:p w14:paraId="498455C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Oficio PRT 8ª 2357/2001, de 21 de junio de 2001, folio 9573.</w:t>
      </w:r>
    </w:p>
  </w:footnote>
  <w:footnote w:id="177">
    <w:p w14:paraId="74DAE118"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sz w:val="16"/>
          <w:szCs w:val="16"/>
        </w:rPr>
        <w:t xml:space="preserve">Declaración de Marcos </w:t>
      </w:r>
      <w:proofErr w:type="spellStart"/>
      <w:r w:rsidRPr="00143D29">
        <w:rPr>
          <w:sz w:val="16"/>
          <w:szCs w:val="16"/>
        </w:rPr>
        <w:t>Antônio</w:t>
      </w:r>
      <w:proofErr w:type="spellEnd"/>
      <w:r w:rsidRPr="00143D29">
        <w:rPr>
          <w:sz w:val="16"/>
          <w:szCs w:val="16"/>
        </w:rPr>
        <w:t xml:space="preserve"> Lima,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w:t>
      </w:r>
      <w:proofErr w:type="spellStart"/>
      <w:r w:rsidRPr="00143D29">
        <w:rPr>
          <w:sz w:val="16"/>
          <w:szCs w:val="16"/>
        </w:rPr>
        <w:t>Antônio</w:t>
      </w:r>
      <w:proofErr w:type="spellEnd"/>
      <w:r w:rsidRPr="00143D29">
        <w:rPr>
          <w:sz w:val="16"/>
          <w:szCs w:val="16"/>
        </w:rPr>
        <w:t xml:space="preserve"> Francisco da Silva, recibida durante la diligencia in situ, realizada el 6 de junio de 2016; declaración de José Batista Gonçalves </w:t>
      </w:r>
      <w:proofErr w:type="spellStart"/>
      <w:r w:rsidRPr="00143D29">
        <w:rPr>
          <w:sz w:val="16"/>
          <w:szCs w:val="16"/>
        </w:rPr>
        <w:t>Afonso</w:t>
      </w:r>
      <w:proofErr w:type="spellEnd"/>
      <w:r w:rsidRPr="00143D29">
        <w:rPr>
          <w:sz w:val="16"/>
          <w:szCs w:val="16"/>
        </w:rPr>
        <w:t xml:space="preserve">, coordinador regional de la CPT, sobre la situación de </w:t>
      </w:r>
      <w:proofErr w:type="spellStart"/>
      <w:r w:rsidRPr="00143D29">
        <w:rPr>
          <w:sz w:val="16"/>
          <w:szCs w:val="16"/>
        </w:rPr>
        <w:t>Antônio</w:t>
      </w:r>
      <w:proofErr w:type="spellEnd"/>
      <w:r w:rsidRPr="00143D29">
        <w:rPr>
          <w:sz w:val="16"/>
          <w:szCs w:val="16"/>
        </w:rPr>
        <w:t xml:space="preserve"> Francisco da Silva y </w:t>
      </w:r>
      <w:r w:rsidRPr="00143D29">
        <w:rPr>
          <w:sz w:val="16"/>
          <w:szCs w:val="16"/>
          <w:lang w:val="pt-BR"/>
        </w:rPr>
        <w:t>José Francisco Furtado de Sousa</w:t>
      </w:r>
      <w:r w:rsidRPr="00143D29">
        <w:rPr>
          <w:sz w:val="16"/>
          <w:szCs w:val="16"/>
        </w:rPr>
        <w:t xml:space="preserve">, rendida el 8 de marzo de 2000 (expediente de prueba, folio 1038); declaración de </w:t>
      </w:r>
      <w:proofErr w:type="spellStart"/>
      <w:r w:rsidRPr="00143D29">
        <w:rPr>
          <w:sz w:val="16"/>
          <w:szCs w:val="16"/>
        </w:rPr>
        <w:t>Antônio</w:t>
      </w:r>
      <w:proofErr w:type="spellEnd"/>
      <w:r w:rsidRPr="00143D29">
        <w:rPr>
          <w:sz w:val="16"/>
          <w:szCs w:val="16"/>
        </w:rPr>
        <w:t xml:space="preserve"> </w:t>
      </w:r>
      <w:proofErr w:type="spellStart"/>
      <w:r w:rsidRPr="00143D29">
        <w:rPr>
          <w:sz w:val="16"/>
          <w:szCs w:val="16"/>
        </w:rPr>
        <w:t>Fernandes</w:t>
      </w:r>
      <w:proofErr w:type="spellEnd"/>
      <w:r w:rsidRPr="00143D29">
        <w:rPr>
          <w:sz w:val="16"/>
          <w:szCs w:val="16"/>
        </w:rPr>
        <w:t xml:space="preserve"> da Costa, rendida ante fedatario público el 8 de mayo de 2015 (expediente de prueba, folio 7565); declaración de Francisco de </w:t>
      </w:r>
      <w:proofErr w:type="spellStart"/>
      <w:r w:rsidRPr="00143D29">
        <w:rPr>
          <w:sz w:val="16"/>
          <w:szCs w:val="16"/>
        </w:rPr>
        <w:t>Assis</w:t>
      </w:r>
      <w:proofErr w:type="spellEnd"/>
      <w:r w:rsidRPr="00143D29">
        <w:rPr>
          <w:sz w:val="16"/>
          <w:szCs w:val="16"/>
        </w:rPr>
        <w:t xml:space="preserve"> Félix, rendida ante fedatario público el 8 de mayo de 2015 (expediente de prueba, folio 7570); Informe de 31 de marzo de 2000 sobre la fiscalización de la Hacienda Brasil Verde (expediente de prueba, folios 9573 y 9574), y Acción Civil Pública presentada por el Ministerio de Trabajo contra João </w:t>
      </w:r>
      <w:proofErr w:type="spellStart"/>
      <w:r w:rsidRPr="00143D29">
        <w:rPr>
          <w:sz w:val="16"/>
          <w:szCs w:val="16"/>
        </w:rPr>
        <w:t>Luiz</w:t>
      </w:r>
      <w:proofErr w:type="spellEnd"/>
      <w:r w:rsidRPr="00143D29">
        <w:rPr>
          <w:sz w:val="16"/>
          <w:szCs w:val="16"/>
        </w:rPr>
        <w:t xml:space="preserve"> </w:t>
      </w:r>
      <w:proofErr w:type="spellStart"/>
      <w:r w:rsidRPr="00143D29">
        <w:rPr>
          <w:sz w:val="16"/>
          <w:szCs w:val="16"/>
        </w:rPr>
        <w:t>Quagliato</w:t>
      </w:r>
      <w:proofErr w:type="spellEnd"/>
      <w:r w:rsidRPr="00143D29">
        <w:rPr>
          <w:sz w:val="16"/>
          <w:szCs w:val="16"/>
        </w:rPr>
        <w:t xml:space="preserve"> – Hacienda Brasil Verde, de 30 de mayo de 2000 (expediente de prueba, folio 1049).</w:t>
      </w:r>
    </w:p>
  </w:footnote>
  <w:footnote w:id="178">
    <w:p w14:paraId="0BFA4BF6"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sz w:val="16"/>
          <w:szCs w:val="16"/>
        </w:rPr>
        <w:t xml:space="preserve">Declaración de Marcos </w:t>
      </w:r>
      <w:proofErr w:type="spellStart"/>
      <w:r w:rsidRPr="00143D29">
        <w:rPr>
          <w:sz w:val="16"/>
          <w:szCs w:val="16"/>
        </w:rPr>
        <w:t>Antônio</w:t>
      </w:r>
      <w:proofErr w:type="spellEnd"/>
      <w:r w:rsidRPr="00143D29">
        <w:rPr>
          <w:sz w:val="16"/>
          <w:szCs w:val="16"/>
        </w:rPr>
        <w:t xml:space="preserve"> Lima, recibida durante la diligencia in situ, realizada el 6 de junio de 2016; declaración de Francisco Fabiano Leandro,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w:t>
      </w:r>
      <w:proofErr w:type="spellStart"/>
      <w:r w:rsidRPr="00143D29">
        <w:rPr>
          <w:sz w:val="16"/>
          <w:szCs w:val="16"/>
        </w:rPr>
        <w:t>Antônio</w:t>
      </w:r>
      <w:proofErr w:type="spellEnd"/>
      <w:r w:rsidRPr="00143D29">
        <w:rPr>
          <w:sz w:val="16"/>
          <w:szCs w:val="16"/>
        </w:rPr>
        <w:t xml:space="preserve"> Francisco da Silva, recibida durante la diligencia in situ, realizada el 6 de junio de 2016; declaración de </w:t>
      </w:r>
      <w:proofErr w:type="spellStart"/>
      <w:r w:rsidRPr="00143D29">
        <w:rPr>
          <w:sz w:val="16"/>
          <w:szCs w:val="16"/>
        </w:rPr>
        <w:t>Antônio</w:t>
      </w:r>
      <w:proofErr w:type="spellEnd"/>
      <w:r w:rsidRPr="00143D29">
        <w:rPr>
          <w:sz w:val="16"/>
          <w:szCs w:val="16"/>
        </w:rPr>
        <w:t xml:space="preserve"> </w:t>
      </w:r>
      <w:proofErr w:type="spellStart"/>
      <w:r w:rsidRPr="00143D29">
        <w:rPr>
          <w:sz w:val="16"/>
          <w:szCs w:val="16"/>
        </w:rPr>
        <w:t>Fernandes</w:t>
      </w:r>
      <w:proofErr w:type="spellEnd"/>
      <w:r w:rsidRPr="00143D29">
        <w:rPr>
          <w:sz w:val="16"/>
          <w:szCs w:val="16"/>
        </w:rPr>
        <w:t xml:space="preserve"> da Costa, rendida ante fedatario público el 8 de mayo de 2015 (expediente de prueba, folio 7566); declaración de Francisco de </w:t>
      </w:r>
      <w:proofErr w:type="spellStart"/>
      <w:r w:rsidRPr="00143D29">
        <w:rPr>
          <w:sz w:val="16"/>
          <w:szCs w:val="16"/>
        </w:rPr>
        <w:t>Assis</w:t>
      </w:r>
      <w:proofErr w:type="spellEnd"/>
      <w:r w:rsidRPr="00143D29">
        <w:rPr>
          <w:sz w:val="16"/>
          <w:szCs w:val="16"/>
        </w:rPr>
        <w:t xml:space="preserve"> Félix, rendida ante fedatario público el 8 de mayo de 2015 (expediente de prueba, folio 7570), e Informe de 31 de marzo de 2000 sobre la fiscalización de la Hacienda Brasil Verde (expediente de prueba, folio 9574).</w:t>
      </w:r>
    </w:p>
  </w:footnote>
  <w:footnote w:id="179">
    <w:p w14:paraId="1C40C1C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xml:space="preserve">, rendida el 8 de marzo de 2000 (expediente de prueba, folio 1038); declaración de </w:t>
      </w:r>
      <w:proofErr w:type="spellStart"/>
      <w:r w:rsidRPr="00143D29">
        <w:rPr>
          <w:lang w:val="es-ES"/>
        </w:rPr>
        <w:t>Antônio</w:t>
      </w:r>
      <w:proofErr w:type="spellEnd"/>
      <w:r w:rsidRPr="00143D29">
        <w:rPr>
          <w:lang w:val="es-ES"/>
        </w:rPr>
        <w:t xml:space="preserve"> </w:t>
      </w:r>
      <w:proofErr w:type="spellStart"/>
      <w:r w:rsidRPr="00143D29">
        <w:rPr>
          <w:lang w:val="es-ES"/>
        </w:rPr>
        <w:t>Fernandes</w:t>
      </w:r>
      <w:proofErr w:type="spellEnd"/>
      <w:r w:rsidRPr="00143D29">
        <w:rPr>
          <w:lang w:val="es-ES"/>
        </w:rPr>
        <w:t xml:space="preserve"> da Costa, rendida ante fedatario público el 8 de mayo de 2015 (expediente de prueba, folio 7566);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folios 7571 y 7572), e Informe de 31 de marzo de 2000 sobre la fiscalización de la Hacienda Brasil Verde (expediente de prueba, folio 9574).</w:t>
      </w:r>
    </w:p>
  </w:footnote>
  <w:footnote w:id="180">
    <w:p w14:paraId="7B55FB7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Francisco Fabiano Leandro,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xml:space="preserve">, rendida el 8 de marzo de 2000 (expediente de prueba, folio 1038);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7570), e Informe de 31 de marzo de 2000 sobre la fiscalización de la Hacienda Brasil Verde (expediente de prueba, folio 9573).</w:t>
      </w:r>
    </w:p>
  </w:footnote>
  <w:footnote w:id="181">
    <w:p w14:paraId="2C9C720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Rogerio Félix da Silva, recibida durante la diligencia in situ, realizada el 6 de junio de 2016; 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 declaración de </w:t>
      </w:r>
      <w:proofErr w:type="spellStart"/>
      <w:r w:rsidRPr="00143D29">
        <w:rPr>
          <w:lang w:val="es-ES"/>
        </w:rPr>
        <w:t>Antônio</w:t>
      </w:r>
      <w:proofErr w:type="spellEnd"/>
      <w:r w:rsidRPr="00143D29">
        <w:rPr>
          <w:lang w:val="es-ES"/>
        </w:rPr>
        <w:t xml:space="preserve"> </w:t>
      </w:r>
      <w:proofErr w:type="spellStart"/>
      <w:r w:rsidRPr="00143D29">
        <w:rPr>
          <w:lang w:val="es-ES"/>
        </w:rPr>
        <w:t>Fernandes</w:t>
      </w:r>
      <w:proofErr w:type="spellEnd"/>
      <w:r w:rsidRPr="00143D29">
        <w:rPr>
          <w:lang w:val="es-ES"/>
        </w:rPr>
        <w:t xml:space="preserve"> da Costa, rendida ante fedatario público el 8 de mayo de 2015 (expediente de prueba, folio 7566), y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7571).</w:t>
      </w:r>
    </w:p>
  </w:footnote>
  <w:footnote w:id="182">
    <w:p w14:paraId="08CF24C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Francisco Fabiano Leandro,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xml:space="preserve">, rendida el 8 de marzo de 2000 (expediente de prueba, folio 1038);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7571), e Informe de 31 de marzo de 2000 sobre la fiscalización de la Hacienda Brasil Verde (expediente de prueba, folio 9573).</w:t>
      </w:r>
    </w:p>
  </w:footnote>
  <w:footnote w:id="183">
    <w:p w14:paraId="0DC29C8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Rogerio Félix da Silva, recibida durante la diligencia in situ, realizada el 6 de junio de 2016; 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xml:space="preserve">, rendida el 8 de marzo de 2000 (expediente de prueba, folio 1038);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7570 a 7572), e Informe de 31 de marzo de 2000 sobre la fiscalización de la Hacienda Brasil Verde (expediente de prueba, folio 9572). </w:t>
      </w:r>
    </w:p>
  </w:footnote>
  <w:footnote w:id="184">
    <w:p w14:paraId="7DFC477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Rogerio Félix da Silva, recibida durante la diligencia in situ, realizada el 6 de junio de 2016, y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7572).</w:t>
      </w:r>
    </w:p>
  </w:footnote>
  <w:footnote w:id="185">
    <w:p w14:paraId="524E078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 declaración de </w:t>
      </w:r>
      <w:proofErr w:type="spellStart"/>
      <w:r w:rsidRPr="00143D29">
        <w:rPr>
          <w:lang w:val="es-ES"/>
        </w:rPr>
        <w:t>Antônio</w:t>
      </w:r>
      <w:proofErr w:type="spellEnd"/>
      <w:r w:rsidRPr="00143D29">
        <w:rPr>
          <w:lang w:val="es-ES"/>
        </w:rPr>
        <w:t xml:space="preserve"> </w:t>
      </w:r>
      <w:proofErr w:type="spellStart"/>
      <w:r w:rsidRPr="00143D29">
        <w:rPr>
          <w:lang w:val="es-ES"/>
        </w:rPr>
        <w:t>Fernandes</w:t>
      </w:r>
      <w:proofErr w:type="spellEnd"/>
      <w:r w:rsidRPr="00143D29">
        <w:rPr>
          <w:lang w:val="es-ES"/>
        </w:rPr>
        <w:t xml:space="preserve"> da Costa, rendida ante fedatario público el 8 de mayo de 2015 (expediente de prueba, folio 7566);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7573), e Informe de 31 de marzo de 2000 sobre la fiscalización de la Hacienda Brasil Verde (expediente de prueba, folio 9572).</w:t>
      </w:r>
    </w:p>
  </w:footnote>
  <w:footnote w:id="186">
    <w:p w14:paraId="1682BC1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rendida el 8 de marzo de 2000 (expediente de prueba, folio 1038), e Informe de 31 de marzo de 2000 sobre la fiscalización de la Hacienda Brasil Verde (expediente de prueba, folio 9572).</w:t>
      </w:r>
    </w:p>
  </w:footnote>
  <w:footnote w:id="187">
    <w:p w14:paraId="3076FBE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w:t>
      </w:r>
      <w:proofErr w:type="spellStart"/>
      <w:r w:rsidRPr="00143D29">
        <w:rPr>
          <w:lang w:val="es-ES"/>
        </w:rPr>
        <w:t>Antônio</w:t>
      </w:r>
      <w:proofErr w:type="spellEnd"/>
      <w:r w:rsidRPr="00143D29">
        <w:rPr>
          <w:lang w:val="es-ES"/>
        </w:rPr>
        <w:t xml:space="preserve"> Francisco da Silva, recibida durante la diligencia in situ, realizada el 6 de junio de 2016; declaración de José Batista Gonçalves </w:t>
      </w:r>
      <w:proofErr w:type="spellStart"/>
      <w:r w:rsidRPr="00143D29">
        <w:rPr>
          <w:lang w:val="es-ES"/>
        </w:rPr>
        <w:t>Afonso</w:t>
      </w:r>
      <w:proofErr w:type="spellEnd"/>
      <w:r w:rsidRPr="00143D29">
        <w:rPr>
          <w:lang w:val="es-ES"/>
        </w:rPr>
        <w:t xml:space="preserve">, coordinador regional de la CPT, sobre la situación de </w:t>
      </w:r>
      <w:proofErr w:type="spellStart"/>
      <w:r w:rsidRPr="00143D29">
        <w:rPr>
          <w:lang w:val="es-ES"/>
        </w:rPr>
        <w:t>Antônio</w:t>
      </w:r>
      <w:proofErr w:type="spellEnd"/>
      <w:r w:rsidRPr="00143D29">
        <w:rPr>
          <w:lang w:val="es-ES"/>
        </w:rPr>
        <w:t xml:space="preserve"> Francisco da Silva y </w:t>
      </w:r>
      <w:r w:rsidRPr="00143D29">
        <w:rPr>
          <w:rFonts w:cs="Times New Roman"/>
          <w:szCs w:val="20"/>
          <w:lang w:val="pt-BR"/>
        </w:rPr>
        <w:t>José Francisco Furtado de Sousa</w:t>
      </w:r>
      <w:r w:rsidRPr="00143D29">
        <w:rPr>
          <w:lang w:val="es-ES"/>
        </w:rPr>
        <w:t>, rendida el 8 de marzo de 2000 (expediente de prueba, folio 1038), e Informe de 31 de marzo de 2000 sobre la fiscalización de la Hacienda Brasil Verde (expediente de prueba, folio 9572).</w:t>
      </w:r>
    </w:p>
  </w:footnote>
  <w:footnote w:id="188">
    <w:p w14:paraId="5FAB7BB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Carta al Ministerio del Trabajo de 9 de marzo de 2000 (expediente de prueba, folio 7534).</w:t>
      </w:r>
    </w:p>
  </w:footnote>
  <w:footnote w:id="189">
    <w:p w14:paraId="50B5829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Delegación Regional del Trabajo de Pará (expediente de prueba, folios 9573 y 9574).</w:t>
      </w:r>
    </w:p>
  </w:footnote>
  <w:footnote w:id="190">
    <w:p w14:paraId="5E60427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Francisco Fabiano Leandro,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folio 1038); declaración de </w:t>
      </w:r>
      <w:proofErr w:type="spellStart"/>
      <w:r w:rsidRPr="00143D29">
        <w:rPr>
          <w:lang w:val="es-ES"/>
        </w:rPr>
        <w:t>Antônio</w:t>
      </w:r>
      <w:proofErr w:type="spellEnd"/>
      <w:r w:rsidRPr="00143D29">
        <w:rPr>
          <w:lang w:val="es-ES"/>
        </w:rPr>
        <w:t xml:space="preserve"> </w:t>
      </w:r>
      <w:proofErr w:type="spellStart"/>
      <w:r w:rsidRPr="00143D29">
        <w:rPr>
          <w:lang w:val="es-ES"/>
        </w:rPr>
        <w:t>Fernandes</w:t>
      </w:r>
      <w:proofErr w:type="spellEnd"/>
      <w:r w:rsidRPr="00143D29">
        <w:rPr>
          <w:lang w:val="es-ES"/>
        </w:rPr>
        <w:t xml:space="preserve"> da Costa, rendida ante fedatario público el 8 de mayo de 2015 (expediente de prueba, folio 7567);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7573), e Informe de 31 de marzo de 2000 sobre la fiscalización de la Hacienda Brasil Verde (expediente de prueba, folios 9573 a 9575).</w:t>
      </w:r>
    </w:p>
    <w:p w14:paraId="2DE26DA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Declaración de Marcos </w:t>
      </w:r>
      <w:proofErr w:type="spellStart"/>
      <w:r w:rsidRPr="00143D29">
        <w:rPr>
          <w:lang w:val="es-ES"/>
        </w:rPr>
        <w:t>Antônio</w:t>
      </w:r>
      <w:proofErr w:type="spellEnd"/>
      <w:r w:rsidRPr="00143D29">
        <w:rPr>
          <w:lang w:val="es-ES"/>
        </w:rPr>
        <w:t xml:space="preserve"> Lima, recibida durante la diligencia in situ, realizada el 6 de junio de 2016; declaración de Francisco Fabiano Leandro, recibida durante la diligencia in situ, realizada el 6 de junio de 2016; declaración de Rogerio Félix da Silva, recibida durante la diligencia in situ, realizada el 6 de junio de 2016; declaración de Francisco das Chagas Bastos Souza, recibida durante la diligencia in situ, realizada el 6 de junio de 2016, folio 1038); declaración de </w:t>
      </w:r>
      <w:proofErr w:type="spellStart"/>
      <w:r w:rsidRPr="00143D29">
        <w:rPr>
          <w:lang w:val="es-ES"/>
        </w:rPr>
        <w:t>Antônio</w:t>
      </w:r>
      <w:proofErr w:type="spellEnd"/>
      <w:r w:rsidRPr="00143D29">
        <w:rPr>
          <w:lang w:val="es-ES"/>
        </w:rPr>
        <w:t xml:space="preserve"> </w:t>
      </w:r>
      <w:proofErr w:type="spellStart"/>
      <w:r w:rsidRPr="00143D29">
        <w:rPr>
          <w:lang w:val="es-ES"/>
        </w:rPr>
        <w:t>Fernandes</w:t>
      </w:r>
      <w:proofErr w:type="spellEnd"/>
      <w:r w:rsidRPr="00143D29">
        <w:rPr>
          <w:lang w:val="es-ES"/>
        </w:rPr>
        <w:t xml:space="preserve"> da Costa, rendida ante fedatario público el 8 de mayo de 2015 (expediente de prueba, folio 7567); declaración de Francisco de </w:t>
      </w:r>
      <w:proofErr w:type="spellStart"/>
      <w:r w:rsidRPr="00143D29">
        <w:rPr>
          <w:lang w:val="es-ES"/>
        </w:rPr>
        <w:t>Assis</w:t>
      </w:r>
      <w:proofErr w:type="spellEnd"/>
      <w:r w:rsidRPr="00143D29">
        <w:rPr>
          <w:lang w:val="es-ES"/>
        </w:rPr>
        <w:t xml:space="preserve"> Félix, rendida ante fedatario público el 8 de mayo de 2015 (expediente de prueba, folio 7573), e Informe de 31 de marzo de 2000 sobre la fiscalización de la Hacienda Brasil Verde (expediente de prueba, folios 9573 a 9575).</w:t>
      </w:r>
    </w:p>
  </w:footnote>
  <w:footnote w:id="191">
    <w:p w14:paraId="62956FC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Delegación Regional del Trabajo de Pará (expediente de prueba, folio 9573).</w:t>
      </w:r>
    </w:p>
  </w:footnote>
  <w:footnote w:id="192">
    <w:p w14:paraId="19ED92B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Delegación Regional del Trabajo de Pará (expediente de prueba, folio 9574).</w:t>
      </w:r>
    </w:p>
  </w:footnote>
  <w:footnote w:id="193">
    <w:p w14:paraId="4A22282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Acción civil pública de 30 de mayo de 2000 (expediente de prueba, folio 1049).</w:t>
      </w:r>
    </w:p>
  </w:footnote>
  <w:footnote w:id="194">
    <w:p w14:paraId="1B6B70C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Acción civil pública de 30 de mayo de 2000 (expediente de prueba, folio 1049).</w:t>
      </w:r>
    </w:p>
  </w:footnote>
  <w:footnote w:id="195">
    <w:p w14:paraId="03D271D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Acción civil pública de 30 de mayo de 2000 (expediente de prueba, folio 1052).</w:t>
      </w:r>
    </w:p>
  </w:footnote>
  <w:footnote w:id="196">
    <w:p w14:paraId="3B66F08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Acción civil pública de 30 de mayo de 2000 (expediente de prueba, folio 1053).</w:t>
      </w:r>
    </w:p>
  </w:footnote>
  <w:footnote w:id="197">
    <w:p w14:paraId="7725F1D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Notificaciones de 9 de junio de 2000 (expediente de prueba, folios 5787 y 5788).</w:t>
      </w:r>
    </w:p>
  </w:footnote>
  <w:footnote w:id="198">
    <w:p w14:paraId="05BC731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Acuerdo de audiencia de 20 de julio de 2000 (expediente de prueba, folio 5794).</w:t>
      </w:r>
    </w:p>
  </w:footnote>
  <w:footnote w:id="199">
    <w:p w14:paraId="29972D9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de 21 de junio de 2001 (expediente de prueba, folio 1033).</w:t>
      </w:r>
    </w:p>
  </w:footnote>
  <w:footnote w:id="200">
    <w:p w14:paraId="27BDC31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de 21 de junio de 2001 (expediente de prueba, folio 1033).</w:t>
      </w:r>
    </w:p>
  </w:footnote>
  <w:footnote w:id="201">
    <w:p w14:paraId="35F2282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2.357/2001 de 21 de junio de 2001 (expediente de prueba, folio 1031).</w:t>
      </w:r>
    </w:p>
  </w:footnote>
  <w:footnote w:id="202">
    <w:p w14:paraId="25FABE4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inspección de junio de </w:t>
      </w:r>
      <w:proofErr w:type="gramStart"/>
      <w:r w:rsidRPr="00143D29">
        <w:rPr>
          <w:lang w:val="es-ES"/>
        </w:rPr>
        <w:t>2002  (</w:t>
      </w:r>
      <w:proofErr w:type="gramEnd"/>
      <w:r w:rsidRPr="00143D29">
        <w:rPr>
          <w:lang w:val="es-ES"/>
        </w:rPr>
        <w:t>expediente de prueba, folio 1056).</w:t>
      </w:r>
    </w:p>
  </w:footnote>
  <w:footnote w:id="203">
    <w:p w14:paraId="1F6365E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inspección de junio de 2002 (expediente de prueba, folio 1056).</w:t>
      </w:r>
    </w:p>
  </w:footnote>
  <w:footnote w:id="204">
    <w:p w14:paraId="4349A8F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inspección de junio de 2002 (expediente de prueba, folio 1062).</w:t>
      </w:r>
    </w:p>
  </w:footnote>
  <w:footnote w:id="205">
    <w:p w14:paraId="7BE3AED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inspección de junio de 2002 (expediente de prueba, folio 1063).</w:t>
      </w:r>
    </w:p>
  </w:footnote>
  <w:footnote w:id="206">
    <w:p w14:paraId="68B8821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Escrito del Estado de 27 de junio de 2016 (expediente de fondo, folio 1698).</w:t>
      </w:r>
    </w:p>
  </w:footnote>
  <w:footnote w:id="207">
    <w:p w14:paraId="0964A25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Oficio No. 1254/2007 de 29 de octubre de 2007 (expediente de prueba, folio 1009).</w:t>
      </w:r>
    </w:p>
  </w:footnote>
  <w:footnote w:id="208">
    <w:p w14:paraId="74B4136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w:t>
      </w:r>
      <w:proofErr w:type="spellStart"/>
      <w:r w:rsidRPr="00143D29">
        <w:rPr>
          <w:lang w:val="es-ES"/>
        </w:rPr>
        <w:t>Maria</w:t>
      </w:r>
      <w:proofErr w:type="spellEnd"/>
      <w:r w:rsidRPr="00143D29">
        <w:rPr>
          <w:lang w:val="es-ES"/>
        </w:rPr>
        <w:t xml:space="preserve"> do Socorro Canuto de 17 de febrero de 2009 (expediente de prueba, folio 7442) y declaración de Raimunda Marcia Azevedo da Silva de 22 de julio de 2007 (expediente de prueba, folio 7445).</w:t>
      </w:r>
    </w:p>
  </w:footnote>
  <w:footnote w:id="209">
    <w:p w14:paraId="3B5A558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Raimunda Marcia Azevedo da Silva de 22 de julio de 2007 (expediente de prueba, folio 7445).</w:t>
      </w:r>
    </w:p>
  </w:footnote>
  <w:footnote w:id="210">
    <w:p w14:paraId="138FEB8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w:t>
      </w:r>
      <w:proofErr w:type="spellStart"/>
      <w:r w:rsidRPr="00143D29">
        <w:rPr>
          <w:lang w:val="es-ES"/>
        </w:rPr>
        <w:t>Maria</w:t>
      </w:r>
      <w:proofErr w:type="spellEnd"/>
      <w:r w:rsidRPr="00143D29">
        <w:rPr>
          <w:lang w:val="es-ES"/>
        </w:rPr>
        <w:t xml:space="preserve"> do Socorro Canuto de 17 de febrero de 2009 (expediente de prueba, folio 7442) y declaración de Raimunda Marcia Azevedo da Silva de 22 de julio de 2007 (expediente de prueba, folio 7445). Examen médico forense de </w:t>
      </w:r>
      <w:proofErr w:type="spellStart"/>
      <w:r w:rsidRPr="00143D29">
        <w:rPr>
          <w:lang w:val="es-ES"/>
        </w:rPr>
        <w:t>Iron</w:t>
      </w:r>
      <w:proofErr w:type="spellEnd"/>
      <w:r w:rsidRPr="00143D29">
        <w:rPr>
          <w:lang w:val="es-ES"/>
        </w:rPr>
        <w:t xml:space="preserve"> Canuto da Silva (expediente de prueba, folios 7451 y 7452).</w:t>
      </w:r>
    </w:p>
  </w:footnote>
  <w:footnote w:id="211">
    <w:p w14:paraId="134C02A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de </w:t>
      </w:r>
      <w:proofErr w:type="spellStart"/>
      <w:r w:rsidRPr="00143D29">
        <w:rPr>
          <w:lang w:val="es-ES"/>
        </w:rPr>
        <w:t>Maria</w:t>
      </w:r>
      <w:proofErr w:type="spellEnd"/>
      <w:r w:rsidRPr="00143D29">
        <w:rPr>
          <w:lang w:val="es-ES"/>
        </w:rPr>
        <w:t xml:space="preserve"> do Socorro Canuto de 17 de febrero de 2009 (expediente de prueba, folio 7442).</w:t>
      </w:r>
    </w:p>
  </w:footnote>
  <w:footnote w:id="212">
    <w:p w14:paraId="660D606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No. 3/2015 de la Policía Federal de 4 de agosto de 2015 (expediente de prueba, folio 10766).</w:t>
      </w:r>
    </w:p>
  </w:footnote>
  <w:footnote w:id="213">
    <w:p w14:paraId="2A385D0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No. 3/2015 de la Policía Federal de 4 de agosto de 2015 (expediente de prueba, folio 10766).</w:t>
      </w:r>
    </w:p>
  </w:footnote>
  <w:footnote w:id="214">
    <w:p w14:paraId="4F55E149" w14:textId="77777777" w:rsidR="00D4299B" w:rsidRPr="00143D29" w:rsidRDefault="00D4299B" w:rsidP="00D761C7">
      <w:pPr>
        <w:tabs>
          <w:tab w:val="left" w:pos="567"/>
        </w:tabs>
        <w:spacing w:after="20"/>
        <w:jc w:val="both"/>
        <w:rPr>
          <w:sz w:val="16"/>
          <w:szCs w:val="16"/>
          <w:lang w:val="pt-BR"/>
        </w:rPr>
      </w:pPr>
      <w:r w:rsidRPr="00143D29">
        <w:rPr>
          <w:rStyle w:val="Refdenotaalpie"/>
          <w:sz w:val="16"/>
          <w:szCs w:val="16"/>
        </w:rPr>
        <w:footnoteRef/>
      </w:r>
      <w:r w:rsidRPr="00143D29">
        <w:rPr>
          <w:sz w:val="16"/>
          <w:szCs w:val="16"/>
        </w:rPr>
        <w:t xml:space="preserve"> </w:t>
      </w:r>
      <w:r w:rsidRPr="00143D29">
        <w:rPr>
          <w:i/>
          <w:sz w:val="16"/>
          <w:szCs w:val="16"/>
        </w:rPr>
        <w:t>Cfr</w:t>
      </w:r>
      <w:r w:rsidRPr="00143D29">
        <w:rPr>
          <w:sz w:val="16"/>
          <w:szCs w:val="16"/>
        </w:rPr>
        <w:t xml:space="preserve">. </w:t>
      </w:r>
      <w:r w:rsidRPr="00143D29">
        <w:rPr>
          <w:i/>
          <w:sz w:val="16"/>
          <w:szCs w:val="16"/>
        </w:rPr>
        <w:t>Caso Masacres de El Mozote y lugares aledaños</w:t>
      </w:r>
      <w:r w:rsidRPr="00143D29">
        <w:rPr>
          <w:sz w:val="16"/>
          <w:szCs w:val="16"/>
          <w:lang w:val="es-ES"/>
        </w:rPr>
        <w:t xml:space="preserve">, párr. </w:t>
      </w:r>
      <w:r w:rsidRPr="00143D29">
        <w:rPr>
          <w:sz w:val="16"/>
          <w:szCs w:val="16"/>
          <w:lang w:val="pt-BR"/>
        </w:rPr>
        <w:t>54.</w:t>
      </w:r>
    </w:p>
  </w:footnote>
  <w:footnote w:id="215">
    <w:p w14:paraId="2CB07E25" w14:textId="77777777" w:rsidR="00D4299B" w:rsidRPr="00143D29" w:rsidRDefault="00D4299B" w:rsidP="00D761C7">
      <w:pPr>
        <w:tabs>
          <w:tab w:val="left" w:pos="567"/>
        </w:tabs>
        <w:spacing w:after="20"/>
        <w:jc w:val="both"/>
        <w:rPr>
          <w:sz w:val="16"/>
          <w:szCs w:val="16"/>
          <w:lang w:val="pt-BR"/>
        </w:rPr>
      </w:pPr>
      <w:r w:rsidRPr="00143D29">
        <w:rPr>
          <w:rStyle w:val="Refdenotaalpie"/>
          <w:sz w:val="16"/>
          <w:szCs w:val="16"/>
        </w:rPr>
        <w:footnoteRef/>
      </w:r>
      <w:r w:rsidRPr="00143D29">
        <w:rPr>
          <w:sz w:val="16"/>
          <w:szCs w:val="16"/>
          <w:lang w:val="pt-BR"/>
        </w:rPr>
        <w:t xml:space="preserve"> A saber: </w:t>
      </w:r>
      <w:r w:rsidRPr="00143D29">
        <w:rPr>
          <w:rFonts w:cs="Helvetica"/>
          <w:sz w:val="16"/>
          <w:szCs w:val="16"/>
          <w:lang w:val="pt-BR"/>
        </w:rPr>
        <w:t>1. João Luiz “</w:t>
      </w:r>
      <w:proofErr w:type="spellStart"/>
      <w:r w:rsidRPr="00143D29">
        <w:rPr>
          <w:rFonts w:cs="Helvetica"/>
          <w:sz w:val="16"/>
          <w:szCs w:val="16"/>
          <w:lang w:val="pt-BR"/>
        </w:rPr>
        <w:t>ilegible</w:t>
      </w:r>
      <w:proofErr w:type="spellEnd"/>
      <w:r w:rsidRPr="00143D29">
        <w:rPr>
          <w:rFonts w:cs="Helvetica"/>
          <w:sz w:val="16"/>
          <w:szCs w:val="16"/>
          <w:lang w:val="pt-BR"/>
        </w:rPr>
        <w:t xml:space="preserve">” (o Mendonça); 2. Raimundo; 3. Antônio Pereira; 4. </w:t>
      </w:r>
      <w:proofErr w:type="spellStart"/>
      <w:r w:rsidRPr="00143D29">
        <w:rPr>
          <w:rFonts w:cs="Helvetica"/>
          <w:sz w:val="16"/>
          <w:szCs w:val="16"/>
          <w:lang w:val="pt-BR"/>
        </w:rPr>
        <w:t>Hilario</w:t>
      </w:r>
      <w:proofErr w:type="spellEnd"/>
      <w:r w:rsidRPr="00143D29">
        <w:rPr>
          <w:rFonts w:cs="Helvetica"/>
          <w:sz w:val="16"/>
          <w:szCs w:val="16"/>
          <w:lang w:val="pt-BR"/>
        </w:rPr>
        <w:t xml:space="preserve"> dos SS; 5. Claudio Peres “</w:t>
      </w:r>
      <w:proofErr w:type="spellStart"/>
      <w:r w:rsidRPr="00143D29">
        <w:rPr>
          <w:rFonts w:cs="Helvetica"/>
          <w:sz w:val="16"/>
          <w:szCs w:val="16"/>
          <w:lang w:val="pt-BR"/>
        </w:rPr>
        <w:t>ilegible</w:t>
      </w:r>
      <w:proofErr w:type="spellEnd"/>
      <w:r w:rsidRPr="00143D29">
        <w:rPr>
          <w:rFonts w:cs="Helvetica"/>
          <w:sz w:val="16"/>
          <w:szCs w:val="16"/>
          <w:lang w:val="pt-BR"/>
        </w:rPr>
        <w:t>”; 6. Raimundo A. P. Moura; 7. José Fernandes Silva; 8. Carlos Pereira Silva; 9. Francisco “</w:t>
      </w:r>
      <w:proofErr w:type="spellStart"/>
      <w:r w:rsidRPr="00143D29">
        <w:rPr>
          <w:rFonts w:cs="Helvetica"/>
          <w:sz w:val="16"/>
          <w:szCs w:val="16"/>
          <w:lang w:val="pt-BR"/>
        </w:rPr>
        <w:t>ilegible</w:t>
      </w:r>
      <w:proofErr w:type="spellEnd"/>
      <w:r w:rsidRPr="00143D29">
        <w:rPr>
          <w:rFonts w:cs="Helvetica"/>
          <w:sz w:val="16"/>
          <w:szCs w:val="16"/>
          <w:lang w:val="pt-BR"/>
        </w:rPr>
        <w:t>” (o Rodrigues) Souza; 10. Antônio Ribeiro; 11. Antônio “</w:t>
      </w:r>
      <w:proofErr w:type="spellStart"/>
      <w:r w:rsidRPr="00143D29">
        <w:rPr>
          <w:rFonts w:cs="Helvetica"/>
          <w:sz w:val="16"/>
          <w:szCs w:val="16"/>
          <w:lang w:val="pt-BR"/>
        </w:rPr>
        <w:t>ilegible</w:t>
      </w:r>
      <w:proofErr w:type="spellEnd"/>
      <w:r w:rsidRPr="00143D29">
        <w:rPr>
          <w:rFonts w:cs="Helvetica"/>
          <w:sz w:val="16"/>
          <w:szCs w:val="16"/>
          <w:lang w:val="pt-BR"/>
        </w:rPr>
        <w:t xml:space="preserve">” (o P.) Silva; 12. </w:t>
      </w:r>
      <w:proofErr w:type="spellStart"/>
      <w:r w:rsidRPr="00143D29">
        <w:rPr>
          <w:rFonts w:cs="Helvetica"/>
          <w:sz w:val="16"/>
          <w:szCs w:val="16"/>
          <w:lang w:val="pt-BR"/>
        </w:rPr>
        <w:t>Angelo</w:t>
      </w:r>
      <w:proofErr w:type="spellEnd"/>
      <w:r w:rsidRPr="00143D29">
        <w:rPr>
          <w:rFonts w:cs="Helvetica"/>
          <w:sz w:val="16"/>
          <w:szCs w:val="16"/>
          <w:lang w:val="pt-BR"/>
        </w:rPr>
        <w:t xml:space="preserve"> Marcio A. Silva; 13. Antônio “Caititu”; 14. Antônio “Capixaba”; 15. Benedito Ferreira; 16. </w:t>
      </w:r>
      <w:proofErr w:type="spellStart"/>
      <w:r w:rsidRPr="00143D29">
        <w:rPr>
          <w:rFonts w:cs="Helvetica"/>
          <w:sz w:val="16"/>
          <w:szCs w:val="16"/>
          <w:lang w:val="pt-BR"/>
        </w:rPr>
        <w:t>Claudeci</w:t>
      </w:r>
      <w:proofErr w:type="spellEnd"/>
      <w:r w:rsidRPr="00143D29">
        <w:rPr>
          <w:rFonts w:cs="Helvetica"/>
          <w:sz w:val="16"/>
          <w:szCs w:val="16"/>
          <w:lang w:val="pt-BR"/>
        </w:rPr>
        <w:t xml:space="preserve"> Nunes; 17. Cosme (o </w:t>
      </w:r>
      <w:proofErr w:type="spellStart"/>
      <w:r w:rsidRPr="00143D29">
        <w:rPr>
          <w:rFonts w:cs="Helvetica"/>
          <w:sz w:val="16"/>
          <w:szCs w:val="16"/>
          <w:lang w:val="pt-BR"/>
        </w:rPr>
        <w:t>Cosmi</w:t>
      </w:r>
      <w:proofErr w:type="spellEnd"/>
      <w:r w:rsidRPr="00143D29">
        <w:rPr>
          <w:rFonts w:cs="Helvetica"/>
          <w:sz w:val="16"/>
          <w:szCs w:val="16"/>
          <w:lang w:val="pt-BR"/>
        </w:rPr>
        <w:t xml:space="preserve">) Rodrigues; 18. Domingos Mendes; 19. Edilson Fernandes; 20. José da Costa Oliveira; 21. </w:t>
      </w:r>
      <w:proofErr w:type="spellStart"/>
      <w:r w:rsidRPr="00143D29">
        <w:rPr>
          <w:rFonts w:cs="Helvetica"/>
          <w:sz w:val="16"/>
          <w:szCs w:val="16"/>
          <w:lang w:val="pt-BR"/>
        </w:rPr>
        <w:t>Osnar</w:t>
      </w:r>
      <w:proofErr w:type="spellEnd"/>
      <w:r w:rsidRPr="00143D29">
        <w:rPr>
          <w:rFonts w:cs="Helvetica"/>
          <w:sz w:val="16"/>
          <w:szCs w:val="16"/>
          <w:lang w:val="pt-BR"/>
        </w:rPr>
        <w:t xml:space="preserve"> (o Osmar) Ribeiro; 22. </w:t>
      </w:r>
      <w:proofErr w:type="spellStart"/>
      <w:r w:rsidRPr="00143D29">
        <w:rPr>
          <w:rFonts w:cs="Helvetica"/>
          <w:sz w:val="16"/>
          <w:szCs w:val="16"/>
          <w:lang w:val="pt-BR"/>
        </w:rPr>
        <w:t>Virma</w:t>
      </w:r>
      <w:proofErr w:type="spellEnd"/>
      <w:r w:rsidRPr="00143D29">
        <w:rPr>
          <w:rFonts w:cs="Helvetica"/>
          <w:sz w:val="16"/>
          <w:szCs w:val="16"/>
          <w:lang w:val="pt-BR"/>
        </w:rPr>
        <w:t xml:space="preserve"> Firmino </w:t>
      </w:r>
      <w:proofErr w:type="spellStart"/>
      <w:r w:rsidRPr="00143D29">
        <w:rPr>
          <w:rFonts w:cs="Helvetica"/>
          <w:sz w:val="16"/>
          <w:szCs w:val="16"/>
          <w:lang w:val="pt-BR"/>
        </w:rPr>
        <w:t>di</w:t>
      </w:r>
      <w:proofErr w:type="spellEnd"/>
      <w:r w:rsidRPr="00143D29">
        <w:rPr>
          <w:rFonts w:cs="Helvetica"/>
          <w:sz w:val="16"/>
          <w:szCs w:val="16"/>
          <w:lang w:val="pt-BR"/>
        </w:rPr>
        <w:t xml:space="preserve"> Paulo; 23. “</w:t>
      </w:r>
      <w:proofErr w:type="spellStart"/>
      <w:r w:rsidRPr="00143D29">
        <w:rPr>
          <w:rFonts w:cs="Helvetica"/>
          <w:sz w:val="16"/>
          <w:szCs w:val="16"/>
          <w:lang w:val="pt-BR"/>
        </w:rPr>
        <w:t>ilegible</w:t>
      </w:r>
      <w:proofErr w:type="spellEnd"/>
      <w:r w:rsidRPr="00143D29">
        <w:rPr>
          <w:rFonts w:cs="Helvetica"/>
          <w:sz w:val="16"/>
          <w:szCs w:val="16"/>
          <w:lang w:val="pt-BR"/>
        </w:rPr>
        <w:t>” Francisco; 24. “Índio”; 25. “Mato Grosso”, y 26. “Pará”.</w:t>
      </w:r>
      <w:r w:rsidRPr="00143D29">
        <w:rPr>
          <w:sz w:val="16"/>
          <w:szCs w:val="16"/>
          <w:lang w:val="pt-BR"/>
        </w:rPr>
        <w:t xml:space="preserve"> </w:t>
      </w:r>
    </w:p>
  </w:footnote>
  <w:footnote w:id="216">
    <w:p w14:paraId="09E41601" w14:textId="77777777" w:rsidR="00D4299B" w:rsidRPr="00143D29" w:rsidRDefault="00D4299B" w:rsidP="00D761C7">
      <w:pPr>
        <w:tabs>
          <w:tab w:val="left" w:pos="567"/>
        </w:tabs>
        <w:spacing w:after="20"/>
        <w:jc w:val="both"/>
        <w:rPr>
          <w:sz w:val="16"/>
          <w:szCs w:val="16"/>
          <w:lang w:val="pt-BR"/>
        </w:rPr>
      </w:pPr>
      <w:r w:rsidRPr="00143D29">
        <w:rPr>
          <w:rStyle w:val="Refdenotaalpie"/>
          <w:sz w:val="16"/>
          <w:szCs w:val="16"/>
        </w:rPr>
        <w:footnoteRef/>
      </w:r>
      <w:r w:rsidRPr="00143D29">
        <w:rPr>
          <w:sz w:val="16"/>
          <w:szCs w:val="16"/>
          <w:lang w:val="pt-BR"/>
        </w:rPr>
        <w:t xml:space="preserve"> A saber: </w:t>
      </w:r>
      <w:r w:rsidRPr="00143D29">
        <w:rPr>
          <w:rFonts w:cs="Times New Roman"/>
          <w:sz w:val="16"/>
          <w:szCs w:val="16"/>
          <w:lang w:val="pt-BR"/>
        </w:rPr>
        <w:t xml:space="preserve">1. José Cano; 2. </w:t>
      </w:r>
      <w:r w:rsidRPr="00143D29">
        <w:rPr>
          <w:rFonts w:cs="Helvetica"/>
          <w:sz w:val="16"/>
          <w:szCs w:val="16"/>
          <w:lang w:val="pt-BR"/>
        </w:rPr>
        <w:t xml:space="preserve">Francisco das Chagas Marques de Souza; 3. Carlos da Silva; 4. </w:t>
      </w:r>
      <w:proofErr w:type="spellStart"/>
      <w:r w:rsidRPr="00143D29">
        <w:rPr>
          <w:rFonts w:cs="Helvetica"/>
          <w:sz w:val="16"/>
          <w:szCs w:val="16"/>
          <w:lang w:val="pt-BR"/>
        </w:rPr>
        <w:t>Dovalino</w:t>
      </w:r>
      <w:proofErr w:type="spellEnd"/>
      <w:r w:rsidRPr="00143D29">
        <w:rPr>
          <w:rFonts w:cs="Helvetica"/>
          <w:sz w:val="16"/>
          <w:szCs w:val="16"/>
          <w:lang w:val="pt-BR"/>
        </w:rPr>
        <w:t xml:space="preserve"> (o </w:t>
      </w:r>
      <w:proofErr w:type="spellStart"/>
      <w:r w:rsidRPr="00143D29">
        <w:rPr>
          <w:rFonts w:cs="Helvetica"/>
          <w:sz w:val="16"/>
          <w:szCs w:val="16"/>
          <w:lang w:val="pt-BR"/>
        </w:rPr>
        <w:t>Davalino</w:t>
      </w:r>
      <w:proofErr w:type="spellEnd"/>
      <w:r w:rsidRPr="00143D29">
        <w:rPr>
          <w:rFonts w:cs="Helvetica"/>
          <w:sz w:val="16"/>
          <w:szCs w:val="16"/>
          <w:lang w:val="pt-BR"/>
        </w:rPr>
        <w:t>) Barbosa; 5. Edivaldo dos Santos; 6. João Monteiro; 7. Juarez Silva; 8. Luiz Barbosa; 9. Valdir Alves; 10. “Parazinho”.</w:t>
      </w:r>
    </w:p>
  </w:footnote>
  <w:footnote w:id="217">
    <w:p w14:paraId="0E2CDF8F" w14:textId="77777777" w:rsidR="00D4299B" w:rsidRPr="00143D29" w:rsidRDefault="00D4299B" w:rsidP="00D761C7">
      <w:pPr>
        <w:tabs>
          <w:tab w:val="left" w:pos="567"/>
        </w:tabs>
        <w:spacing w:after="20"/>
        <w:jc w:val="both"/>
        <w:rPr>
          <w:rFonts w:cs="Helvetica"/>
          <w:sz w:val="16"/>
          <w:szCs w:val="16"/>
        </w:rPr>
      </w:pPr>
      <w:r w:rsidRPr="00143D29">
        <w:rPr>
          <w:rStyle w:val="Refdenotaalpie"/>
          <w:sz w:val="16"/>
          <w:szCs w:val="16"/>
        </w:rPr>
        <w:footnoteRef/>
      </w:r>
      <w:r w:rsidRPr="00143D29">
        <w:rPr>
          <w:sz w:val="16"/>
          <w:szCs w:val="16"/>
          <w:lang w:val="pt-BR"/>
        </w:rPr>
        <w:t xml:space="preserve"> A saber: </w:t>
      </w:r>
      <w:r w:rsidRPr="00143D29">
        <w:rPr>
          <w:rFonts w:cs="Helvetica"/>
          <w:sz w:val="16"/>
          <w:szCs w:val="16"/>
          <w:lang w:val="pt-BR"/>
        </w:rPr>
        <w:t xml:space="preserve">1. </w:t>
      </w:r>
      <w:proofErr w:type="spellStart"/>
      <w:r w:rsidRPr="00143D29">
        <w:rPr>
          <w:rFonts w:cs="Helvetica"/>
          <w:sz w:val="16"/>
          <w:szCs w:val="16"/>
          <w:lang w:val="es-ES"/>
        </w:rPr>
        <w:t>Antônio</w:t>
      </w:r>
      <w:proofErr w:type="spellEnd"/>
      <w:r w:rsidRPr="00143D29">
        <w:rPr>
          <w:rFonts w:cs="Helvetica"/>
          <w:sz w:val="16"/>
          <w:szCs w:val="16"/>
          <w:lang w:val="es-ES"/>
        </w:rPr>
        <w:t xml:space="preserve"> Alves en relación con </w:t>
      </w:r>
      <w:proofErr w:type="spellStart"/>
      <w:r w:rsidRPr="00143D29">
        <w:rPr>
          <w:rFonts w:cs="Helvetica"/>
          <w:sz w:val="16"/>
          <w:szCs w:val="16"/>
        </w:rPr>
        <w:t>Antônio</w:t>
      </w:r>
      <w:proofErr w:type="spellEnd"/>
      <w:r w:rsidRPr="00143D29">
        <w:rPr>
          <w:rFonts w:cs="Helvetica"/>
          <w:sz w:val="16"/>
          <w:szCs w:val="16"/>
        </w:rPr>
        <w:t xml:space="preserve"> Alves de Souza; 2. </w:t>
      </w:r>
      <w:proofErr w:type="spellStart"/>
      <w:r w:rsidRPr="00143D29">
        <w:rPr>
          <w:rFonts w:cs="Helvetica"/>
          <w:sz w:val="16"/>
          <w:szCs w:val="16"/>
        </w:rPr>
        <w:t>Antônio</w:t>
      </w:r>
      <w:proofErr w:type="spellEnd"/>
      <w:r w:rsidRPr="00143D29">
        <w:rPr>
          <w:rFonts w:cs="Helvetica"/>
          <w:sz w:val="16"/>
          <w:szCs w:val="16"/>
        </w:rPr>
        <w:t xml:space="preserve"> Renato en relación con </w:t>
      </w:r>
      <w:proofErr w:type="spellStart"/>
      <w:r w:rsidRPr="00143D29">
        <w:rPr>
          <w:rFonts w:cs="Helvetica"/>
          <w:sz w:val="16"/>
          <w:szCs w:val="16"/>
        </w:rPr>
        <w:t>Antônio</w:t>
      </w:r>
      <w:proofErr w:type="spellEnd"/>
      <w:r w:rsidRPr="00143D29">
        <w:rPr>
          <w:rFonts w:cs="Helvetica"/>
          <w:sz w:val="16"/>
          <w:szCs w:val="16"/>
        </w:rPr>
        <w:t xml:space="preserve"> Renato Barros; 3. </w:t>
      </w:r>
      <w:proofErr w:type="spellStart"/>
      <w:r w:rsidRPr="00143D29">
        <w:rPr>
          <w:rFonts w:cs="Helvetica"/>
          <w:sz w:val="16"/>
          <w:szCs w:val="16"/>
        </w:rPr>
        <w:t>Dijalma</w:t>
      </w:r>
      <w:proofErr w:type="spellEnd"/>
      <w:r w:rsidRPr="00143D29">
        <w:rPr>
          <w:rFonts w:cs="Helvetica"/>
          <w:sz w:val="16"/>
          <w:szCs w:val="16"/>
        </w:rPr>
        <w:t xml:space="preserve"> Santos en relación con </w:t>
      </w:r>
      <w:proofErr w:type="spellStart"/>
      <w:r w:rsidRPr="00143D29">
        <w:rPr>
          <w:rFonts w:cs="Helvetica"/>
          <w:sz w:val="16"/>
          <w:szCs w:val="16"/>
        </w:rPr>
        <w:t>Dijalma</w:t>
      </w:r>
      <w:proofErr w:type="spellEnd"/>
      <w:r w:rsidRPr="00143D29">
        <w:rPr>
          <w:rFonts w:cs="Helvetica"/>
          <w:sz w:val="16"/>
          <w:szCs w:val="16"/>
        </w:rPr>
        <w:t xml:space="preserve"> Santos Batista; 4. </w:t>
      </w:r>
      <w:r w:rsidRPr="00143D29">
        <w:rPr>
          <w:rFonts w:cs="Helvetica"/>
          <w:sz w:val="16"/>
          <w:szCs w:val="16"/>
          <w:lang w:val="pt-BR"/>
        </w:rPr>
        <w:t xml:space="preserve">Irineu </w:t>
      </w:r>
      <w:proofErr w:type="spellStart"/>
      <w:r w:rsidRPr="00143D29">
        <w:rPr>
          <w:rFonts w:cs="Helvetica"/>
          <w:sz w:val="16"/>
          <w:szCs w:val="16"/>
          <w:lang w:val="pt-BR"/>
        </w:rPr>
        <w:t>en</w:t>
      </w:r>
      <w:proofErr w:type="spellEnd"/>
      <w:r w:rsidRPr="00143D29">
        <w:rPr>
          <w:rFonts w:cs="Helvetica"/>
          <w:sz w:val="16"/>
          <w:szCs w:val="16"/>
          <w:lang w:val="pt-BR"/>
        </w:rPr>
        <w:t xml:space="preserve"> </w:t>
      </w:r>
      <w:proofErr w:type="spellStart"/>
      <w:r w:rsidRPr="00143D29">
        <w:rPr>
          <w:rFonts w:cs="Helvetica"/>
          <w:sz w:val="16"/>
          <w:szCs w:val="16"/>
          <w:lang w:val="pt-BR"/>
        </w:rPr>
        <w:t>relación</w:t>
      </w:r>
      <w:proofErr w:type="spellEnd"/>
      <w:r w:rsidRPr="00143D29">
        <w:rPr>
          <w:rFonts w:cs="Helvetica"/>
          <w:sz w:val="16"/>
          <w:szCs w:val="16"/>
          <w:lang w:val="pt-BR"/>
        </w:rPr>
        <w:t xml:space="preserve"> </w:t>
      </w:r>
      <w:proofErr w:type="spellStart"/>
      <w:r w:rsidRPr="00143D29">
        <w:rPr>
          <w:rFonts w:cs="Helvetica"/>
          <w:sz w:val="16"/>
          <w:szCs w:val="16"/>
          <w:lang w:val="pt-BR"/>
        </w:rPr>
        <w:t>con</w:t>
      </w:r>
      <w:proofErr w:type="spellEnd"/>
      <w:r w:rsidRPr="00143D29">
        <w:rPr>
          <w:rFonts w:cs="Helvetica"/>
          <w:sz w:val="16"/>
          <w:szCs w:val="16"/>
          <w:lang w:val="pt-BR"/>
        </w:rPr>
        <w:t xml:space="preserve"> Irineu Inácio da Silva; 5. João Germano </w:t>
      </w:r>
      <w:proofErr w:type="spellStart"/>
      <w:r w:rsidRPr="00143D29">
        <w:rPr>
          <w:rFonts w:cs="Helvetica"/>
          <w:sz w:val="16"/>
          <w:szCs w:val="16"/>
          <w:lang w:val="pt-BR"/>
        </w:rPr>
        <w:t>en</w:t>
      </w:r>
      <w:proofErr w:type="spellEnd"/>
      <w:r w:rsidRPr="00143D29">
        <w:rPr>
          <w:rFonts w:cs="Helvetica"/>
          <w:sz w:val="16"/>
          <w:szCs w:val="16"/>
          <w:lang w:val="pt-BR"/>
        </w:rPr>
        <w:t xml:space="preserve"> </w:t>
      </w:r>
      <w:proofErr w:type="spellStart"/>
      <w:r w:rsidRPr="00143D29">
        <w:rPr>
          <w:rFonts w:cs="Helvetica"/>
          <w:sz w:val="16"/>
          <w:szCs w:val="16"/>
          <w:lang w:val="pt-BR"/>
        </w:rPr>
        <w:t>relación</w:t>
      </w:r>
      <w:proofErr w:type="spellEnd"/>
      <w:r w:rsidRPr="00143D29">
        <w:rPr>
          <w:rFonts w:cs="Helvetica"/>
          <w:sz w:val="16"/>
          <w:szCs w:val="16"/>
          <w:lang w:val="pt-BR"/>
        </w:rPr>
        <w:t xml:space="preserve"> </w:t>
      </w:r>
      <w:proofErr w:type="spellStart"/>
      <w:r w:rsidRPr="00143D29">
        <w:rPr>
          <w:rFonts w:cs="Helvetica"/>
          <w:sz w:val="16"/>
          <w:szCs w:val="16"/>
          <w:lang w:val="pt-BR"/>
        </w:rPr>
        <w:t>con</w:t>
      </w:r>
      <w:proofErr w:type="spellEnd"/>
      <w:r w:rsidRPr="00143D29">
        <w:rPr>
          <w:rFonts w:cs="Helvetica"/>
          <w:sz w:val="16"/>
          <w:szCs w:val="16"/>
          <w:lang w:val="pt-BR"/>
        </w:rPr>
        <w:t xml:space="preserve"> João Germano da Silva; 6. João Pereira </w:t>
      </w:r>
      <w:proofErr w:type="spellStart"/>
      <w:r w:rsidRPr="00143D29">
        <w:rPr>
          <w:rFonts w:cs="Helvetica"/>
          <w:sz w:val="16"/>
          <w:szCs w:val="16"/>
          <w:lang w:val="pt-BR"/>
        </w:rPr>
        <w:t>en</w:t>
      </w:r>
      <w:proofErr w:type="spellEnd"/>
      <w:r w:rsidRPr="00143D29">
        <w:rPr>
          <w:rFonts w:cs="Helvetica"/>
          <w:sz w:val="16"/>
          <w:szCs w:val="16"/>
          <w:lang w:val="pt-BR"/>
        </w:rPr>
        <w:t xml:space="preserve"> </w:t>
      </w:r>
      <w:proofErr w:type="spellStart"/>
      <w:r w:rsidRPr="00143D29">
        <w:rPr>
          <w:rFonts w:cs="Helvetica"/>
          <w:sz w:val="16"/>
          <w:szCs w:val="16"/>
          <w:lang w:val="pt-BR"/>
        </w:rPr>
        <w:t>relación</w:t>
      </w:r>
      <w:proofErr w:type="spellEnd"/>
      <w:r w:rsidRPr="00143D29">
        <w:rPr>
          <w:rFonts w:cs="Helvetica"/>
          <w:sz w:val="16"/>
          <w:szCs w:val="16"/>
          <w:lang w:val="pt-BR"/>
        </w:rPr>
        <w:t xml:space="preserve"> </w:t>
      </w:r>
      <w:proofErr w:type="spellStart"/>
      <w:r w:rsidRPr="00143D29">
        <w:rPr>
          <w:rFonts w:cs="Helvetica"/>
          <w:sz w:val="16"/>
          <w:szCs w:val="16"/>
          <w:lang w:val="pt-BR"/>
        </w:rPr>
        <w:t>con</w:t>
      </w:r>
      <w:proofErr w:type="spellEnd"/>
      <w:r w:rsidRPr="00143D29">
        <w:rPr>
          <w:rFonts w:cs="Helvetica"/>
          <w:sz w:val="16"/>
          <w:szCs w:val="16"/>
          <w:lang w:val="pt-BR"/>
        </w:rPr>
        <w:t xml:space="preserve"> João Pereira Marinho; 7. </w:t>
      </w:r>
      <w:r w:rsidRPr="00143D29">
        <w:rPr>
          <w:rFonts w:cs="Helvetica"/>
          <w:sz w:val="16"/>
          <w:szCs w:val="16"/>
        </w:rPr>
        <w:t xml:space="preserve">Joaquim Francisco en relación con Joaquim Francisco Xavier; 8. José Carlos en relación con José Carlos Alves dos Santos; 9. José Francisco en relación con José Francisco de Lima; 10. </w:t>
      </w:r>
      <w:proofErr w:type="spellStart"/>
      <w:r w:rsidRPr="00143D29">
        <w:rPr>
          <w:rFonts w:cs="Helvetica"/>
          <w:sz w:val="16"/>
          <w:szCs w:val="16"/>
        </w:rPr>
        <w:t>Manoel</w:t>
      </w:r>
      <w:proofErr w:type="spellEnd"/>
      <w:r w:rsidRPr="00143D29">
        <w:rPr>
          <w:rFonts w:cs="Helvetica"/>
          <w:sz w:val="16"/>
          <w:szCs w:val="16"/>
        </w:rPr>
        <w:t xml:space="preserve"> Alves en relación con </w:t>
      </w:r>
      <w:proofErr w:type="spellStart"/>
      <w:r w:rsidRPr="00143D29">
        <w:rPr>
          <w:rFonts w:cs="Helvetica"/>
          <w:sz w:val="16"/>
          <w:szCs w:val="16"/>
        </w:rPr>
        <w:t>Manoel</w:t>
      </w:r>
      <w:proofErr w:type="spellEnd"/>
      <w:r w:rsidRPr="00143D29">
        <w:rPr>
          <w:rFonts w:cs="Helvetica"/>
          <w:sz w:val="16"/>
          <w:szCs w:val="16"/>
        </w:rPr>
        <w:t xml:space="preserve"> Alves de Oliveira; 11. Pedro P. Andrade en relación con Pedro Pereira de Andrade; 12. Raimundo Gonçalves en relación con Raimundo Gonçalves Lima; 13. Raimundo Nonato en relación con Raimundo Nonato da Silva, 14. </w:t>
      </w:r>
      <w:proofErr w:type="spellStart"/>
      <w:r w:rsidRPr="00143D29">
        <w:rPr>
          <w:rFonts w:cs="Helvetica"/>
          <w:sz w:val="16"/>
          <w:szCs w:val="16"/>
        </w:rPr>
        <w:t>Sebastião</w:t>
      </w:r>
      <w:proofErr w:type="spellEnd"/>
      <w:r w:rsidRPr="00143D29">
        <w:rPr>
          <w:rFonts w:cs="Helvetica"/>
          <w:sz w:val="16"/>
          <w:szCs w:val="16"/>
        </w:rPr>
        <w:t xml:space="preserve"> </w:t>
      </w:r>
      <w:proofErr w:type="spellStart"/>
      <w:r w:rsidRPr="00143D29">
        <w:rPr>
          <w:rFonts w:cs="Helvetica"/>
          <w:sz w:val="16"/>
          <w:szCs w:val="16"/>
        </w:rPr>
        <w:t>Rodrigues</w:t>
      </w:r>
      <w:proofErr w:type="spellEnd"/>
      <w:r w:rsidRPr="00143D29">
        <w:rPr>
          <w:rFonts w:cs="Helvetica"/>
          <w:sz w:val="16"/>
          <w:szCs w:val="16"/>
        </w:rPr>
        <w:t xml:space="preserve"> en relación con </w:t>
      </w:r>
      <w:proofErr w:type="spellStart"/>
      <w:r w:rsidRPr="00143D29">
        <w:rPr>
          <w:rFonts w:cs="Helvetica"/>
          <w:sz w:val="16"/>
          <w:szCs w:val="16"/>
        </w:rPr>
        <w:t>Sebastião</w:t>
      </w:r>
      <w:proofErr w:type="spellEnd"/>
      <w:r w:rsidRPr="00143D29">
        <w:rPr>
          <w:rFonts w:cs="Helvetica"/>
          <w:sz w:val="16"/>
          <w:szCs w:val="16"/>
        </w:rPr>
        <w:t xml:space="preserve"> </w:t>
      </w:r>
      <w:proofErr w:type="spellStart"/>
      <w:r w:rsidRPr="00143D29">
        <w:rPr>
          <w:rFonts w:cs="Helvetica"/>
          <w:sz w:val="16"/>
          <w:szCs w:val="16"/>
        </w:rPr>
        <w:t>Rodrigues</w:t>
      </w:r>
      <w:proofErr w:type="spellEnd"/>
      <w:r w:rsidRPr="00143D29">
        <w:rPr>
          <w:rFonts w:cs="Helvetica"/>
          <w:sz w:val="16"/>
          <w:szCs w:val="16"/>
        </w:rPr>
        <w:t xml:space="preserve"> da Silva.</w:t>
      </w:r>
    </w:p>
  </w:footnote>
  <w:footnote w:id="218">
    <w:p w14:paraId="6A893774"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1752); TC (expediente de prueba, folio 1753), y PP (expediente de prueba, folio 600).</w:t>
      </w:r>
    </w:p>
  </w:footnote>
  <w:footnote w:id="219">
    <w:p w14:paraId="2D215A6C"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1756); TC (expediente de prueba, folio 1757), y PP (expediente de prueba, folio 600).</w:t>
      </w:r>
    </w:p>
  </w:footnote>
  <w:footnote w:id="220">
    <w:p w14:paraId="7396AFAE"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1754); TC (expediente de prueba, folio 1755), y PP (expediente de prueba, folio 600).</w:t>
      </w:r>
    </w:p>
  </w:footnote>
  <w:footnote w:id="221">
    <w:p w14:paraId="76DEAD3B"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 VF (expediente de prueba, folio 1226); RE (expediente de prueba, folio 1758); TC (expediente de prueba, folio 1759), y PP (expediente de prueba, folio 600).</w:t>
      </w:r>
    </w:p>
  </w:footnote>
  <w:footnote w:id="222">
    <w:p w14:paraId="57A8968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1760); TC (expediente de prueba, folio 1761), y PP (expediente de prueba, folio 600).</w:t>
      </w:r>
    </w:p>
  </w:footnote>
  <w:footnote w:id="223">
    <w:p w14:paraId="79A4DBF7"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RE (expediente de prueba, folio 1738) y PP (expediente de prueba, folio 600).</w:t>
      </w:r>
    </w:p>
  </w:footnote>
  <w:footnote w:id="224">
    <w:p w14:paraId="449781C6"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 RE (expediente de prueba, folio 1762); TC (expediente de prueba, folio 1763), y PP (expediente de prueba, folio 600).</w:t>
      </w:r>
    </w:p>
  </w:footnote>
  <w:footnote w:id="225">
    <w:p w14:paraId="035A6A44"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1764); TC (expediente de prueba, folio 1765), y PP (expediente de prueba, folio 600).</w:t>
      </w:r>
    </w:p>
  </w:footnote>
  <w:footnote w:id="226">
    <w:p w14:paraId="3EAB644E"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1766); TC (expediente de prueba, folio 1767), y PP (expediente de prueba, folio 600).</w:t>
      </w:r>
    </w:p>
  </w:footnote>
  <w:footnote w:id="227">
    <w:p w14:paraId="5033E79E"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w:t>
      </w:r>
    </w:p>
  </w:footnote>
  <w:footnote w:id="228">
    <w:p w14:paraId="724965B9"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1768); TC (expediente de prueba, folio 1769), y PP (expediente de prueba, folio 600).</w:t>
      </w:r>
    </w:p>
  </w:footnote>
  <w:footnote w:id="229">
    <w:p w14:paraId="04D0556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Edson </w:t>
      </w:r>
      <w:proofErr w:type="spellStart"/>
      <w:r w:rsidRPr="00143D29">
        <w:rPr>
          <w:rFonts w:cs="Times New Roman"/>
          <w:lang w:val="es-ES"/>
        </w:rPr>
        <w:t>Possidonio</w:t>
      </w:r>
      <w:proofErr w:type="spellEnd"/>
      <w:r w:rsidRPr="00143D29">
        <w:rPr>
          <w:rFonts w:cs="Helvetica"/>
          <w:lang w:val="es-ES"/>
        </w:rPr>
        <w:t xml:space="preserve">. </w:t>
      </w:r>
      <w:r w:rsidRPr="00143D29">
        <w:rPr>
          <w:i/>
          <w:lang w:val="es-ES"/>
        </w:rPr>
        <w:t>Cfr</w:t>
      </w:r>
      <w:r w:rsidRPr="00143D29">
        <w:rPr>
          <w:lang w:val="es-ES"/>
        </w:rPr>
        <w:t>. RI (expediente de prueba, folio 1255); RE (expediente de prueba, folio 1770); TC (expediente de prueba, folio 1771), y PP (expediente de prueba, folio 600).</w:t>
      </w:r>
    </w:p>
  </w:footnote>
  <w:footnote w:id="230">
    <w:p w14:paraId="476A341A"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w:t>
      </w:r>
    </w:p>
  </w:footnote>
  <w:footnote w:id="231">
    <w:p w14:paraId="505DACCD"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RE (expediente de prueba, folio 1740), y PP (expediente de prueba, folio 600).</w:t>
      </w:r>
    </w:p>
  </w:footnote>
  <w:footnote w:id="232">
    <w:p w14:paraId="34BB08C5"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w:t>
      </w:r>
    </w:p>
  </w:footnote>
  <w:footnote w:id="233">
    <w:p w14:paraId="064C2E4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 RE (expediente de prueba, folio 1772); TC (expediente de prueba, folio 1773), y PP (expediente de prueba, folio 600).</w:t>
      </w:r>
    </w:p>
  </w:footnote>
  <w:footnote w:id="234">
    <w:p w14:paraId="33993DC7"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VF (expediente de prueba, folio 1230); RE (expediente de prueba, folio 1742); TC (expediente de prueba, folio 1743), y PP (expediente de prueba, folio 600).</w:t>
      </w:r>
    </w:p>
  </w:footnote>
  <w:footnote w:id="235">
    <w:p w14:paraId="18E3D429"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1774); TC (expediente de prueba, folio 1775), y PP (expediente de prueba, folio 600).</w:t>
      </w:r>
    </w:p>
  </w:footnote>
  <w:footnote w:id="236">
    <w:p w14:paraId="774EECB4"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RE (expediente de prueba, folio 1776); TC (expediente de prueba, folio 1777), y PP (expediente de prueba, folio 600).</w:t>
      </w:r>
    </w:p>
  </w:footnote>
  <w:footnote w:id="237">
    <w:p w14:paraId="29DB9DFE"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 RE (expediente de prueba, folio 1778); TC (expediente de prueba, folio 1779), y PP (expediente de prueba, folio 600).</w:t>
      </w:r>
    </w:p>
  </w:footnote>
  <w:footnote w:id="238">
    <w:p w14:paraId="6948E2A0"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w:t>
      </w:r>
    </w:p>
  </w:footnote>
  <w:footnote w:id="239">
    <w:p w14:paraId="2C2B0DA9"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 RE (expediente de prueba, folio 1780); TC (expediente de prueba, folio 1781), y PP (expediente de prueba, folio 600).</w:t>
      </w:r>
    </w:p>
  </w:footnote>
  <w:footnote w:id="240">
    <w:p w14:paraId="0AB7D7B3"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1782); TC (expediente de prueba, folio 1783), y PP (expediente de prueba, folio 600).</w:t>
      </w:r>
    </w:p>
  </w:footnote>
  <w:footnote w:id="241">
    <w:p w14:paraId="49DAB68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 RE (expediente de prueba, folio 1784); TC (expediente de prueba, folio 1785), y PP (expediente de prueba, folio 600).</w:t>
      </w:r>
    </w:p>
  </w:footnote>
  <w:footnote w:id="242">
    <w:p w14:paraId="669A5F31"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1786); TC (expediente de prueba, folio 1787), y PP (expediente de prueba, folio 600).</w:t>
      </w:r>
    </w:p>
  </w:footnote>
  <w:footnote w:id="243">
    <w:p w14:paraId="4B42D36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 RE (expediente de prueba, folio 1791); TC (expediente de prueba, folio 1790), y PP (expediente de prueba, folio 600).</w:t>
      </w:r>
    </w:p>
  </w:footnote>
  <w:footnote w:id="244">
    <w:p w14:paraId="5DB63418"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1792); TC (expediente de prueba, folio 1793), y PP (expediente de prueba, folio 600).</w:t>
      </w:r>
    </w:p>
  </w:footnote>
  <w:footnote w:id="245">
    <w:p w14:paraId="31F976B4"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 RE (expediente de prueba, folio 1788); TC (expediente de prueba, folio 1789), y PP (expediente de prueba, folio 600).</w:t>
      </w:r>
    </w:p>
  </w:footnote>
  <w:footnote w:id="246">
    <w:p w14:paraId="4A4BA624"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Manuel </w:t>
      </w:r>
      <w:proofErr w:type="spellStart"/>
      <w:r w:rsidRPr="00143D29">
        <w:rPr>
          <w:rFonts w:cs="Times New Roman"/>
          <w:lang w:val="es-ES"/>
        </w:rPr>
        <w:t>Fernandes</w:t>
      </w:r>
      <w:proofErr w:type="spellEnd"/>
      <w:r w:rsidRPr="00143D29">
        <w:rPr>
          <w:rFonts w:cs="Times New Roman"/>
          <w:lang w:val="es-ES"/>
        </w:rPr>
        <w:t xml:space="preserve"> dos Santos. </w:t>
      </w:r>
      <w:r w:rsidRPr="00143D29">
        <w:rPr>
          <w:i/>
          <w:lang w:val="es-ES"/>
        </w:rPr>
        <w:t>Cfr</w:t>
      </w:r>
      <w:r w:rsidRPr="00143D29">
        <w:rPr>
          <w:lang w:val="es-ES"/>
        </w:rPr>
        <w:t>. RE (expediente de prueba, folio 1744); TC (expediente de prueba, folio 1745), y PP (expediente de prueba, folio 600).</w:t>
      </w:r>
    </w:p>
  </w:footnote>
  <w:footnote w:id="247">
    <w:p w14:paraId="5331893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 RE (expediente de prueba, folio 1794); TC (expediente de prueba, folio 1795), y PP (expediente de prueba, folio 600).</w:t>
      </w:r>
    </w:p>
  </w:footnote>
  <w:footnote w:id="248">
    <w:p w14:paraId="2E6B0B62"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1257); VF (expediente de prueba, folio 1231); RE (expediente de prueba, folio 1796); TC (expediente de prueba, folio 1797), y PP (expediente de prueba, folio 600).</w:t>
      </w:r>
    </w:p>
  </w:footnote>
  <w:footnote w:id="249">
    <w:p w14:paraId="5BA06BBE"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w:t>
      </w:r>
    </w:p>
  </w:footnote>
  <w:footnote w:id="250">
    <w:p w14:paraId="34523A41"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Raimundo Amaro Ferreira. </w:t>
      </w:r>
      <w:r w:rsidRPr="00143D29">
        <w:rPr>
          <w:i/>
          <w:lang w:val="es-ES"/>
        </w:rPr>
        <w:t>Cfr</w:t>
      </w:r>
      <w:r w:rsidRPr="00143D29">
        <w:rPr>
          <w:lang w:val="es-ES"/>
        </w:rPr>
        <w:t>. RE (expediente de prueba, folio 1746); TC (expediente de prueba, folio 1747), y PP (expediente de prueba, folio 600).</w:t>
      </w:r>
    </w:p>
  </w:footnote>
  <w:footnote w:id="251">
    <w:p w14:paraId="5191AE79"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1798); TC (expediente de prueba, folio 1799), y PP (expediente de prueba, folio 600).</w:t>
      </w:r>
    </w:p>
  </w:footnote>
  <w:footnote w:id="252">
    <w:p w14:paraId="5CDF3025"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1255); RE (expediente de prueba, folio 1800); TC (expediente de prueba, folio 1801), y PP (expediente de prueba, folio 600).</w:t>
      </w:r>
    </w:p>
  </w:footnote>
  <w:footnote w:id="253">
    <w:p w14:paraId="7946F3A0"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1258); RE (expediente de prueba, folio 1802); TC (expediente de prueba, folio 1803), y PP (expediente de prueba, folio 601).</w:t>
      </w:r>
    </w:p>
  </w:footnote>
  <w:footnote w:id="254">
    <w:p w14:paraId="31FD2874"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 RE (expediente de prueba, folio 1804); TC (expediente de prueba, folio 1805), y PP (expediente de prueba, folio 601).</w:t>
      </w:r>
    </w:p>
  </w:footnote>
  <w:footnote w:id="255">
    <w:p w14:paraId="5805B033"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1254).</w:t>
      </w:r>
    </w:p>
  </w:footnote>
  <w:footnote w:id="256">
    <w:p w14:paraId="6D4567FF"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TC (expediente de prueba, folio 1749) y PP (expediente de prueba, folio 601).</w:t>
      </w:r>
    </w:p>
  </w:footnote>
  <w:footnote w:id="257">
    <w:p w14:paraId="1AB388D1"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TC (expediente de prueba, folio 1751) y PP (expediente de prueba, folio 601).</w:t>
      </w:r>
    </w:p>
  </w:footnote>
  <w:footnote w:id="258">
    <w:p w14:paraId="7494720B"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1256); RE (expediente de prueba, folio 1806); TC (expediente de prueba, folio 1807), y PP (expediente de prueba, folio 601).</w:t>
      </w:r>
    </w:p>
  </w:footnote>
  <w:footnote w:id="259">
    <w:p w14:paraId="7DE81211"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También señalado como </w:t>
      </w:r>
      <w:proofErr w:type="spellStart"/>
      <w:r w:rsidRPr="00143D29">
        <w:rPr>
          <w:rFonts w:cs="Helvetica"/>
          <w:lang w:val="es-ES"/>
        </w:rPr>
        <w:t>Valdiná</w:t>
      </w:r>
      <w:proofErr w:type="spellEnd"/>
      <w:r w:rsidRPr="00143D29">
        <w:rPr>
          <w:rFonts w:cs="Helvetica"/>
          <w:lang w:val="es-ES"/>
        </w:rPr>
        <w:t xml:space="preserve"> Veloso Silva. </w:t>
      </w:r>
      <w:r w:rsidRPr="00143D29">
        <w:rPr>
          <w:i/>
          <w:lang w:val="es-ES"/>
        </w:rPr>
        <w:t>Cfr</w:t>
      </w:r>
      <w:r w:rsidRPr="00143D29">
        <w:rPr>
          <w:lang w:val="es-ES"/>
        </w:rPr>
        <w:t>. RI (expediente de prueba, folio 1257); VF (expediente de prueba, folio 1228); RE (expediente de prueba, folio 1808); TC (expediente de prueba, folio 1809), y PP (expediente de prueba, folio 601).</w:t>
      </w:r>
    </w:p>
  </w:footnote>
  <w:footnote w:id="260">
    <w:p w14:paraId="4B0A22F7"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También señalado como </w:t>
      </w:r>
      <w:proofErr w:type="spellStart"/>
      <w:r w:rsidRPr="00143D29">
        <w:rPr>
          <w:lang w:val="es-ES"/>
        </w:rPr>
        <w:t>Zeno</w:t>
      </w:r>
      <w:proofErr w:type="spellEnd"/>
      <w:r w:rsidRPr="00143D29">
        <w:rPr>
          <w:lang w:val="es-ES"/>
        </w:rPr>
        <w:t xml:space="preserve"> Gomes </w:t>
      </w:r>
      <w:proofErr w:type="spellStart"/>
      <w:r w:rsidRPr="00143D29">
        <w:rPr>
          <w:lang w:val="es-ES"/>
        </w:rPr>
        <w:t>Feitoza</w:t>
      </w:r>
      <w:proofErr w:type="spellEnd"/>
      <w:r w:rsidRPr="00143D29">
        <w:rPr>
          <w:lang w:val="es-ES"/>
        </w:rPr>
        <w:t xml:space="preserve">. </w:t>
      </w:r>
      <w:r w:rsidRPr="00143D29">
        <w:rPr>
          <w:i/>
          <w:lang w:val="es-ES"/>
        </w:rPr>
        <w:t>Cfr</w:t>
      </w:r>
      <w:r w:rsidRPr="00143D29">
        <w:rPr>
          <w:lang w:val="es-ES"/>
        </w:rPr>
        <w:t>. RI (expediente de prueba, folio 1256); VF (expediente de prueba, folio 1227); RE (expediente de prueba, folio 1810); TC (expediente de prueba, folio 1811), y PP (expediente de prueba, folio 601).</w:t>
      </w:r>
    </w:p>
  </w:footnote>
  <w:footnote w:id="261">
    <w:p w14:paraId="5EEC4342" w14:textId="77777777" w:rsidR="00D4299B" w:rsidRPr="00143D29" w:rsidRDefault="00D4299B" w:rsidP="00D761C7">
      <w:pPr>
        <w:pStyle w:val="Textonotapie"/>
        <w:tabs>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Informe de 31 de marzo de 2000 sobre la fiscalización de la Hacienda Brasil Verde (expediente de prueba, folios 9571 y 9573); Informe de 20 de octubre de 1999 sobre la fiscalización de la Hacienda Brasil Verde (expediente de prueba, folio 7546); declaración de Francisco Fabiano Leandro, recibida durante la diligencia in situ, realizada el 6 de 2016; declaración de Francisco das Chagas Bastos Souza, recibida durante la diligencia in situ, realizada el 6 de 2016, y declaración de </w:t>
      </w:r>
      <w:proofErr w:type="spellStart"/>
      <w:r w:rsidRPr="00143D29">
        <w:rPr>
          <w:lang w:val="es-ES"/>
        </w:rPr>
        <w:t>Antônio</w:t>
      </w:r>
      <w:proofErr w:type="spellEnd"/>
      <w:r w:rsidRPr="00143D29">
        <w:rPr>
          <w:lang w:val="es-ES"/>
        </w:rPr>
        <w:t xml:space="preserve"> Francisco da Silva, recibida durante la diligencia in situ, realizada el 6 de 2016.</w:t>
      </w:r>
    </w:p>
  </w:footnote>
  <w:footnote w:id="262">
    <w:p w14:paraId="28DD198A" w14:textId="77777777" w:rsidR="00D4299B" w:rsidRPr="00143D29" w:rsidRDefault="00D4299B" w:rsidP="00D761C7">
      <w:pPr>
        <w:tabs>
          <w:tab w:val="left" w:pos="567"/>
        </w:tabs>
        <w:spacing w:after="20"/>
        <w:jc w:val="both"/>
        <w:rPr>
          <w:sz w:val="16"/>
          <w:szCs w:val="16"/>
        </w:rPr>
      </w:pPr>
      <w:r w:rsidRPr="00143D29">
        <w:rPr>
          <w:rStyle w:val="Refdenotaalpie"/>
          <w:sz w:val="16"/>
          <w:szCs w:val="16"/>
        </w:rPr>
        <w:footnoteRef/>
      </w:r>
      <w:r w:rsidRPr="00143D29">
        <w:rPr>
          <w:sz w:val="16"/>
          <w:szCs w:val="16"/>
        </w:rPr>
        <w:t xml:space="preserve"> </w:t>
      </w:r>
      <w:r w:rsidRPr="00143D29">
        <w:rPr>
          <w:i/>
          <w:sz w:val="16"/>
          <w:szCs w:val="16"/>
        </w:rPr>
        <w:t>Cfr</w:t>
      </w:r>
      <w:r w:rsidRPr="00143D29">
        <w:rPr>
          <w:sz w:val="16"/>
          <w:szCs w:val="16"/>
        </w:rPr>
        <w:t xml:space="preserve">. </w:t>
      </w:r>
      <w:r w:rsidRPr="00143D29">
        <w:rPr>
          <w:i/>
          <w:sz w:val="16"/>
          <w:szCs w:val="16"/>
        </w:rPr>
        <w:t>Caso Masacres de El Mozote y lugares aledaños</w:t>
      </w:r>
      <w:r w:rsidRPr="00143D29">
        <w:rPr>
          <w:sz w:val="16"/>
          <w:szCs w:val="16"/>
        </w:rPr>
        <w:t>, párr. 54.</w:t>
      </w:r>
    </w:p>
  </w:footnote>
  <w:footnote w:id="263">
    <w:p w14:paraId="45297F7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607); TC (expediente de prueba, folio 608), y PP (expediente de prueba, folio 602).</w:t>
      </w:r>
    </w:p>
  </w:footnote>
  <w:footnote w:id="264">
    <w:p w14:paraId="640B4115"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609); TC (expediente de prueba, folio 610), y PP (expediente de prueba, folio 602).</w:t>
      </w:r>
    </w:p>
  </w:footnote>
  <w:footnote w:id="265">
    <w:p w14:paraId="1ECCA875"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611); TC (expediente de prueba, folio 612), y PP (expediente de prueba, folio 602).</w:t>
      </w:r>
    </w:p>
  </w:footnote>
  <w:footnote w:id="266">
    <w:p w14:paraId="2C67649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613); TC (629), y PP (expediente de prueba, folio 602).</w:t>
      </w:r>
    </w:p>
  </w:footnote>
  <w:footnote w:id="267">
    <w:p w14:paraId="158A2D9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614); TC (expediente de prueba, folio 615), y PP (expediente de prueba, folio 602).</w:t>
      </w:r>
    </w:p>
  </w:footnote>
  <w:footnote w:id="268">
    <w:p w14:paraId="71042A62"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616); TC (expediente de prueba, folio 617), y PP (expediente de prueba, folio 602).</w:t>
      </w:r>
    </w:p>
  </w:footnote>
  <w:footnote w:id="269">
    <w:p w14:paraId="47DAEFB5"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630); TC (expediente de prueba, folio 631), y PP (expediente de prueba, folio 602).</w:t>
      </w:r>
    </w:p>
  </w:footnote>
  <w:footnote w:id="270">
    <w:p w14:paraId="352AC13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proofErr w:type="spellStart"/>
      <w:r w:rsidRPr="00143D29">
        <w:rPr>
          <w:rFonts w:cs="Times New Roman"/>
          <w:lang w:val="es-ES"/>
        </w:rPr>
        <w:t>Antônio</w:t>
      </w:r>
      <w:proofErr w:type="spellEnd"/>
      <w:r w:rsidRPr="00143D29">
        <w:rPr>
          <w:rFonts w:cs="Times New Roman"/>
          <w:lang w:val="es-ES"/>
        </w:rPr>
        <w:t xml:space="preserve"> de Paula </w:t>
      </w:r>
      <w:proofErr w:type="spellStart"/>
      <w:r w:rsidRPr="00143D29">
        <w:rPr>
          <w:rFonts w:cs="Times New Roman"/>
          <w:lang w:val="es-ES"/>
        </w:rPr>
        <w:t>Rodrigues</w:t>
      </w:r>
      <w:proofErr w:type="spellEnd"/>
      <w:r w:rsidRPr="00143D29">
        <w:rPr>
          <w:rFonts w:cs="Times New Roman"/>
          <w:lang w:val="es-ES"/>
        </w:rPr>
        <w:t xml:space="preserve"> de Souza. </w:t>
      </w:r>
      <w:r w:rsidRPr="00143D29">
        <w:rPr>
          <w:rFonts w:cs="Times New Roman"/>
          <w:i/>
          <w:lang w:val="es-ES"/>
        </w:rPr>
        <w:t>Cfr</w:t>
      </w:r>
      <w:r w:rsidRPr="00143D29">
        <w:rPr>
          <w:rFonts w:cs="Times New Roman"/>
          <w:lang w:val="es-ES"/>
        </w:rPr>
        <w:t xml:space="preserve">. </w:t>
      </w:r>
      <w:r w:rsidRPr="00143D29">
        <w:rPr>
          <w:lang w:val="es-ES"/>
        </w:rPr>
        <w:t>RI (expediente de prueba, folio 9615); RE (expediente de prueba, folio 644); TC (expediente de prueba, folio 647), y PP (expediente de prueba, folio 602).</w:t>
      </w:r>
    </w:p>
  </w:footnote>
  <w:footnote w:id="271">
    <w:p w14:paraId="4442C88C"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634); TC (expediente de prueba, folio 635) y PP (expediente de prueba, folio 602).</w:t>
      </w:r>
    </w:p>
  </w:footnote>
  <w:footnote w:id="272">
    <w:p w14:paraId="511488D6"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636); TC (expediente de prueba, folio 637), y PP (expediente de prueba, folio 602).</w:t>
      </w:r>
    </w:p>
  </w:footnote>
  <w:footnote w:id="273">
    <w:p w14:paraId="1BD25BC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638); TC (expediente de prueba, folio 639), y PP (expediente de prueba, folio 602).</w:t>
      </w:r>
    </w:p>
  </w:footnote>
  <w:footnote w:id="274">
    <w:p w14:paraId="70169EB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proofErr w:type="spellStart"/>
      <w:r w:rsidRPr="00143D29">
        <w:rPr>
          <w:rFonts w:cs="Times New Roman"/>
          <w:lang w:val="es-ES"/>
        </w:rPr>
        <w:t>Antônio</w:t>
      </w:r>
      <w:proofErr w:type="spellEnd"/>
      <w:r w:rsidRPr="00143D29">
        <w:rPr>
          <w:rFonts w:cs="Times New Roman"/>
          <w:lang w:val="es-ES"/>
        </w:rPr>
        <w:t xml:space="preserve"> Francisco da S. </w:t>
      </w:r>
      <w:proofErr w:type="spellStart"/>
      <w:r w:rsidRPr="00143D29">
        <w:rPr>
          <w:rFonts w:cs="Times New Roman"/>
          <w:lang w:val="es-ES"/>
        </w:rPr>
        <w:t>Fernandes</w:t>
      </w:r>
      <w:proofErr w:type="spellEnd"/>
      <w:r w:rsidRPr="00143D29">
        <w:rPr>
          <w:rFonts w:cs="Times New Roman"/>
          <w:lang w:val="es-ES"/>
        </w:rPr>
        <w:t xml:space="preserve">. </w:t>
      </w:r>
      <w:r w:rsidRPr="00143D29">
        <w:rPr>
          <w:rFonts w:cs="Times New Roman"/>
          <w:i/>
          <w:lang w:val="es-ES"/>
        </w:rPr>
        <w:t>Cfr</w:t>
      </w:r>
      <w:r w:rsidRPr="00143D29">
        <w:rPr>
          <w:rFonts w:cs="Times New Roman"/>
          <w:lang w:val="es-ES"/>
        </w:rPr>
        <w:t xml:space="preserve">. </w:t>
      </w:r>
      <w:r w:rsidRPr="00143D29">
        <w:rPr>
          <w:lang w:val="es-ES"/>
        </w:rPr>
        <w:t>RE (expediente de prueba, folio 640); TC (expediente de prueba, folio 641), y PP (expediente de prueba, folio 602).</w:t>
      </w:r>
    </w:p>
  </w:footnote>
  <w:footnote w:id="275">
    <w:p w14:paraId="2ED343F2"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642), y PP (expediente de prueba, folio 602).</w:t>
      </w:r>
    </w:p>
  </w:footnote>
  <w:footnote w:id="276">
    <w:p w14:paraId="79E26BC2"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632); TC (expediente de prueba, folio 633), y PP (expediente de prueba, folio 603).</w:t>
      </w:r>
    </w:p>
  </w:footnote>
  <w:footnote w:id="277">
    <w:p w14:paraId="7E4CF14D"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rFonts w:cs="Times New Roman"/>
          <w:i/>
          <w:lang w:val="es-ES"/>
        </w:rPr>
        <w:t>Cfr</w:t>
      </w:r>
      <w:r w:rsidRPr="00143D29">
        <w:rPr>
          <w:rFonts w:cs="Times New Roman"/>
          <w:lang w:val="es-ES"/>
        </w:rPr>
        <w:t xml:space="preserve">. </w:t>
      </w:r>
      <w:r w:rsidRPr="00143D29">
        <w:rPr>
          <w:lang w:val="es-ES"/>
        </w:rPr>
        <w:t>RI (expediente de prueba, folio 9616); RE (expediente de prueba, folio 648); TC (expediente de prueba, folio 665), y PP (expediente de prueba, folio 603).</w:t>
      </w:r>
    </w:p>
  </w:footnote>
  <w:footnote w:id="278">
    <w:p w14:paraId="68D212AD"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RI (expediente de prueba, folio 9616).</w:t>
      </w:r>
    </w:p>
  </w:footnote>
  <w:footnote w:id="279">
    <w:p w14:paraId="5E2372D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666); TC (expediente de prueba, folio 667), y PP (expediente de prueba, folio 603).</w:t>
      </w:r>
    </w:p>
  </w:footnote>
  <w:footnote w:id="280">
    <w:p w14:paraId="10FA06A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668); TC (expediente de prueba, folio 669), y PP (expediente de prueba, folio 603).</w:t>
      </w:r>
    </w:p>
  </w:footnote>
  <w:footnote w:id="281">
    <w:p w14:paraId="62DD753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Carlos André da C. Pereira. </w:t>
      </w:r>
      <w:r w:rsidRPr="00143D29">
        <w:rPr>
          <w:rFonts w:cs="Times New Roman"/>
          <w:i/>
          <w:lang w:val="es-ES"/>
        </w:rPr>
        <w:t>Cfr</w:t>
      </w:r>
      <w:r w:rsidRPr="00143D29">
        <w:rPr>
          <w:rFonts w:cs="Times New Roman"/>
          <w:lang w:val="es-ES"/>
        </w:rPr>
        <w:t xml:space="preserve">. </w:t>
      </w:r>
      <w:r w:rsidRPr="00143D29">
        <w:rPr>
          <w:lang w:val="es-ES"/>
        </w:rPr>
        <w:t>RI (expediente de prueba, folio 9615); RE (expediente de prueba, folio 670); TC (expediente de prueba, folio 671), y PP (expediente de prueba, folio 603).</w:t>
      </w:r>
    </w:p>
  </w:footnote>
  <w:footnote w:id="282">
    <w:p w14:paraId="64E62B7F"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672); TC (expediente de prueba, folio 673), y PP (expediente de prueba, folio 603).</w:t>
      </w:r>
    </w:p>
  </w:footnote>
  <w:footnote w:id="283">
    <w:p w14:paraId="6D1F9EA5"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674); TC (expediente de prueba, folio 675), y PP (expediente de prueba, folio 603).</w:t>
      </w:r>
    </w:p>
  </w:footnote>
  <w:footnote w:id="284">
    <w:p w14:paraId="7116154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676); TC (expediente de prueba, folio 677), y PP (expediente de prueba, folio 603).</w:t>
      </w:r>
    </w:p>
  </w:footnote>
  <w:footnote w:id="285">
    <w:p w14:paraId="773B300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678); TC (expediente de prueba, folio 679), y PP (expediente de prueba, folio 603).</w:t>
      </w:r>
    </w:p>
  </w:footnote>
  <w:footnote w:id="286">
    <w:p w14:paraId="34ADE09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680); TC (expediente de prueba, folio 681), y PP (expediente de prueba, folio 603).</w:t>
      </w:r>
    </w:p>
  </w:footnote>
  <w:footnote w:id="287">
    <w:p w14:paraId="0D8E0AA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682); TC (expediente de prueba, folio 683), y PP (expediente de prueba, folio 603).</w:t>
      </w:r>
    </w:p>
  </w:footnote>
  <w:footnote w:id="288">
    <w:p w14:paraId="1D3B5D92"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684); TC (expediente de prueba, folio 685), y PP (expediente de prueba, folio 603).</w:t>
      </w:r>
    </w:p>
  </w:footnote>
  <w:footnote w:id="289">
    <w:p w14:paraId="098166A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Francisco das Chagas A. Carvalho. </w:t>
      </w:r>
      <w:r w:rsidRPr="00143D29">
        <w:rPr>
          <w:rFonts w:cs="Times New Roman"/>
          <w:i/>
          <w:lang w:val="es-ES"/>
        </w:rPr>
        <w:t>Cfr</w:t>
      </w:r>
      <w:r w:rsidRPr="00143D29">
        <w:rPr>
          <w:rFonts w:cs="Times New Roman"/>
          <w:lang w:val="es-ES"/>
        </w:rPr>
        <w:t xml:space="preserve">. </w:t>
      </w:r>
      <w:r w:rsidRPr="00143D29">
        <w:rPr>
          <w:lang w:val="es-ES"/>
        </w:rPr>
        <w:t>RI (expediente de prueba, folio 9616); RE (expediente de prueba, folio 686); TC (expediente de prueba, folio 687), y PP (expediente de prueba, folio 603).</w:t>
      </w:r>
    </w:p>
  </w:footnote>
  <w:footnote w:id="290">
    <w:p w14:paraId="444C12D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y VF (9656).</w:t>
      </w:r>
    </w:p>
  </w:footnote>
  <w:footnote w:id="291">
    <w:p w14:paraId="357BE42D" w14:textId="77777777" w:rsidR="00D4299B" w:rsidRPr="00143D29" w:rsidRDefault="00D4299B" w:rsidP="00D761C7">
      <w:pPr>
        <w:pStyle w:val="Textonotapie"/>
        <w:spacing w:after="20"/>
        <w:rPr>
          <w:rFonts w:cs="Times New Roman"/>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Francisco das Chagas C. Carvalho. </w:t>
      </w:r>
      <w:r w:rsidRPr="00143D29">
        <w:rPr>
          <w:rFonts w:cs="Times New Roman"/>
          <w:i/>
          <w:lang w:val="es-ES"/>
        </w:rPr>
        <w:t>Cfr</w:t>
      </w:r>
      <w:r w:rsidRPr="00143D29">
        <w:rPr>
          <w:rFonts w:cs="Times New Roman"/>
          <w:lang w:val="es-ES"/>
        </w:rPr>
        <w:t xml:space="preserve">. </w:t>
      </w:r>
      <w:r w:rsidRPr="00143D29">
        <w:rPr>
          <w:lang w:val="es-ES"/>
        </w:rPr>
        <w:t>RI (expediente de prueba, folio 9616); RE (expediente de prueba, folio 688); TC (expediente de prueba, folio 689), y PP (expediente de prueba, folio 603).</w:t>
      </w:r>
    </w:p>
  </w:footnote>
  <w:footnote w:id="292">
    <w:p w14:paraId="6CED67E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Francisco das Chagas C. Rabelo. </w:t>
      </w:r>
      <w:r w:rsidRPr="00143D29">
        <w:rPr>
          <w:rFonts w:cs="Times New Roman"/>
          <w:i/>
          <w:lang w:val="es-ES"/>
        </w:rPr>
        <w:t>Cfr</w:t>
      </w:r>
      <w:r w:rsidRPr="00143D29">
        <w:rPr>
          <w:rFonts w:cs="Times New Roman"/>
          <w:lang w:val="es-ES"/>
        </w:rPr>
        <w:t xml:space="preserve">. </w:t>
      </w:r>
      <w:r w:rsidRPr="00143D29">
        <w:rPr>
          <w:lang w:val="es-ES"/>
        </w:rPr>
        <w:t>RI (expediente de prueba, folio 9616); RE (expediente de prueba, folio 690); TC (expediente de prueba, folio 691), y PP (expediente de prueba, folio 603).</w:t>
      </w:r>
    </w:p>
  </w:footnote>
  <w:footnote w:id="293">
    <w:p w14:paraId="6AB8667B"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Francisco das Chagas da S. Lira y Francisco das Chagas da Silva Lima. </w:t>
      </w:r>
      <w:r w:rsidRPr="00143D29">
        <w:rPr>
          <w:rFonts w:cs="Times New Roman"/>
          <w:i/>
          <w:lang w:val="es-ES"/>
        </w:rPr>
        <w:t>Cfr</w:t>
      </w:r>
      <w:r w:rsidRPr="00143D29">
        <w:rPr>
          <w:rFonts w:cs="Times New Roman"/>
          <w:lang w:val="es-ES"/>
        </w:rPr>
        <w:t xml:space="preserve">. </w:t>
      </w:r>
      <w:r w:rsidRPr="00143D29">
        <w:rPr>
          <w:lang w:val="es-ES"/>
        </w:rPr>
        <w:t xml:space="preserve">RI (expediente de prueba, folio 9616); RE (expediente de prueba, folio 692), y PP (expediente de prueba, folio 603). </w:t>
      </w:r>
    </w:p>
  </w:footnote>
  <w:footnote w:id="294">
    <w:p w14:paraId="3F405AD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rFonts w:cs="Times New Roman"/>
          <w:i/>
          <w:lang w:val="es-ES"/>
        </w:rPr>
        <w:t>Cfr</w:t>
      </w:r>
      <w:r w:rsidRPr="00143D29">
        <w:rPr>
          <w:rFonts w:cs="Times New Roman"/>
          <w:lang w:val="es-ES"/>
        </w:rPr>
        <w:t xml:space="preserve">. </w:t>
      </w:r>
      <w:r w:rsidRPr="00143D29">
        <w:rPr>
          <w:lang w:val="es-ES"/>
        </w:rPr>
        <w:t>RI (expediente de prueba, folio 9616); RE (expediente de prueba, folio 720); TC (expediente de prueba, folio 721), y PP (expediente de prueba, folio 603).</w:t>
      </w:r>
    </w:p>
  </w:footnote>
  <w:footnote w:id="295">
    <w:p w14:paraId="22EADCD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694); TC (expediente de prueba, folio 695), y PP (expediente de prueba, folio 603).</w:t>
      </w:r>
    </w:p>
  </w:footnote>
  <w:footnote w:id="296">
    <w:p w14:paraId="272767BF"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Francisco das Chagas M. Alves. </w:t>
      </w:r>
      <w:r w:rsidRPr="00143D29">
        <w:rPr>
          <w:rFonts w:cs="Times New Roman"/>
          <w:i/>
          <w:lang w:val="es-ES"/>
        </w:rPr>
        <w:t>Cfr</w:t>
      </w:r>
      <w:r w:rsidRPr="00143D29">
        <w:rPr>
          <w:rFonts w:cs="Times New Roman"/>
          <w:lang w:val="es-ES"/>
        </w:rPr>
        <w:t xml:space="preserve">. </w:t>
      </w:r>
      <w:r w:rsidRPr="00143D29">
        <w:rPr>
          <w:lang w:val="es-ES"/>
        </w:rPr>
        <w:t>RI (expediente de prueba, folio 9615); RE (expediente de prueba, folio 696); TC (expediente de prueba, folio 697), y PP (expediente de prueba, folio 603).</w:t>
      </w:r>
    </w:p>
  </w:footnote>
  <w:footnote w:id="297">
    <w:p w14:paraId="2DC3C7FB"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Francisco das Chagas R. de Sousa. </w:t>
      </w:r>
      <w:r w:rsidRPr="00143D29">
        <w:rPr>
          <w:rFonts w:cs="Times New Roman"/>
          <w:i/>
          <w:lang w:val="es-ES"/>
        </w:rPr>
        <w:t>Cfr</w:t>
      </w:r>
      <w:r w:rsidRPr="00143D29">
        <w:rPr>
          <w:rFonts w:cs="Times New Roman"/>
          <w:lang w:val="es-ES"/>
        </w:rPr>
        <w:t xml:space="preserve">. </w:t>
      </w:r>
      <w:r w:rsidRPr="00143D29">
        <w:rPr>
          <w:lang w:val="es-ES"/>
        </w:rPr>
        <w:t>RE (expediente de prueba, folio 698); TC (expediente de prueba, folio 699), y PP (expediente de prueba, folio 603).</w:t>
      </w:r>
    </w:p>
  </w:footnote>
  <w:footnote w:id="298">
    <w:p w14:paraId="4ADBA77F"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Francisco das Chagas S. Cardoso. </w:t>
      </w:r>
      <w:r w:rsidRPr="00143D29">
        <w:rPr>
          <w:i/>
          <w:lang w:val="es-ES"/>
        </w:rPr>
        <w:t>Cfr.</w:t>
      </w:r>
      <w:r w:rsidRPr="00143D29">
        <w:rPr>
          <w:lang w:val="es-ES"/>
        </w:rPr>
        <w:t xml:space="preserve"> RI (expediente de prueba, folio 9615); RE (expediente de prueba, folio 700); TC (expediente de prueba, folio 701), y PP (expediente de prueba, folio 603).</w:t>
      </w:r>
    </w:p>
  </w:footnote>
  <w:footnote w:id="299">
    <w:p w14:paraId="67B59FA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702); TC (expediente de prueba, folio 703), y PP (expediente de prueba, folio 603).</w:t>
      </w:r>
    </w:p>
  </w:footnote>
  <w:footnote w:id="300">
    <w:p w14:paraId="3DB9E44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704); TC (expediente de prueba, folio 705), y PP (expediente de prueba, folio 603).</w:t>
      </w:r>
    </w:p>
  </w:footnote>
  <w:footnote w:id="301">
    <w:p w14:paraId="1F77CDF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Francisco de Sousa Brígido. </w:t>
      </w:r>
      <w:r w:rsidRPr="00143D29">
        <w:rPr>
          <w:rFonts w:cs="Times New Roman"/>
          <w:i/>
          <w:lang w:val="es-ES"/>
        </w:rPr>
        <w:t>Cfr</w:t>
      </w:r>
      <w:r w:rsidRPr="00143D29">
        <w:rPr>
          <w:rFonts w:cs="Times New Roman"/>
          <w:lang w:val="es-ES"/>
        </w:rPr>
        <w:t xml:space="preserve">. </w:t>
      </w:r>
      <w:r w:rsidRPr="00143D29">
        <w:rPr>
          <w:lang w:val="es-ES"/>
        </w:rPr>
        <w:t>RI (expediente de prueba, folio 9615); RE (expediente de prueba, folio 706); TC (expediente de prueba, folio 707), y PP (expediente de prueba, folio 603).</w:t>
      </w:r>
    </w:p>
  </w:footnote>
  <w:footnote w:id="302">
    <w:p w14:paraId="52244EF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708), y PP (expediente de prueba, folio 603).</w:t>
      </w:r>
    </w:p>
  </w:footnote>
  <w:footnote w:id="303">
    <w:p w14:paraId="55F677A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710), y PP (expediente de prueba, folio 603).</w:t>
      </w:r>
    </w:p>
  </w:footnote>
  <w:footnote w:id="304">
    <w:p w14:paraId="6B5A242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712); TC (expediente de prueba, folio 713), y PP (expediente de prueba, folio 603).</w:t>
      </w:r>
    </w:p>
  </w:footnote>
  <w:footnote w:id="305">
    <w:p w14:paraId="7C29D31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w:t>
      </w:r>
      <w:proofErr w:type="gramStart"/>
      <w:r w:rsidRPr="00143D29">
        <w:rPr>
          <w:lang w:val="es-ES"/>
        </w:rPr>
        <w:t>);RE</w:t>
      </w:r>
      <w:proofErr w:type="gramEnd"/>
      <w:r w:rsidRPr="00143D29">
        <w:rPr>
          <w:lang w:val="es-ES"/>
        </w:rPr>
        <w:t xml:space="preserve"> (expediente de prueba, folio 714); TC (expediente de prueba, folio 715), y PP (expediente de prueba, folio 603).</w:t>
      </w:r>
    </w:p>
  </w:footnote>
  <w:footnote w:id="306">
    <w:p w14:paraId="6B9515E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716); TC (expediente de prueba, folio 717), y PP (expediente de prueba, folio 603).</w:t>
      </w:r>
    </w:p>
  </w:footnote>
  <w:footnote w:id="307">
    <w:p w14:paraId="5176A12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718); TC (expediente de prueba, folio 719), y PP (expediente de prueba, folio 603).</w:t>
      </w:r>
    </w:p>
  </w:footnote>
  <w:footnote w:id="308">
    <w:p w14:paraId="4F1030D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722); TC (expediente de prueba, folio 723), y PP (expediente de prueba, folio 603).</w:t>
      </w:r>
    </w:p>
  </w:footnote>
  <w:footnote w:id="309">
    <w:p w14:paraId="3B2EE81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y VF (f. 9699).</w:t>
      </w:r>
    </w:p>
  </w:footnote>
  <w:footnote w:id="310">
    <w:p w14:paraId="1189E25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724); TC (expediente de prueba, folio 725), y PP (expediente de prueba, folio 603).</w:t>
      </w:r>
    </w:p>
  </w:footnote>
  <w:footnote w:id="311">
    <w:p w14:paraId="71BC06D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726); TC (expediente de prueba, folio 727), y PP (expediente de prueba, folio 603).</w:t>
      </w:r>
    </w:p>
  </w:footnote>
  <w:footnote w:id="312">
    <w:p w14:paraId="555FD9B2"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728); TC (expediente de prueba, folio 729), y PP (expediente de prueba, folio 603).</w:t>
      </w:r>
    </w:p>
  </w:footnote>
  <w:footnote w:id="313">
    <w:p w14:paraId="592F6F48"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730); TC (expediente de prueba, folio 731), y PP (expediente de prueba, folio 603).</w:t>
      </w:r>
    </w:p>
  </w:footnote>
  <w:footnote w:id="314">
    <w:p w14:paraId="0BCD1366"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proofErr w:type="spellStart"/>
      <w:r w:rsidRPr="00143D29">
        <w:rPr>
          <w:lang w:val="es-ES"/>
        </w:rPr>
        <w:t>Gonçalo</w:t>
      </w:r>
      <w:proofErr w:type="spellEnd"/>
      <w:r w:rsidRPr="00143D29">
        <w:rPr>
          <w:lang w:val="es-ES"/>
        </w:rPr>
        <w:t xml:space="preserve"> </w:t>
      </w:r>
      <w:proofErr w:type="spellStart"/>
      <w:r w:rsidRPr="00143D29">
        <w:rPr>
          <w:lang w:val="es-ES"/>
        </w:rPr>
        <w:t>Firmino</w:t>
      </w:r>
      <w:proofErr w:type="spellEnd"/>
      <w:r w:rsidRPr="00143D29">
        <w:rPr>
          <w:lang w:val="es-ES"/>
        </w:rPr>
        <w:t xml:space="preserve"> de Souza. </w:t>
      </w:r>
      <w:r w:rsidRPr="00143D29">
        <w:rPr>
          <w:i/>
          <w:lang w:val="es-ES"/>
        </w:rPr>
        <w:t>Cfr.</w:t>
      </w:r>
      <w:r w:rsidRPr="00143D29">
        <w:rPr>
          <w:lang w:val="es-ES"/>
        </w:rPr>
        <w:t xml:space="preserve"> RI (expediente de prueba, folio 9616); RE (expediente de prueba, folio 732); TC (expediente de prueba, folio 733), y PP (expediente de prueba, folio 603).</w:t>
      </w:r>
    </w:p>
  </w:footnote>
  <w:footnote w:id="315">
    <w:p w14:paraId="556DD54B"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734); TC (expediente de prueba, folio 735), y PP (expediente de prueba, folio 603).</w:t>
      </w:r>
    </w:p>
  </w:footnote>
  <w:footnote w:id="316">
    <w:p w14:paraId="719C82A6"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RE (expediente de prueba, folio 736); TC (expediente de prueba, folio 737), y PP (expediente de prueba, folio 603).</w:t>
      </w:r>
    </w:p>
  </w:footnote>
  <w:footnote w:id="317">
    <w:p w14:paraId="1C4D036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proofErr w:type="spellStart"/>
      <w:r w:rsidRPr="00143D29">
        <w:rPr>
          <w:rFonts w:cs="Times New Roman"/>
          <w:lang w:val="es-ES"/>
        </w:rPr>
        <w:t>Genival</w:t>
      </w:r>
      <w:proofErr w:type="spellEnd"/>
      <w:r w:rsidRPr="00143D29">
        <w:rPr>
          <w:rFonts w:cs="Times New Roman"/>
          <w:lang w:val="es-ES"/>
        </w:rPr>
        <w:t xml:space="preserve"> </w:t>
      </w:r>
      <w:proofErr w:type="spellStart"/>
      <w:r w:rsidRPr="00143D29">
        <w:rPr>
          <w:rFonts w:cs="Times New Roman"/>
          <w:lang w:val="es-ES"/>
        </w:rPr>
        <w:t>Lopes</w:t>
      </w:r>
      <w:proofErr w:type="spellEnd"/>
      <w:r w:rsidRPr="00143D29">
        <w:rPr>
          <w:rFonts w:cs="Times New Roman"/>
          <w:lang w:val="es-ES"/>
        </w:rPr>
        <w:t xml:space="preserve">. </w:t>
      </w:r>
      <w:r w:rsidRPr="00143D29">
        <w:rPr>
          <w:rFonts w:cs="Times New Roman"/>
          <w:i/>
          <w:lang w:val="es-ES"/>
        </w:rPr>
        <w:t>Cfr</w:t>
      </w:r>
      <w:r w:rsidRPr="00143D29">
        <w:rPr>
          <w:rFonts w:cs="Times New Roman"/>
          <w:lang w:val="es-ES"/>
        </w:rPr>
        <w:t xml:space="preserve">. </w:t>
      </w:r>
      <w:r w:rsidRPr="00143D29">
        <w:rPr>
          <w:lang w:val="es-ES"/>
        </w:rPr>
        <w:t>RI (expediente de prueba, folio 9615); RE (expediente de prueba, folio 738); TC (expediente de prueba, folio 739), y PP (expediente de prueba, folio 603).</w:t>
      </w:r>
    </w:p>
  </w:footnote>
  <w:footnote w:id="318">
    <w:p w14:paraId="518966C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740); TC (expediente de prueba, folio 741), y PP (expediente de prueba, folio 603).</w:t>
      </w:r>
    </w:p>
  </w:footnote>
  <w:footnote w:id="319">
    <w:p w14:paraId="1F39D07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742); TC (expediente de prueba, folio 743), y PP (expediente de prueba, folio 603).</w:t>
      </w:r>
    </w:p>
  </w:footnote>
  <w:footnote w:id="320">
    <w:p w14:paraId="08003B95"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José de Deus de </w:t>
      </w:r>
      <w:proofErr w:type="spellStart"/>
      <w:r w:rsidRPr="00143D29">
        <w:rPr>
          <w:lang w:val="es-ES"/>
        </w:rPr>
        <w:t>Jesus</w:t>
      </w:r>
      <w:proofErr w:type="spellEnd"/>
      <w:r w:rsidRPr="00143D29">
        <w:rPr>
          <w:lang w:val="es-ES"/>
        </w:rPr>
        <w:t xml:space="preserve"> Souza. </w:t>
      </w:r>
      <w:r w:rsidRPr="00143D29">
        <w:rPr>
          <w:i/>
          <w:lang w:val="es-ES"/>
        </w:rPr>
        <w:t>Cfr.</w:t>
      </w:r>
      <w:r w:rsidRPr="00143D29">
        <w:rPr>
          <w:lang w:val="es-ES"/>
        </w:rPr>
        <w:t xml:space="preserve"> RI (expediente de prueba, folio 9616); RE (expediente de prueba, folio 744); TC (expediente de prueba, folio 745), y PP (expediente de prueba, folio 603).</w:t>
      </w:r>
    </w:p>
  </w:footnote>
  <w:footnote w:id="321">
    <w:p w14:paraId="0BFA736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w:t>
      </w:r>
      <w:r w:rsidRPr="00143D29">
        <w:rPr>
          <w:rFonts w:cs="Times New Roman"/>
          <w:lang w:val="es-ES"/>
        </w:rPr>
        <w:t xml:space="preserve">José de </w:t>
      </w:r>
      <w:proofErr w:type="spellStart"/>
      <w:r w:rsidRPr="00143D29">
        <w:rPr>
          <w:rFonts w:cs="Times New Roman"/>
          <w:lang w:val="es-ES"/>
        </w:rPr>
        <w:t>Ribamar</w:t>
      </w:r>
      <w:proofErr w:type="spellEnd"/>
      <w:r w:rsidRPr="00143D29">
        <w:rPr>
          <w:rFonts w:cs="Times New Roman"/>
          <w:lang w:val="es-ES"/>
        </w:rPr>
        <w:t xml:space="preserve"> Sousa. </w:t>
      </w:r>
      <w:r w:rsidRPr="00143D29">
        <w:rPr>
          <w:rFonts w:cs="Times New Roman"/>
          <w:i/>
          <w:lang w:val="es-ES"/>
        </w:rPr>
        <w:t>Cfr</w:t>
      </w:r>
      <w:r w:rsidRPr="00143D29">
        <w:rPr>
          <w:rFonts w:cs="Times New Roman"/>
          <w:lang w:val="es-ES"/>
        </w:rPr>
        <w:t>.</w:t>
      </w:r>
      <w:r w:rsidRPr="00143D29">
        <w:rPr>
          <w:lang w:val="es-ES"/>
        </w:rPr>
        <w:t xml:space="preserve"> RI (expediente de prueba, folio 9615); RE (expediente de prueba, folio 746); TC (expediente de prueba, folio 747), y PP (expediente de prueba, folio 603).</w:t>
      </w:r>
    </w:p>
  </w:footnote>
  <w:footnote w:id="322">
    <w:p w14:paraId="22294F8B"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748); TC (expediente de prueba, folio 749), y PP (expediente de prueba, folio 604).</w:t>
      </w:r>
    </w:p>
  </w:footnote>
  <w:footnote w:id="323">
    <w:p w14:paraId="25DD524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750); TC (expediente de prueba, folio 751), y PP (expediente de prueba, folio 604).</w:t>
      </w:r>
    </w:p>
  </w:footnote>
  <w:footnote w:id="324">
    <w:p w14:paraId="36AA2BE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752); TC (expediente de prueba, folio 753), y PP (expediente de prueba, folio 604).</w:t>
      </w:r>
    </w:p>
  </w:footnote>
  <w:footnote w:id="325">
    <w:p w14:paraId="3963536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754); TC (expediente de prueba, folio 755), y PP (expediente de prueba, folio 604).</w:t>
      </w:r>
    </w:p>
  </w:footnote>
  <w:footnote w:id="326">
    <w:p w14:paraId="32825986"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756); TC (expediente de prueba, folio 757), y PP (expediente de prueba, folio 604).</w:t>
      </w:r>
    </w:p>
  </w:footnote>
  <w:footnote w:id="327">
    <w:p w14:paraId="4DB146BD"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758); TC (expediente de prueba, folio 759), y PP (expediente de prueba, folio 604).</w:t>
      </w:r>
    </w:p>
  </w:footnote>
  <w:footnote w:id="328">
    <w:p w14:paraId="24F3B16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760); TC (expediente de prueba, folio 761), y PP (expediente de prueba, folio 604).</w:t>
      </w:r>
    </w:p>
  </w:footnote>
  <w:footnote w:id="329">
    <w:p w14:paraId="33EA8A9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762), y PP (expediente de prueba, folio 604).</w:t>
      </w:r>
    </w:p>
  </w:footnote>
  <w:footnote w:id="330">
    <w:p w14:paraId="47D3EDEB"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764), y PP (expediente de prueba, folio 604);</w:t>
      </w:r>
    </w:p>
  </w:footnote>
  <w:footnote w:id="331">
    <w:p w14:paraId="285B1E26"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766); TC (expediente de prueba, folio 767), y PP (expediente de prueba, folio 604).</w:t>
      </w:r>
    </w:p>
  </w:footnote>
  <w:footnote w:id="332">
    <w:p w14:paraId="4AA0601C"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768); TC (expediente de prueba, folio 769), y PP (expediente de prueba, folio 604).</w:t>
      </w:r>
    </w:p>
  </w:footnote>
  <w:footnote w:id="333">
    <w:p w14:paraId="0593F6E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770); TC (expediente de prueba, folio 771), y PP (expediente de prueba, folio 604).</w:t>
      </w:r>
    </w:p>
  </w:footnote>
  <w:footnote w:id="334">
    <w:p w14:paraId="1872CE0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772); TC (expediente de prueba, folio 773), y PP (expediente de prueba, folio 604).</w:t>
      </w:r>
    </w:p>
  </w:footnote>
  <w:footnote w:id="335">
    <w:p w14:paraId="07560C6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774); TC (expediente de prueba, folio 775), y PP (expediente de prueba, folio 604).</w:t>
      </w:r>
    </w:p>
  </w:footnote>
  <w:footnote w:id="336">
    <w:p w14:paraId="0B259D1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RE (expediente de prueba, folio 776); TC (expediente de prueba, folio 777), y PP (expediente de prueba, folio 604).</w:t>
      </w:r>
    </w:p>
  </w:footnote>
  <w:footnote w:id="337">
    <w:p w14:paraId="3D072EA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778); TC (expediente de prueba, folio 779), y PP (expediente de prueba, folio 604).</w:t>
      </w:r>
    </w:p>
  </w:footnote>
  <w:footnote w:id="338">
    <w:p w14:paraId="57958D3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780); TC (expediente de prueba, folio 781), y PP (expediente de prueba, folio 604).</w:t>
      </w:r>
    </w:p>
  </w:footnote>
  <w:footnote w:id="339">
    <w:p w14:paraId="1F575AF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782); TC (expediente de prueba, folio 783), y PP (expediente de prueba, folio 604).</w:t>
      </w:r>
    </w:p>
  </w:footnote>
  <w:footnote w:id="340">
    <w:p w14:paraId="7548688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784); TC (expediente de prueba, folio 785), y PP (expediente de prueba, folio 604).</w:t>
      </w:r>
    </w:p>
  </w:footnote>
  <w:footnote w:id="341">
    <w:p w14:paraId="75DDE2FE"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786); TC (expediente de prueba, folio 787), y PP (expediente de prueba, folio 604).</w:t>
      </w:r>
    </w:p>
  </w:footnote>
  <w:footnote w:id="342">
    <w:p w14:paraId="5C5A2B1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788); TC (expediente de prueba, folio 789), y PP (expediente de prueba, folio 604).</w:t>
      </w:r>
    </w:p>
  </w:footnote>
  <w:footnote w:id="343">
    <w:p w14:paraId="0A335B0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9615); RE (expediente de prueba, folio 790); TC (expediente de prueba, folio 791), y PP (expediente de prueba, folio 604).</w:t>
      </w:r>
    </w:p>
  </w:footnote>
  <w:footnote w:id="344">
    <w:p w14:paraId="6F3827A8"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pt-BR"/>
        </w:rPr>
        <w:t xml:space="preserve"> </w:t>
      </w:r>
      <w:proofErr w:type="spellStart"/>
      <w:r w:rsidRPr="00143D29">
        <w:rPr>
          <w:lang w:val="pt-BR"/>
        </w:rPr>
        <w:t>También</w:t>
      </w:r>
      <w:proofErr w:type="spellEnd"/>
      <w:r w:rsidRPr="00143D29">
        <w:rPr>
          <w:lang w:val="pt-BR"/>
        </w:rPr>
        <w:t xml:space="preserve"> </w:t>
      </w:r>
      <w:proofErr w:type="spellStart"/>
      <w:r w:rsidRPr="00143D29">
        <w:rPr>
          <w:lang w:val="pt-BR"/>
        </w:rPr>
        <w:t>señalado</w:t>
      </w:r>
      <w:proofErr w:type="spellEnd"/>
      <w:r w:rsidRPr="00143D29">
        <w:rPr>
          <w:lang w:val="pt-BR"/>
        </w:rPr>
        <w:t xml:space="preserve"> como Sebastião Pereira de Souza ou Sebastião Pereira de S. Neto. </w:t>
      </w:r>
      <w:r w:rsidRPr="00143D29">
        <w:rPr>
          <w:i/>
          <w:lang w:val="es-ES"/>
        </w:rPr>
        <w:t>Cfr.</w:t>
      </w:r>
      <w:r w:rsidRPr="00143D29">
        <w:rPr>
          <w:lang w:val="es-ES"/>
        </w:rPr>
        <w:t xml:space="preserve"> RI (expediente de prueba, folio 9615); RE (expediente de prueba, folio 792); TC (expediente de prueba, folio 793), y PP (expediente de prueba, folio 604).</w:t>
      </w:r>
    </w:p>
  </w:footnote>
  <w:footnote w:id="345">
    <w:p w14:paraId="58564B7F"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También señalado como Silvestre Moreira de C. </w:t>
      </w:r>
      <w:proofErr w:type="spellStart"/>
      <w:r w:rsidRPr="00143D29">
        <w:rPr>
          <w:lang w:val="es-ES"/>
        </w:rPr>
        <w:t>Filho</w:t>
      </w:r>
      <w:proofErr w:type="spellEnd"/>
      <w:r w:rsidRPr="00143D29">
        <w:rPr>
          <w:lang w:val="es-ES"/>
        </w:rPr>
        <w:t xml:space="preserve">. </w:t>
      </w:r>
      <w:r w:rsidRPr="00143D29">
        <w:rPr>
          <w:i/>
          <w:lang w:val="es-ES"/>
        </w:rPr>
        <w:t>Cfr.</w:t>
      </w:r>
      <w:r w:rsidRPr="00143D29">
        <w:rPr>
          <w:lang w:val="es-ES"/>
        </w:rPr>
        <w:t xml:space="preserve"> RI (expediente de prueba, folio 9616); RE (expediente de prueba, folio 794); TC (expediente de prueba, folio 795), y PP (expediente de prueba, folio 604).</w:t>
      </w:r>
    </w:p>
  </w:footnote>
  <w:footnote w:id="346">
    <w:p w14:paraId="019B1D88"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RI (expediente de prueba, folio 9616); RE (expediente de prueba, folio 796); TC (expediente de prueba, folio 797), y PP (expediente de prueba, folio 604).</w:t>
      </w:r>
    </w:p>
  </w:footnote>
  <w:footnote w:id="347">
    <w:p w14:paraId="36C8AE7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pt-BR"/>
        </w:rPr>
        <w:t xml:space="preserve"> </w:t>
      </w:r>
      <w:proofErr w:type="spellStart"/>
      <w:r w:rsidRPr="00143D29">
        <w:rPr>
          <w:lang w:val="pt-BR"/>
        </w:rPr>
        <w:t>También</w:t>
      </w:r>
      <w:proofErr w:type="spellEnd"/>
      <w:r w:rsidRPr="00143D29">
        <w:rPr>
          <w:lang w:val="pt-BR"/>
        </w:rPr>
        <w:t xml:space="preserve"> </w:t>
      </w:r>
      <w:proofErr w:type="spellStart"/>
      <w:r w:rsidRPr="00143D29">
        <w:rPr>
          <w:lang w:val="pt-BR"/>
        </w:rPr>
        <w:t>señalada</w:t>
      </w:r>
      <w:proofErr w:type="spellEnd"/>
      <w:r w:rsidRPr="00143D29">
        <w:rPr>
          <w:lang w:val="pt-BR"/>
        </w:rPr>
        <w:t xml:space="preserve"> como Vicentina Mariana da Conceição Silva. </w:t>
      </w:r>
      <w:r w:rsidRPr="00143D29">
        <w:rPr>
          <w:i/>
          <w:lang w:val="es-ES"/>
        </w:rPr>
        <w:t>Cfr.</w:t>
      </w:r>
      <w:r w:rsidRPr="00143D29">
        <w:rPr>
          <w:lang w:val="es-ES"/>
        </w:rPr>
        <w:t xml:space="preserve"> RI (expediente de prueba, folio 9616); RE (expediente de prueba, folio 798); TC (expediente de prueba, folio 799), y PP (expediente de prueba, folio 604).</w:t>
      </w:r>
    </w:p>
  </w:footnote>
  <w:footnote w:id="348">
    <w:p w14:paraId="4BD8FC3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El artículo 6 de la Convención dispone que: </w:t>
      </w:r>
    </w:p>
    <w:p w14:paraId="5E4FD29E"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1. Nadie puede ser sometido a esclavitud o servidumbre, y tanto éstas, como la trata de esclavos y la trata de mujeres están prohibidas en todas sus formas.</w:t>
      </w:r>
    </w:p>
    <w:p w14:paraId="374FEA0A"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2. Nadie debe ser constreñido a ejecutar un trabajo forzoso u obligatorio.  En los países donde ciertos delitos tengan señalada pena privativa de la libertad acompañada de trabajos forzosos, esta disposición no podrá ser interpretada en el sentido de que prohíbe el cumplimiento de dicha pena impuesta por juez o tribunal competente.  El trabajo forzoso no debe afectar a la dignidad ni a la capacidad física e intelectual del recluido.</w:t>
      </w:r>
    </w:p>
    <w:p w14:paraId="0FD25807"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3. No constituyen trabajo forzoso u obligatorio, para los efectos de este artículo:</w:t>
      </w:r>
    </w:p>
    <w:p w14:paraId="1387C895"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no serán puestos a disposición de particulares, compañías o personas jurídicas de carácter privado;</w:t>
      </w:r>
    </w:p>
    <w:p w14:paraId="5B26ACE8"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b. el servicio militar y, en los países donde se admite exención por razones de conciencia, el servicio nacional que la ley establezca en lugar de aquél;</w:t>
      </w:r>
    </w:p>
    <w:p w14:paraId="75C423A2"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c. el servicio impuesto en casos de peligro o calamidad que amenace la existencia o el bienestar de la comunidad, y d. el trabajo o servicio que forme parte de las obligaciones cívicas normales.</w:t>
      </w:r>
    </w:p>
  </w:footnote>
  <w:footnote w:id="349">
    <w:p w14:paraId="0097F88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La parte relevante del artículo 22 de la Convención dispone que:</w:t>
      </w:r>
      <w:r w:rsidRPr="00143D29">
        <w:rPr>
          <w:bCs/>
          <w:lang w:val="es-ES"/>
        </w:rPr>
        <w:t xml:space="preserve">  </w:t>
      </w:r>
    </w:p>
    <w:p w14:paraId="61257A67"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 1. Toda persona que se halle legalmente en el territorio de un Estado tiene derecho a circular por el mismo y, a residir en él con sujeción a las disposiciones legales. </w:t>
      </w:r>
    </w:p>
  </w:footnote>
  <w:footnote w:id="350">
    <w:p w14:paraId="75D59FD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El artículo 19 de la Convención dispone que: </w:t>
      </w:r>
      <w:r w:rsidRPr="00143D29">
        <w:rPr>
          <w:lang w:val="es-CR"/>
        </w:rPr>
        <w:t xml:space="preserve">Todo niño tiene derecho a las medidas de protección que </w:t>
      </w:r>
      <w:proofErr w:type="gramStart"/>
      <w:r w:rsidRPr="00143D29">
        <w:rPr>
          <w:lang w:val="es-CR"/>
        </w:rPr>
        <w:t>su condición de menor requieren</w:t>
      </w:r>
      <w:proofErr w:type="gramEnd"/>
      <w:r w:rsidRPr="00143D29">
        <w:rPr>
          <w:lang w:val="es-CR"/>
        </w:rPr>
        <w:t xml:space="preserve"> por parte de su familia, de la sociedad y del Estado.</w:t>
      </w:r>
    </w:p>
  </w:footnote>
  <w:footnote w:id="351">
    <w:p w14:paraId="1F61683A" w14:textId="77777777" w:rsidR="00D4299B" w:rsidRPr="00143D29" w:rsidRDefault="00D4299B" w:rsidP="00D761C7">
      <w:pPr>
        <w:pStyle w:val="Textonotapie"/>
        <w:tabs>
          <w:tab w:val="clear" w:pos="4419"/>
          <w:tab w:val="clear" w:pos="8838"/>
          <w:tab w:val="right" w:pos="0"/>
        </w:tabs>
        <w:spacing w:after="20"/>
        <w:rPr>
          <w:lang w:val="es-CL"/>
        </w:rPr>
      </w:pPr>
      <w:r w:rsidRPr="00143D29">
        <w:rPr>
          <w:rStyle w:val="Refdenotaalpie"/>
          <w:szCs w:val="16"/>
        </w:rPr>
        <w:footnoteRef/>
      </w:r>
      <w:r w:rsidRPr="00143D29">
        <w:rPr>
          <w:lang w:val="es-CL"/>
        </w:rPr>
        <w:t xml:space="preserve">  La Comisión no incluyó la trata de personas en su Informe de Admisibilidad y Fondo pues el tema no fuera debatido durante la tramitación del caso ante la Comisión. Sin embargo, en sus observaciones finales señaló que al haber sido discutido el tema durante la tramitación del caso sería posible calificar algunas conductas como trata.  </w:t>
      </w:r>
    </w:p>
  </w:footnote>
  <w:footnote w:id="352">
    <w:p w14:paraId="76E8353C" w14:textId="77777777" w:rsidR="00D4299B" w:rsidRPr="00143D29" w:rsidRDefault="00D4299B" w:rsidP="00D761C7">
      <w:pPr>
        <w:pStyle w:val="Textonotapie"/>
        <w:tabs>
          <w:tab w:val="clear" w:pos="4419"/>
          <w:tab w:val="clear" w:pos="8838"/>
          <w:tab w:val="right" w:pos="0"/>
        </w:tabs>
        <w:spacing w:after="20"/>
        <w:rPr>
          <w:lang w:val="es-CL"/>
        </w:rPr>
      </w:pPr>
      <w:r w:rsidRPr="00143D29">
        <w:rPr>
          <w:rStyle w:val="Refdenotaalpie"/>
          <w:szCs w:val="16"/>
        </w:rPr>
        <w:footnoteRef/>
      </w:r>
      <w:r w:rsidRPr="00143D29">
        <w:rPr>
          <w:lang w:val="es-CL"/>
        </w:rPr>
        <w:t xml:space="preserve">   Fiscalización de 15 marzo de </w:t>
      </w:r>
      <w:r w:rsidRPr="00143D29">
        <w:rPr>
          <w:lang w:val="es-ES"/>
        </w:rPr>
        <w:t>2000, Informe de 31 de marzo de 2000 (expediente de prueba, folio 9571)</w:t>
      </w:r>
      <w:r w:rsidRPr="00143D29">
        <w:rPr>
          <w:lang w:val="es-CL"/>
        </w:rPr>
        <w:t xml:space="preserve"> y Acción Civil Pública de 30 de mayo de 2000 (expediente de prueba, folio 1049).</w:t>
      </w:r>
    </w:p>
  </w:footnote>
  <w:footnote w:id="353">
    <w:p w14:paraId="454F398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En su Informe de Admisibilidad y Fondo la Comisión concluyó la violación respecto de los trabajadores identificados en las fiscalizaciones de 1993, 1996, 1997 y 2000. No obstante, en virtud de la competencia temporal de la Corte y del escrito de sometimiento del caso de la Comisión, solamente el alegato respecto de la fiscalización de 2000 será tomado en consideración. </w:t>
      </w:r>
    </w:p>
  </w:footnote>
  <w:footnote w:id="354">
    <w:p w14:paraId="0B5EDE4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En el </w:t>
      </w:r>
      <w:r w:rsidRPr="00143D29">
        <w:rPr>
          <w:i/>
          <w:lang w:val="es-ES"/>
        </w:rPr>
        <w:t>Caso Masacres de Río Negro Vs. Guatemala</w:t>
      </w:r>
      <w:r w:rsidRPr="00143D29">
        <w:rPr>
          <w:lang w:val="es-ES"/>
        </w:rPr>
        <w:t>, la Corte se pronunció sobre la violación de la prohibición de la servidumbre, pero en ese caso el Estado realizó un reconocimiento de responsabilidad internacional respecto a esa violación, entre otras.</w:t>
      </w:r>
    </w:p>
  </w:footnote>
  <w:footnote w:id="355">
    <w:p w14:paraId="5181919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Al respecto, la Corte hace notar que de los trabajos preparatorios de la Convención Americana sobre Derechos Humanos no se deriva una interpretación específica sobre el alcance de la prohibición establecida en el artículo 6 de dicho instrumento.  </w:t>
      </w:r>
    </w:p>
  </w:footnote>
  <w:footnote w:id="356">
    <w:p w14:paraId="72BB6B94" w14:textId="77777777" w:rsidR="00D4299B" w:rsidRPr="00143D29" w:rsidRDefault="00D4299B" w:rsidP="00D761C7">
      <w:pPr>
        <w:tabs>
          <w:tab w:val="clear" w:pos="4419"/>
          <w:tab w:val="clear" w:pos="8838"/>
          <w:tab w:val="right" w:pos="0"/>
        </w:tabs>
        <w:spacing w:after="20"/>
        <w:jc w:val="both"/>
        <w:rPr>
          <w:b/>
          <w:sz w:val="16"/>
          <w:szCs w:val="16"/>
          <w:lang w:val="es-ES"/>
        </w:rPr>
      </w:pPr>
      <w:r w:rsidRPr="00143D29">
        <w:rPr>
          <w:rStyle w:val="Refdenotaalpie"/>
          <w:sz w:val="16"/>
          <w:szCs w:val="16"/>
        </w:rPr>
        <w:footnoteRef/>
      </w:r>
      <w:r w:rsidRPr="00143D29">
        <w:rPr>
          <w:sz w:val="16"/>
          <w:szCs w:val="16"/>
          <w:lang w:val="es-PE"/>
        </w:rPr>
        <w:t xml:space="preserve"> </w:t>
      </w:r>
      <w:r w:rsidRPr="00143D29">
        <w:rPr>
          <w:i/>
          <w:sz w:val="16"/>
          <w:szCs w:val="16"/>
          <w:lang w:val="es-PE"/>
        </w:rPr>
        <w:t>Cfr. El Derecho a la Información sobre la Asistencia Consular en el Marco de las Garantías del Debido Proceso Legal</w:t>
      </w:r>
      <w:r w:rsidRPr="00143D29">
        <w:rPr>
          <w:sz w:val="16"/>
          <w:szCs w:val="16"/>
          <w:lang w:val="es-PE"/>
        </w:rPr>
        <w:t xml:space="preserve">. Opinión Consultiva OC-16/99 de 14 de octubre de 1999. Serie A No. 16, párr. </w:t>
      </w:r>
      <w:r w:rsidRPr="00143D29">
        <w:rPr>
          <w:sz w:val="16"/>
          <w:szCs w:val="16"/>
          <w:lang w:val="es-ES"/>
        </w:rPr>
        <w:t xml:space="preserve">114; y </w:t>
      </w:r>
      <w:r w:rsidRPr="00143D29">
        <w:rPr>
          <w:i/>
          <w:sz w:val="16"/>
          <w:szCs w:val="16"/>
          <w:lang w:val="es-ES"/>
        </w:rPr>
        <w:t>Caso Artavia Murillo y otros ("Fecundación in vitro") Vs. Costa Rica</w:t>
      </w:r>
      <w:r w:rsidRPr="00143D29">
        <w:rPr>
          <w:sz w:val="16"/>
          <w:szCs w:val="16"/>
          <w:lang w:val="es-ES"/>
        </w:rPr>
        <w:t xml:space="preserve">. Excepciones Preliminares, Fondo, Reparaciones y Costas Sentencia de 28 noviembre de 2012. Serie C No. 257, párr. 245. </w:t>
      </w:r>
    </w:p>
  </w:footnote>
  <w:footnote w:id="357">
    <w:p w14:paraId="1B1AF42B" w14:textId="77777777" w:rsidR="00D4299B" w:rsidRPr="00143D29" w:rsidRDefault="00D4299B" w:rsidP="00D761C7">
      <w:pPr>
        <w:pStyle w:val="Textonotapie"/>
        <w:tabs>
          <w:tab w:val="clear" w:pos="4419"/>
          <w:tab w:val="clear" w:pos="8838"/>
          <w:tab w:val="right" w:pos="0"/>
        </w:tabs>
        <w:spacing w:after="20"/>
        <w:rPr>
          <w:b/>
          <w:lang w:val="es-ES"/>
        </w:rPr>
      </w:pPr>
      <w:r w:rsidRPr="00143D29">
        <w:rPr>
          <w:rStyle w:val="Refdenotaalpie"/>
          <w:szCs w:val="16"/>
        </w:rPr>
        <w:footnoteRef/>
      </w:r>
      <w:r w:rsidRPr="00143D29">
        <w:rPr>
          <w:lang w:val="es-ES"/>
        </w:rPr>
        <w:t xml:space="preserve"> </w:t>
      </w:r>
      <w:r w:rsidRPr="00143D29">
        <w:rPr>
          <w:i/>
          <w:lang w:val="es-ES"/>
        </w:rPr>
        <w:t xml:space="preserve">Cfr. Caso de las Masacres de Ituango, </w:t>
      </w:r>
      <w:r w:rsidRPr="00143D29">
        <w:rPr>
          <w:lang w:val="es-ES"/>
        </w:rPr>
        <w:t>párr. 144. Ver también TEDH,</w:t>
      </w:r>
      <w:r w:rsidRPr="00143D29">
        <w:rPr>
          <w:i/>
          <w:lang w:val="es-ES"/>
        </w:rPr>
        <w:t xml:space="preserve"> Caso </w:t>
      </w:r>
      <w:proofErr w:type="spellStart"/>
      <w:r w:rsidRPr="00143D29">
        <w:rPr>
          <w:i/>
          <w:lang w:val="es-ES"/>
        </w:rPr>
        <w:t>Tyrer</w:t>
      </w:r>
      <w:proofErr w:type="spellEnd"/>
      <w:r w:rsidRPr="00143D29">
        <w:rPr>
          <w:i/>
          <w:lang w:val="es-ES"/>
        </w:rPr>
        <w:t xml:space="preserve"> Vs. Reino Unido, </w:t>
      </w:r>
      <w:r w:rsidRPr="00143D29">
        <w:rPr>
          <w:lang w:val="es-ES"/>
        </w:rPr>
        <w:t xml:space="preserve">No. 5856/72, Sentencia de 25 de abril de 1978, párr. 31. </w:t>
      </w:r>
    </w:p>
  </w:footnote>
  <w:footnote w:id="358">
    <w:p w14:paraId="7415E292" w14:textId="77777777" w:rsidR="00D4299B" w:rsidRPr="00143D29" w:rsidRDefault="00D4299B" w:rsidP="00D761C7">
      <w:pPr>
        <w:tabs>
          <w:tab w:val="clear" w:pos="4419"/>
          <w:tab w:val="clear" w:pos="8838"/>
          <w:tab w:val="right" w:pos="0"/>
        </w:tabs>
        <w:spacing w:after="20"/>
        <w:jc w:val="both"/>
        <w:rPr>
          <w:sz w:val="16"/>
          <w:szCs w:val="16"/>
          <w:lang w:val="es-PE"/>
        </w:rPr>
      </w:pPr>
      <w:r w:rsidRPr="00143D29">
        <w:rPr>
          <w:rStyle w:val="Refdenotaalpie"/>
          <w:sz w:val="16"/>
          <w:szCs w:val="16"/>
        </w:rPr>
        <w:footnoteRef/>
      </w:r>
      <w:r w:rsidRPr="00143D29">
        <w:rPr>
          <w:sz w:val="16"/>
          <w:szCs w:val="16"/>
          <w:lang w:val="es-ES"/>
        </w:rPr>
        <w:t xml:space="preserve"> </w:t>
      </w:r>
      <w:r w:rsidRPr="00143D29">
        <w:rPr>
          <w:i/>
          <w:sz w:val="16"/>
          <w:szCs w:val="16"/>
          <w:lang w:val="es-ES"/>
        </w:rPr>
        <w:t xml:space="preserve">Cfr. </w:t>
      </w:r>
      <w:r w:rsidRPr="00143D29">
        <w:rPr>
          <w:i/>
          <w:sz w:val="16"/>
          <w:szCs w:val="16"/>
        </w:rPr>
        <w:t>Caso de las Masacres de Ituango,</w:t>
      </w:r>
      <w:r w:rsidRPr="00143D29">
        <w:rPr>
          <w:i/>
          <w:sz w:val="16"/>
          <w:szCs w:val="16"/>
          <w:lang w:val="es-ES"/>
        </w:rPr>
        <w:t xml:space="preserve"> </w:t>
      </w:r>
      <w:r w:rsidRPr="00143D29">
        <w:rPr>
          <w:sz w:val="16"/>
          <w:szCs w:val="16"/>
          <w:lang w:val="es-ES"/>
        </w:rPr>
        <w:t>par. 156.</w:t>
      </w:r>
      <w:r w:rsidRPr="00143D29">
        <w:rPr>
          <w:i/>
          <w:sz w:val="16"/>
          <w:szCs w:val="16"/>
          <w:lang w:val="es-ES"/>
        </w:rPr>
        <w:t xml:space="preserve"> </w:t>
      </w:r>
      <w:r w:rsidRPr="00143D29">
        <w:rPr>
          <w:sz w:val="16"/>
          <w:szCs w:val="16"/>
          <w:lang w:val="es-ES"/>
        </w:rPr>
        <w:t xml:space="preserve">En el mismo sentido, </w:t>
      </w:r>
      <w:r w:rsidRPr="00143D29">
        <w:rPr>
          <w:i/>
          <w:sz w:val="16"/>
          <w:szCs w:val="16"/>
          <w:lang w:val="es-PE"/>
        </w:rPr>
        <w:t xml:space="preserve">El Derecho a la Información sobre la Asistencia Consular en el Marco </w:t>
      </w:r>
      <w:proofErr w:type="gramStart"/>
      <w:r w:rsidRPr="00143D29">
        <w:rPr>
          <w:i/>
          <w:sz w:val="16"/>
          <w:szCs w:val="16"/>
          <w:lang w:val="es-PE"/>
        </w:rPr>
        <w:t>de  las</w:t>
      </w:r>
      <w:proofErr w:type="gramEnd"/>
      <w:r w:rsidRPr="00143D29">
        <w:rPr>
          <w:i/>
          <w:sz w:val="16"/>
          <w:szCs w:val="16"/>
          <w:lang w:val="es-PE"/>
        </w:rPr>
        <w:t xml:space="preserve"> Garantías del Debido Proceso Legal</w:t>
      </w:r>
      <w:r w:rsidRPr="00143D29">
        <w:rPr>
          <w:sz w:val="16"/>
          <w:szCs w:val="16"/>
          <w:lang w:val="es-PE"/>
        </w:rPr>
        <w:t xml:space="preserve">, párr. 113, y </w:t>
      </w:r>
      <w:r w:rsidRPr="00143D29">
        <w:rPr>
          <w:i/>
          <w:sz w:val="16"/>
          <w:szCs w:val="16"/>
          <w:lang w:val="es-ES"/>
        </w:rPr>
        <w:t>Caso Artavia Murillo y otros ("Fecundación in vitro")</w:t>
      </w:r>
      <w:r w:rsidRPr="00143D29">
        <w:rPr>
          <w:sz w:val="16"/>
          <w:szCs w:val="16"/>
          <w:lang w:val="es-ES"/>
        </w:rPr>
        <w:t>, párr. 191</w:t>
      </w:r>
      <w:r w:rsidRPr="00143D29">
        <w:rPr>
          <w:sz w:val="16"/>
          <w:szCs w:val="16"/>
          <w:lang w:val="es-PE"/>
        </w:rPr>
        <w:t xml:space="preserve">. </w:t>
      </w:r>
    </w:p>
  </w:footnote>
  <w:footnote w:id="359">
    <w:p w14:paraId="06A1E9C9" w14:textId="77777777" w:rsidR="00D4299B" w:rsidRPr="00143D29" w:rsidRDefault="00D4299B" w:rsidP="00D761C7">
      <w:pPr>
        <w:pStyle w:val="Numberedparagraphs"/>
        <w:tabs>
          <w:tab w:val="left" w:pos="567"/>
        </w:tabs>
        <w:spacing w:after="20"/>
        <w:rPr>
          <w:color w:val="auto"/>
          <w:sz w:val="16"/>
          <w:szCs w:val="16"/>
          <w:lang w:val="es-CR"/>
        </w:rPr>
      </w:pPr>
      <w:r w:rsidRPr="00143D29">
        <w:rPr>
          <w:rStyle w:val="Refdenotaalpie"/>
          <w:sz w:val="16"/>
          <w:szCs w:val="16"/>
          <w:lang w:val="es-CR"/>
        </w:rPr>
        <w:footnoteRef/>
      </w:r>
      <w:r w:rsidRPr="00143D29">
        <w:rPr>
          <w:sz w:val="16"/>
          <w:szCs w:val="16"/>
          <w:lang w:val="es-CR"/>
        </w:rPr>
        <w:t xml:space="preserve"> </w:t>
      </w:r>
      <w:r w:rsidRPr="00143D29">
        <w:rPr>
          <w:i/>
          <w:color w:val="auto"/>
          <w:sz w:val="16"/>
          <w:szCs w:val="16"/>
          <w:lang w:val="es-CR"/>
        </w:rPr>
        <w:t>Cfr</w:t>
      </w:r>
      <w:r w:rsidRPr="00143D29">
        <w:rPr>
          <w:color w:val="auto"/>
          <w:sz w:val="16"/>
          <w:szCs w:val="16"/>
          <w:lang w:val="es-CR"/>
        </w:rPr>
        <w:t xml:space="preserve">. Corte Internacional de Justicia, </w:t>
      </w:r>
      <w:r w:rsidRPr="00143D29">
        <w:rPr>
          <w:i/>
          <w:color w:val="auto"/>
          <w:sz w:val="16"/>
          <w:szCs w:val="16"/>
          <w:lang w:val="es-CR"/>
        </w:rPr>
        <w:t xml:space="preserve">Caso relativo a la soberanía sobre Pulau </w:t>
      </w:r>
      <w:proofErr w:type="spellStart"/>
      <w:r w:rsidRPr="00143D29">
        <w:rPr>
          <w:i/>
          <w:color w:val="auto"/>
          <w:sz w:val="16"/>
          <w:szCs w:val="16"/>
          <w:lang w:val="es-CR"/>
        </w:rPr>
        <w:t>Ligitan</w:t>
      </w:r>
      <w:proofErr w:type="spellEnd"/>
      <w:r w:rsidRPr="00143D29">
        <w:rPr>
          <w:i/>
          <w:color w:val="auto"/>
          <w:sz w:val="16"/>
          <w:szCs w:val="16"/>
          <w:lang w:val="es-CR"/>
        </w:rPr>
        <w:t xml:space="preserve"> y Pulau </w:t>
      </w:r>
      <w:proofErr w:type="spellStart"/>
      <w:r w:rsidRPr="00143D29">
        <w:rPr>
          <w:i/>
          <w:color w:val="auto"/>
          <w:sz w:val="16"/>
          <w:szCs w:val="16"/>
          <w:lang w:val="es-CR"/>
        </w:rPr>
        <w:t>Sipadan</w:t>
      </w:r>
      <w:proofErr w:type="spellEnd"/>
      <w:r w:rsidRPr="00143D29">
        <w:rPr>
          <w:i/>
          <w:color w:val="auto"/>
          <w:sz w:val="16"/>
          <w:szCs w:val="16"/>
          <w:lang w:val="es-CR"/>
        </w:rPr>
        <w:t xml:space="preserve"> (Indonesia contra Malasia)</w:t>
      </w:r>
      <w:r w:rsidRPr="00143D29">
        <w:rPr>
          <w:color w:val="auto"/>
          <w:sz w:val="16"/>
          <w:szCs w:val="16"/>
          <w:lang w:val="es-CR"/>
        </w:rPr>
        <w:t xml:space="preserve">, Sentencia de 17 de diciembre de 2002, párr. 37, y Corte Internacional de Justicia, </w:t>
      </w:r>
      <w:r w:rsidRPr="00143D29">
        <w:rPr>
          <w:i/>
          <w:color w:val="auto"/>
          <w:sz w:val="16"/>
          <w:szCs w:val="16"/>
          <w:lang w:val="es-CR"/>
        </w:rPr>
        <w:t>Caso Avena y otros nacionales mexicanos (México contra los Estados Unidos de América)</w:t>
      </w:r>
      <w:r w:rsidRPr="00143D29">
        <w:rPr>
          <w:color w:val="auto"/>
          <w:sz w:val="16"/>
          <w:szCs w:val="16"/>
          <w:lang w:val="es-CR"/>
        </w:rPr>
        <w:t>, Sentencia de 31 de marzo de 2004, párr. 83.</w:t>
      </w:r>
    </w:p>
  </w:footnote>
  <w:footnote w:id="360">
    <w:p w14:paraId="0C92897B" w14:textId="77777777" w:rsidR="00D4299B" w:rsidRPr="00143D29" w:rsidRDefault="00D4299B" w:rsidP="00D761C7">
      <w:pPr>
        <w:tabs>
          <w:tab w:val="left" w:pos="567"/>
        </w:tabs>
        <w:spacing w:after="20"/>
        <w:jc w:val="both"/>
        <w:rPr>
          <w:sz w:val="16"/>
          <w:szCs w:val="16"/>
          <w:lang w:val="es-EC"/>
        </w:rPr>
      </w:pPr>
      <w:r w:rsidRPr="00143D29">
        <w:rPr>
          <w:rStyle w:val="Refdenotaalpie"/>
          <w:sz w:val="16"/>
          <w:szCs w:val="16"/>
        </w:rPr>
        <w:footnoteRef/>
      </w:r>
      <w:r w:rsidRPr="00143D29">
        <w:rPr>
          <w:sz w:val="16"/>
          <w:szCs w:val="16"/>
        </w:rPr>
        <w:t xml:space="preserve"> </w:t>
      </w:r>
      <w:r w:rsidRPr="00143D29">
        <w:rPr>
          <w:sz w:val="16"/>
          <w:szCs w:val="16"/>
          <w:lang w:val="es-EC"/>
        </w:rPr>
        <w:t xml:space="preserve">Convención de Viena sobre el Derecho de los Tratados, Artículo 31. </w:t>
      </w:r>
      <w:r w:rsidRPr="00143D29">
        <w:rPr>
          <w:bCs/>
          <w:sz w:val="16"/>
          <w:szCs w:val="16"/>
          <w:lang w:val="es-EC"/>
        </w:rPr>
        <w:t>Regla general de interpretación. 1.</w:t>
      </w:r>
      <w:r w:rsidRPr="00143D29">
        <w:rPr>
          <w:sz w:val="16"/>
          <w:szCs w:val="16"/>
          <w:lang w:val="es-EC"/>
        </w:rPr>
        <w:t xml:space="preserve"> Un tratado deberá interpretarse de buena fe conforme al sentido corriente que haya de atribuirse a los términos del tratado en el contexto de estos y teniendo en cuenta su objeto y fin.</w:t>
      </w:r>
    </w:p>
    <w:p w14:paraId="6CB0F5C5" w14:textId="77777777" w:rsidR="00D4299B" w:rsidRPr="00143D29" w:rsidRDefault="00D4299B" w:rsidP="00D761C7">
      <w:pPr>
        <w:tabs>
          <w:tab w:val="left" w:pos="567"/>
        </w:tabs>
        <w:spacing w:after="20"/>
        <w:jc w:val="both"/>
        <w:rPr>
          <w:sz w:val="16"/>
          <w:szCs w:val="16"/>
        </w:rPr>
      </w:pPr>
      <w:r w:rsidRPr="00143D29">
        <w:rPr>
          <w:sz w:val="16"/>
          <w:szCs w:val="16"/>
        </w:rPr>
        <w:t>2. Para los efectos de la interpretación de un tratado, el contexto comprenderá, además del texto, incluidos su preámbulo y anexos:</w:t>
      </w:r>
    </w:p>
    <w:p w14:paraId="5BD16859" w14:textId="77777777" w:rsidR="00D4299B" w:rsidRPr="00143D29" w:rsidRDefault="00D4299B" w:rsidP="00D761C7">
      <w:pPr>
        <w:tabs>
          <w:tab w:val="left" w:pos="567"/>
        </w:tabs>
        <w:spacing w:after="20"/>
        <w:jc w:val="both"/>
        <w:rPr>
          <w:sz w:val="16"/>
          <w:szCs w:val="16"/>
        </w:rPr>
      </w:pPr>
      <w:r w:rsidRPr="00143D29">
        <w:rPr>
          <w:sz w:val="16"/>
          <w:szCs w:val="16"/>
        </w:rPr>
        <w:t>a) todo acuerdo que se refiera al tratado y haya sido concertado entre todas las partes con motivo de la celebración del tratado:</w:t>
      </w:r>
    </w:p>
    <w:p w14:paraId="0B9CF9D3" w14:textId="77777777" w:rsidR="00D4299B" w:rsidRPr="00143D29" w:rsidRDefault="00D4299B" w:rsidP="00D761C7">
      <w:pPr>
        <w:tabs>
          <w:tab w:val="left" w:pos="567"/>
        </w:tabs>
        <w:spacing w:after="20"/>
        <w:jc w:val="both"/>
        <w:rPr>
          <w:sz w:val="16"/>
          <w:szCs w:val="16"/>
        </w:rPr>
      </w:pPr>
      <w:r w:rsidRPr="00143D29">
        <w:rPr>
          <w:sz w:val="16"/>
          <w:szCs w:val="16"/>
        </w:rPr>
        <w:t>b) todo instrumento formulado por una o más partes con motivo de la celebración del tratado y aceptado por las demás como instrumento referente al tratado;</w:t>
      </w:r>
    </w:p>
    <w:p w14:paraId="2028BED0" w14:textId="77777777" w:rsidR="00D4299B" w:rsidRPr="00143D29" w:rsidRDefault="00D4299B" w:rsidP="00D761C7">
      <w:pPr>
        <w:tabs>
          <w:tab w:val="left" w:pos="567"/>
        </w:tabs>
        <w:spacing w:after="20"/>
        <w:jc w:val="both"/>
        <w:rPr>
          <w:sz w:val="16"/>
          <w:szCs w:val="16"/>
        </w:rPr>
      </w:pPr>
      <w:r w:rsidRPr="00143D29">
        <w:rPr>
          <w:sz w:val="16"/>
          <w:szCs w:val="16"/>
        </w:rPr>
        <w:t>3. Juntamente con el contexto, habrá de tenerse en cuenta:</w:t>
      </w:r>
    </w:p>
    <w:p w14:paraId="562CFD04" w14:textId="77777777" w:rsidR="00D4299B" w:rsidRPr="00143D29" w:rsidRDefault="00D4299B" w:rsidP="00D761C7">
      <w:pPr>
        <w:tabs>
          <w:tab w:val="left" w:pos="567"/>
        </w:tabs>
        <w:spacing w:after="20"/>
        <w:jc w:val="both"/>
        <w:rPr>
          <w:sz w:val="16"/>
          <w:szCs w:val="16"/>
        </w:rPr>
      </w:pPr>
      <w:r w:rsidRPr="00143D29">
        <w:rPr>
          <w:sz w:val="16"/>
          <w:szCs w:val="16"/>
        </w:rPr>
        <w:t>a) todo acuerdo ulterior entre las partes acerca de la interpretación del tratado o de la aplicación de sus disposiciones:</w:t>
      </w:r>
    </w:p>
    <w:p w14:paraId="16F358EC" w14:textId="77777777" w:rsidR="00D4299B" w:rsidRPr="00143D29" w:rsidRDefault="00D4299B" w:rsidP="00D761C7">
      <w:pPr>
        <w:tabs>
          <w:tab w:val="left" w:pos="567"/>
        </w:tabs>
        <w:spacing w:after="20"/>
        <w:jc w:val="both"/>
        <w:rPr>
          <w:sz w:val="16"/>
          <w:szCs w:val="16"/>
        </w:rPr>
      </w:pPr>
      <w:r w:rsidRPr="00143D29">
        <w:rPr>
          <w:sz w:val="16"/>
          <w:szCs w:val="16"/>
        </w:rPr>
        <w:t>b) toda práctica ulteriormente seguida en la aplicación del tratado por la cual conste el acuerdo de las partes acerca de la interpretación del tratado:</w:t>
      </w:r>
    </w:p>
    <w:p w14:paraId="10A720BE" w14:textId="77777777" w:rsidR="00D4299B" w:rsidRPr="00143D29" w:rsidRDefault="00D4299B" w:rsidP="00D761C7">
      <w:pPr>
        <w:tabs>
          <w:tab w:val="left" w:pos="567"/>
        </w:tabs>
        <w:spacing w:after="20"/>
        <w:jc w:val="both"/>
        <w:rPr>
          <w:sz w:val="16"/>
          <w:szCs w:val="16"/>
        </w:rPr>
      </w:pPr>
      <w:r w:rsidRPr="00143D29">
        <w:rPr>
          <w:sz w:val="16"/>
          <w:szCs w:val="16"/>
        </w:rPr>
        <w:t>c) toda norma pertinente de derecho internacional aplicable en las relaciones entre las partes.</w:t>
      </w:r>
    </w:p>
    <w:p w14:paraId="769FC5AD" w14:textId="77777777" w:rsidR="00D4299B" w:rsidRPr="00143D29" w:rsidRDefault="00D4299B" w:rsidP="00D761C7">
      <w:pPr>
        <w:pStyle w:val="Textonotapie"/>
        <w:tabs>
          <w:tab w:val="left" w:pos="567"/>
        </w:tabs>
        <w:spacing w:after="20"/>
        <w:rPr>
          <w:lang w:val="es-CR"/>
        </w:rPr>
      </w:pPr>
      <w:r w:rsidRPr="00143D29">
        <w:rPr>
          <w:lang w:val="es-CR"/>
        </w:rPr>
        <w:t>4. Se dará a un término un sentido especial si consta que tal fue la intención de las partes..</w:t>
      </w:r>
    </w:p>
  </w:footnote>
  <w:footnote w:id="361">
    <w:p w14:paraId="6A6F87F0" w14:textId="77777777" w:rsidR="00D4299B" w:rsidRPr="00143D29" w:rsidRDefault="00D4299B" w:rsidP="00D761C7">
      <w:pPr>
        <w:tabs>
          <w:tab w:val="left" w:pos="567"/>
        </w:tabs>
        <w:spacing w:after="20"/>
        <w:jc w:val="both"/>
        <w:rPr>
          <w:sz w:val="16"/>
          <w:szCs w:val="16"/>
          <w:lang w:val="es-EC"/>
        </w:rPr>
      </w:pPr>
      <w:r w:rsidRPr="00143D29">
        <w:rPr>
          <w:rStyle w:val="Refdenotaalpie"/>
          <w:sz w:val="16"/>
          <w:szCs w:val="16"/>
        </w:rPr>
        <w:footnoteRef/>
      </w:r>
      <w:r w:rsidRPr="00143D29">
        <w:rPr>
          <w:sz w:val="16"/>
          <w:szCs w:val="16"/>
        </w:rPr>
        <w:t xml:space="preserve"> </w:t>
      </w:r>
      <w:r w:rsidRPr="00143D29">
        <w:rPr>
          <w:sz w:val="16"/>
          <w:szCs w:val="16"/>
          <w:lang w:val="es-EC"/>
        </w:rPr>
        <w:t>Convención de Viena sobre el Derecho de los Tratados,</w:t>
      </w:r>
      <w:r w:rsidRPr="00143D29">
        <w:rPr>
          <w:bCs/>
          <w:sz w:val="16"/>
          <w:szCs w:val="16"/>
          <w:lang w:val="es-EC"/>
        </w:rPr>
        <w:t xml:space="preserve"> Artículo 32. Medios de interpretación complementarios. </w:t>
      </w:r>
      <w:r w:rsidRPr="00143D29">
        <w:rPr>
          <w:sz w:val="16"/>
          <w:szCs w:val="16"/>
          <w:lang w:val="es-EC"/>
        </w:rPr>
        <w:t>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w:t>
      </w:r>
    </w:p>
    <w:p w14:paraId="53BEF966" w14:textId="77777777" w:rsidR="00D4299B" w:rsidRPr="00143D29" w:rsidRDefault="00D4299B" w:rsidP="00D761C7">
      <w:pPr>
        <w:tabs>
          <w:tab w:val="left" w:pos="567"/>
        </w:tabs>
        <w:spacing w:after="20"/>
        <w:jc w:val="both"/>
        <w:rPr>
          <w:sz w:val="16"/>
          <w:szCs w:val="16"/>
          <w:lang w:val="es-EC"/>
        </w:rPr>
      </w:pPr>
      <w:r w:rsidRPr="00143D29">
        <w:rPr>
          <w:sz w:val="16"/>
          <w:szCs w:val="16"/>
          <w:lang w:val="es-EC"/>
        </w:rPr>
        <w:t xml:space="preserve">   a) deje ambiguo u oscuro el sentido; o </w:t>
      </w:r>
    </w:p>
    <w:p w14:paraId="60729784" w14:textId="77777777" w:rsidR="00D4299B" w:rsidRPr="00143D29" w:rsidRDefault="00D4299B" w:rsidP="00D761C7">
      <w:pPr>
        <w:pStyle w:val="Textonotapie"/>
        <w:tabs>
          <w:tab w:val="left" w:pos="567"/>
        </w:tabs>
        <w:spacing w:after="20"/>
        <w:rPr>
          <w:lang w:val="es-CR"/>
        </w:rPr>
      </w:pPr>
      <w:r w:rsidRPr="00143D29">
        <w:rPr>
          <w:rFonts w:cs="Times"/>
          <w:lang w:val="es-EC"/>
        </w:rPr>
        <w:t xml:space="preserve">   b) conduzca a un resultado manifiestamente absurdo o irrazonable.</w:t>
      </w:r>
    </w:p>
  </w:footnote>
  <w:footnote w:id="362">
    <w:p w14:paraId="272B9E8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rStyle w:val="Textoennegrita"/>
          <w:b w:val="0"/>
          <w:i/>
          <w:color w:val="000000"/>
          <w:shd w:val="clear" w:color="auto" w:fill="FFFFFF"/>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143D29">
        <w:rPr>
          <w:rStyle w:val="Textoennegrita"/>
          <w:b w:val="0"/>
          <w:color w:val="000000"/>
          <w:shd w:val="clear" w:color="auto" w:fill="FFFFFF"/>
          <w:lang w:val="es-ES"/>
        </w:rPr>
        <w:t>. Opinión Consultiva OC-22/16 de 26 de febrero de 2016. Serie A No. 22, párr. 35.</w:t>
      </w:r>
    </w:p>
  </w:footnote>
  <w:footnote w:id="363">
    <w:p w14:paraId="4F6CCF38" w14:textId="77777777" w:rsidR="00D4299B" w:rsidRPr="00143D29" w:rsidRDefault="00D4299B" w:rsidP="00D761C7">
      <w:pPr>
        <w:widowControl w:val="0"/>
        <w:tabs>
          <w:tab w:val="clear" w:pos="4419"/>
          <w:tab w:val="clear" w:pos="8838"/>
          <w:tab w:val="right" w:pos="0"/>
        </w:tabs>
        <w:spacing w:after="20"/>
        <w:jc w:val="both"/>
        <w:rPr>
          <w:sz w:val="16"/>
          <w:szCs w:val="16"/>
          <w:lang w:val="es-ES"/>
        </w:rPr>
      </w:pPr>
      <w:r w:rsidRPr="00143D29">
        <w:rPr>
          <w:rStyle w:val="Refdenotaalpie"/>
          <w:sz w:val="16"/>
          <w:szCs w:val="16"/>
        </w:rPr>
        <w:footnoteRef/>
      </w:r>
      <w:r w:rsidRPr="00143D29">
        <w:rPr>
          <w:sz w:val="16"/>
          <w:szCs w:val="16"/>
        </w:rPr>
        <w:t xml:space="preserve"> Al respecto, la Corte ha señalado que el </w:t>
      </w:r>
      <w:r w:rsidRPr="00143D29">
        <w:rPr>
          <w:i/>
          <w:sz w:val="16"/>
          <w:szCs w:val="16"/>
        </w:rPr>
        <w:t xml:space="preserve">corpus </w:t>
      </w:r>
      <w:proofErr w:type="spellStart"/>
      <w:r w:rsidRPr="00143D29">
        <w:rPr>
          <w:i/>
          <w:sz w:val="16"/>
          <w:szCs w:val="16"/>
        </w:rPr>
        <w:t>juris</w:t>
      </w:r>
      <w:proofErr w:type="spellEnd"/>
      <w:r w:rsidRPr="00143D29">
        <w:rPr>
          <w:i/>
          <w:sz w:val="16"/>
          <w:szCs w:val="16"/>
        </w:rPr>
        <w:t xml:space="preserve"> </w:t>
      </w:r>
      <w:r w:rsidRPr="00143D29">
        <w:rPr>
          <w:sz w:val="16"/>
          <w:szCs w:val="16"/>
        </w:rPr>
        <w:t>del derecho internacional de los derechos humanos está formado por un conjunto de instrumentos internacionales de contenido y efectos jurídicos variados (tratados, convenios, resoluciones y declaraciones). Su evolución dinámica ha ejercido un impacto positivo en el derecho internacional, en el sentido de afirmar y desarrollar la aptitud de este último para regular las relaciones entre los Estados y los seres humanos bajo sus respectivas jurisdicciones. Por lo tanto, esta Corte debe adoptar un criterio adecuado para considerar la cuestión sujeta a examen en el marco de la evolución de los derechos fundamentales de la persona humana en el derecho internacional contemporáneo.</w:t>
      </w:r>
      <w:r w:rsidRPr="00143D29">
        <w:rPr>
          <w:i/>
          <w:sz w:val="16"/>
          <w:szCs w:val="16"/>
        </w:rPr>
        <w:t xml:space="preserve"> Cfr. El Derecho a la Información sobre la Asistencia Consular en el Marco de las Garantías del Debido Proceso Legal</w:t>
      </w:r>
      <w:r w:rsidRPr="00143D29">
        <w:rPr>
          <w:sz w:val="16"/>
          <w:szCs w:val="16"/>
        </w:rPr>
        <w:t xml:space="preserve">, párr. 115; y </w:t>
      </w:r>
      <w:r w:rsidRPr="00143D29">
        <w:rPr>
          <w:i/>
          <w:sz w:val="16"/>
          <w:szCs w:val="16"/>
        </w:rPr>
        <w:t xml:space="preserve">Caso de las Masacres de Ituango, </w:t>
      </w:r>
      <w:r w:rsidRPr="00143D29">
        <w:rPr>
          <w:sz w:val="16"/>
          <w:szCs w:val="16"/>
        </w:rPr>
        <w:t xml:space="preserve">párr. 157. </w:t>
      </w:r>
    </w:p>
  </w:footnote>
  <w:footnote w:id="364">
    <w:p w14:paraId="1C568A10" w14:textId="77777777" w:rsidR="00D4299B" w:rsidRPr="00143D29" w:rsidRDefault="00D4299B" w:rsidP="00D761C7">
      <w:pPr>
        <w:pStyle w:val="Textonotapie"/>
        <w:tabs>
          <w:tab w:val="clear" w:pos="4419"/>
          <w:tab w:val="clear" w:pos="8838"/>
          <w:tab w:val="right" w:pos="0"/>
        </w:tabs>
        <w:spacing w:after="20"/>
        <w:rPr>
          <w:rStyle w:val="Refdenotaalpie"/>
          <w:szCs w:val="16"/>
          <w:lang w:val="es-CR"/>
        </w:rPr>
      </w:pPr>
      <w:r w:rsidRPr="00143D29">
        <w:rPr>
          <w:rStyle w:val="Refdenotaalpie"/>
          <w:szCs w:val="16"/>
        </w:rPr>
        <w:footnoteRef/>
      </w:r>
      <w:r w:rsidRPr="00143D29">
        <w:rPr>
          <w:rStyle w:val="Refdenotaalpie"/>
          <w:szCs w:val="16"/>
          <w:lang w:val="es-ES"/>
        </w:rPr>
        <w:t xml:space="preserve"> </w:t>
      </w:r>
      <w:r w:rsidRPr="00143D29">
        <w:rPr>
          <w:lang w:val="es-ES"/>
        </w:rPr>
        <w:t xml:space="preserve"> Por ejemplo, Declaración Universal de Derechos Humanos, 1948, art. 4; Convención Suplementaria sobre la abolición de la Esclavitud, 1956, art. 1; Pacto Internacional de Derechos Civiles y Políticos, 1966, art. 8; Convenio Europeo de Derechos Humanos, 1950, art. 4; Estatuto de Roma de la Corte Penal Internacional, 1998, art. 7; Convenio No. 182 de la Organización Internacional del Trabajo, 1999, art. 3; Carta Africana de Derechos Humanos y de los Pueblos, 1981, art. 5; Convención Americana sobre Derechos Humanos, 1969, art. 6.  </w:t>
      </w:r>
    </w:p>
  </w:footnote>
  <w:footnote w:id="365">
    <w:p w14:paraId="3EFB3EC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Ver, entre otros, declaración pericial de Jean </w:t>
      </w:r>
      <w:proofErr w:type="spellStart"/>
      <w:r w:rsidRPr="00143D29">
        <w:rPr>
          <w:lang w:val="es-ES"/>
        </w:rPr>
        <w:t>Allain</w:t>
      </w:r>
      <w:proofErr w:type="spellEnd"/>
      <w:r w:rsidRPr="00143D29">
        <w:rPr>
          <w:lang w:val="es-ES"/>
        </w:rPr>
        <w:t xml:space="preserve"> en audiencia pública. </w:t>
      </w:r>
    </w:p>
  </w:footnote>
  <w:footnote w:id="366">
    <w:p w14:paraId="47A5717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bCs/>
          <w:i/>
          <w:lang w:val="es-CL"/>
        </w:rPr>
        <w:t>Caso Masacres de Río Negro</w:t>
      </w:r>
      <w:r w:rsidRPr="00143D29">
        <w:rPr>
          <w:bCs/>
          <w:lang w:val="es-CL"/>
        </w:rPr>
        <w:t xml:space="preserve">, párr. 141, y </w:t>
      </w:r>
      <w:r w:rsidRPr="00143D29">
        <w:rPr>
          <w:lang w:val="es-CL"/>
        </w:rPr>
        <w:t xml:space="preserve">Corte Internacional de Justicia, </w:t>
      </w:r>
      <w:r w:rsidRPr="00143D29">
        <w:rPr>
          <w:i/>
          <w:lang w:val="es-CL"/>
        </w:rPr>
        <w:t xml:space="preserve">Caso </w:t>
      </w:r>
      <w:r w:rsidRPr="00143D29">
        <w:rPr>
          <w:bCs/>
          <w:i/>
          <w:lang w:val="es-CL"/>
        </w:rPr>
        <w:t xml:space="preserve">Barcelona </w:t>
      </w:r>
      <w:proofErr w:type="spellStart"/>
      <w:r w:rsidRPr="00143D29">
        <w:rPr>
          <w:bCs/>
          <w:i/>
          <w:lang w:val="es-CL"/>
        </w:rPr>
        <w:t>Traction</w:t>
      </w:r>
      <w:proofErr w:type="spellEnd"/>
      <w:r w:rsidRPr="00143D29">
        <w:rPr>
          <w:bCs/>
          <w:i/>
          <w:lang w:val="es-CL"/>
        </w:rPr>
        <w:t xml:space="preserve">, Light and </w:t>
      </w:r>
      <w:proofErr w:type="spellStart"/>
      <w:r w:rsidRPr="00143D29">
        <w:rPr>
          <w:bCs/>
          <w:i/>
          <w:lang w:val="es-CL"/>
        </w:rPr>
        <w:t>Power</w:t>
      </w:r>
      <w:proofErr w:type="spellEnd"/>
      <w:r w:rsidRPr="00143D29">
        <w:rPr>
          <w:bCs/>
          <w:i/>
          <w:lang w:val="es-CL"/>
        </w:rPr>
        <w:t xml:space="preserve"> Company, </w:t>
      </w:r>
      <w:proofErr w:type="spellStart"/>
      <w:r w:rsidRPr="00143D29">
        <w:rPr>
          <w:bCs/>
          <w:i/>
          <w:lang w:val="es-CL"/>
        </w:rPr>
        <w:t>Limited</w:t>
      </w:r>
      <w:proofErr w:type="spellEnd"/>
      <w:r w:rsidRPr="00143D29">
        <w:rPr>
          <w:bCs/>
          <w:i/>
          <w:lang w:val="es-CL"/>
        </w:rPr>
        <w:t xml:space="preserve"> (Bélgica contra España)</w:t>
      </w:r>
      <w:r w:rsidRPr="00143D29">
        <w:rPr>
          <w:bCs/>
          <w:lang w:val="es-CL"/>
        </w:rPr>
        <w:t>, Sentencia de 5 de febrero de 1970,</w:t>
      </w:r>
      <w:r w:rsidRPr="00143D29">
        <w:rPr>
          <w:b/>
          <w:bCs/>
          <w:lang w:val="es-CL"/>
        </w:rPr>
        <w:t xml:space="preserve"> </w:t>
      </w:r>
      <w:r w:rsidRPr="00143D29">
        <w:rPr>
          <w:lang w:val="es-CL"/>
        </w:rPr>
        <w:t xml:space="preserve">párr. </w:t>
      </w:r>
      <w:r w:rsidRPr="00143D29">
        <w:rPr>
          <w:lang w:val="es-ES"/>
        </w:rPr>
        <w:t xml:space="preserve">34. </w:t>
      </w:r>
    </w:p>
  </w:footnote>
  <w:footnote w:id="367">
    <w:p w14:paraId="30FF2CD6" w14:textId="77777777" w:rsidR="00D4299B" w:rsidRPr="00143D29" w:rsidRDefault="00D4299B" w:rsidP="00D761C7">
      <w:pPr>
        <w:pStyle w:val="Textonotapie"/>
        <w:spacing w:after="20"/>
        <w:rPr>
          <w:lang w:val="es-CR"/>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CR"/>
        </w:rPr>
        <w:t xml:space="preserve">Países que han suscrito la Convención sobre la Esclavitud de 1926 y su protocolo: Antigua y Barbuda, Bahamas, Barbados, Bolivia, Brasil, Canadá, Chile, Cuba, Dominica, Ecuador, Estados Unidos de América, Guatemala, Jamaica, México, Nicaragua, Paraguay, Santa Lucia, San Vicente y las </w:t>
      </w:r>
      <w:proofErr w:type="gramStart"/>
      <w:r w:rsidRPr="00143D29">
        <w:rPr>
          <w:lang w:val="es-CR"/>
        </w:rPr>
        <w:t>Granadinas</w:t>
      </w:r>
      <w:proofErr w:type="gramEnd"/>
      <w:r w:rsidRPr="00143D29">
        <w:rPr>
          <w:lang w:val="es-CR"/>
        </w:rPr>
        <w:t xml:space="preserve">, Trinidad y Tobago y Uruguay. Disponible en: </w:t>
      </w:r>
      <w:hyperlink r:id="rId5" w:history="1">
        <w:r w:rsidRPr="00143D29">
          <w:rPr>
            <w:rStyle w:val="Hipervnculo"/>
            <w:lang w:val="es-ES"/>
          </w:rPr>
          <w:t>https://treaties.un.org/Pages/showDetails.aspx?objid=0800000280030bab</w:t>
        </w:r>
      </w:hyperlink>
      <w:r w:rsidRPr="00143D29">
        <w:rPr>
          <w:rStyle w:val="Hipervnculo"/>
          <w:lang w:val="es-ES"/>
        </w:rPr>
        <w:t xml:space="preserve">; </w:t>
      </w:r>
      <w:hyperlink r:id="rId6" w:history="1">
        <w:r w:rsidRPr="00143D29">
          <w:rPr>
            <w:rStyle w:val="Hipervnculo"/>
            <w:lang w:val="es-ES"/>
          </w:rPr>
          <w:t>https://treaties.un.org/Pages/showDetails.aspx?objid=08000002800006f9</w:t>
        </w:r>
      </w:hyperlink>
      <w:r w:rsidRPr="00143D29">
        <w:rPr>
          <w:lang w:val="es-ES"/>
        </w:rPr>
        <w:t xml:space="preserve">; </w:t>
      </w:r>
      <w:hyperlink r:id="rId7" w:history="1">
        <w:r w:rsidRPr="00143D29">
          <w:rPr>
            <w:rStyle w:val="Hipervnculo"/>
            <w:lang w:val="es-ES"/>
          </w:rPr>
          <w:t>https://treaties.un.org/Pages/showDetails.aspx?objid=080000028002fe57</w:t>
        </w:r>
      </w:hyperlink>
      <w:r w:rsidRPr="00143D29">
        <w:rPr>
          <w:rStyle w:val="Hipervnculo"/>
          <w:lang w:val="es-ES"/>
        </w:rPr>
        <w:t>;</w:t>
      </w:r>
      <w:r w:rsidRPr="00143D29">
        <w:rPr>
          <w:lang w:val="es-ES"/>
        </w:rPr>
        <w:t xml:space="preserve"> y </w:t>
      </w:r>
      <w:r w:rsidRPr="00143D29">
        <w:rPr>
          <w:lang w:val="es-CR"/>
        </w:rPr>
        <w:t>países de la región que han suscrito la Convención suplementaria sobre la abolición de la esclavitud de 1956: Antigua y Barbuda, Argentina, Bahamas, Barbados, Bolivia, Brasil, Canadá, Chile, Cuba, Dominica, Ecuador, Estados Unidos de América, Guatemala, Haití, Jamaica, México, Nicaragua, Paraguay, República Dominicana Santa Lucia, San Vicente y las Granadinas, Trinidad y Tobago y Uruguay.</w:t>
      </w:r>
      <w:r w:rsidRPr="00143D29">
        <w:rPr>
          <w:b/>
          <w:lang w:val="es-CR"/>
        </w:rPr>
        <w:t xml:space="preserve"> </w:t>
      </w:r>
      <w:r w:rsidRPr="00143D29">
        <w:rPr>
          <w:lang w:val="es-CR"/>
        </w:rPr>
        <w:t xml:space="preserve">Disponible en: </w:t>
      </w:r>
      <w:hyperlink r:id="rId8" w:history="1">
        <w:r w:rsidRPr="00143D29">
          <w:rPr>
            <w:rStyle w:val="Hipervnculo"/>
            <w:lang w:val="es-ES"/>
          </w:rPr>
          <w:t>https://treaties.un.org/Pages/showDetails.aspx?objid=080000028003103d</w:t>
        </w:r>
      </w:hyperlink>
      <w:r w:rsidRPr="00143D29">
        <w:rPr>
          <w:lang w:val="es-ES"/>
        </w:rPr>
        <w:t>.</w:t>
      </w:r>
    </w:p>
  </w:footnote>
  <w:footnote w:id="368">
    <w:p w14:paraId="4867ED93" w14:textId="77777777" w:rsidR="00D4299B" w:rsidRPr="00143D29" w:rsidRDefault="00D4299B" w:rsidP="00D761C7">
      <w:pPr>
        <w:shd w:val="clear" w:color="auto" w:fill="FFFFFF"/>
        <w:spacing w:after="20"/>
        <w:jc w:val="both"/>
        <w:outlineLvl w:val="2"/>
        <w:rPr>
          <w:rFonts w:eastAsia="Times New Roman" w:cs="Times New Roman"/>
          <w:bCs/>
          <w:color w:val="303030"/>
          <w:sz w:val="16"/>
          <w:szCs w:val="16"/>
          <w:lang w:val="es-ES"/>
        </w:rPr>
      </w:pPr>
      <w:r w:rsidRPr="00143D29">
        <w:rPr>
          <w:rStyle w:val="Refdenotaalpie"/>
          <w:sz w:val="16"/>
          <w:szCs w:val="16"/>
        </w:rPr>
        <w:footnoteRef/>
      </w:r>
      <w:r w:rsidRPr="00143D29">
        <w:rPr>
          <w:sz w:val="16"/>
          <w:szCs w:val="16"/>
          <w:lang w:val="es-ES"/>
        </w:rPr>
        <w:t xml:space="preserve"> </w:t>
      </w:r>
      <w:r w:rsidRPr="00143D29">
        <w:rPr>
          <w:bCs/>
          <w:sz w:val="16"/>
          <w:szCs w:val="16"/>
          <w:lang w:val="es-ES"/>
        </w:rPr>
        <w:t>Convención suplementaria sobre la abolición de la esclavitud, la trata de esclavos y las instituciones y prácticas análogas a la esclavitud</w:t>
      </w:r>
      <w:r w:rsidRPr="00143D29">
        <w:rPr>
          <w:sz w:val="16"/>
          <w:szCs w:val="16"/>
          <w:lang w:val="es-ES"/>
        </w:rPr>
        <w:t>, a</w:t>
      </w:r>
      <w:r w:rsidRPr="00143D29">
        <w:rPr>
          <w:rFonts w:eastAsia="Times New Roman" w:cs="Times New Roman"/>
          <w:bCs/>
          <w:iCs/>
          <w:color w:val="303030"/>
          <w:sz w:val="16"/>
          <w:szCs w:val="16"/>
          <w:lang w:val="es-ES"/>
        </w:rPr>
        <w:t xml:space="preserve">rtículo 1: </w:t>
      </w:r>
      <w:r w:rsidRPr="00143D29">
        <w:rPr>
          <w:rFonts w:eastAsia="Times New Roman" w:cs="Times New Roman"/>
          <w:color w:val="000000"/>
          <w:sz w:val="16"/>
          <w:szCs w:val="16"/>
          <w:lang w:val="es-ES"/>
        </w:rPr>
        <w:t>Cada uno de los Estados Partes en la Convención adoptará todas aquellas medidas legislativas o de cualquier otra índole que sean factibles y necesarias para lograr progresivamente y a la mayor brevedad posible la completa abolición o el abandono de las instituciones y prácticas que se indican a continuación, dondequiera que subsistan, les sea o no aplicable la definición de esclavitud que figura en el artículo 1 del Convenio sobre la Esclavitud, firmado en Ginebra en 25 de septiembre de 1926:</w:t>
      </w:r>
    </w:p>
    <w:p w14:paraId="56120674" w14:textId="77777777" w:rsidR="00D4299B" w:rsidRPr="00143D29" w:rsidRDefault="00D4299B" w:rsidP="00D761C7">
      <w:pPr>
        <w:shd w:val="clear" w:color="auto" w:fill="FFFFFF"/>
        <w:spacing w:after="20"/>
        <w:jc w:val="both"/>
        <w:rPr>
          <w:rFonts w:eastAsia="Times New Roman" w:cs="Times New Roman"/>
          <w:color w:val="000000"/>
          <w:sz w:val="16"/>
          <w:szCs w:val="16"/>
          <w:lang w:val="es-ES"/>
        </w:rPr>
      </w:pPr>
      <w:r w:rsidRPr="00143D29">
        <w:rPr>
          <w:rFonts w:eastAsia="Times New Roman" w:cs="Times New Roman"/>
          <w:color w:val="000000"/>
          <w:sz w:val="16"/>
          <w:szCs w:val="16"/>
          <w:lang w:val="es-ES"/>
        </w:rPr>
        <w:t>a) La servidumbre por deudas, o sea, el estado o la condición que resulta del hecho de que un deudor se haya comprometido a prestar sus servicios personales, o los de alguien sobre quien ejerce autoridad, como garantía de una deuda, si los servicios prestados, equitativamente valorados, no se aplican al pago de la deuda, o si no se limita su duración ni se define la naturaleza de dichos servicios;</w:t>
      </w:r>
    </w:p>
    <w:p w14:paraId="0C8E791E" w14:textId="77777777" w:rsidR="00D4299B" w:rsidRPr="00143D29" w:rsidRDefault="00D4299B" w:rsidP="00D761C7">
      <w:pPr>
        <w:shd w:val="clear" w:color="auto" w:fill="FFFFFF"/>
        <w:spacing w:after="20"/>
        <w:jc w:val="both"/>
        <w:rPr>
          <w:rFonts w:eastAsia="Times New Roman" w:cs="Times New Roman"/>
          <w:color w:val="000000"/>
          <w:sz w:val="16"/>
          <w:szCs w:val="16"/>
          <w:lang w:val="es-ES"/>
        </w:rPr>
      </w:pPr>
      <w:r w:rsidRPr="00143D29">
        <w:rPr>
          <w:rFonts w:eastAsia="Times New Roman" w:cs="Times New Roman"/>
          <w:color w:val="000000"/>
          <w:sz w:val="16"/>
          <w:szCs w:val="16"/>
          <w:lang w:val="es-ES"/>
        </w:rPr>
        <w:t>b) La servidumbre de la gleba, o sea, la condición de la persona que está obligada por la ley, por la costumbre o por un acuerdo a vivir y a trabajar sobre una tierra que pertenece a otra persona y a prestar a ésta, mediante remuneración o gratuitamente, determinados servicios, sin libertad para cambiar su condición;</w:t>
      </w:r>
    </w:p>
    <w:p w14:paraId="50C939BB" w14:textId="77777777" w:rsidR="00D4299B" w:rsidRPr="00143D29" w:rsidRDefault="00D4299B" w:rsidP="00D761C7">
      <w:pPr>
        <w:shd w:val="clear" w:color="auto" w:fill="FFFFFF"/>
        <w:spacing w:after="20"/>
        <w:jc w:val="both"/>
        <w:rPr>
          <w:rFonts w:eastAsia="Times New Roman" w:cs="Times New Roman"/>
          <w:color w:val="000000"/>
          <w:sz w:val="16"/>
          <w:szCs w:val="16"/>
          <w:lang w:val="es-ES"/>
        </w:rPr>
      </w:pPr>
      <w:r w:rsidRPr="00143D29">
        <w:rPr>
          <w:rFonts w:eastAsia="Times New Roman" w:cs="Times New Roman"/>
          <w:color w:val="000000"/>
          <w:sz w:val="16"/>
          <w:szCs w:val="16"/>
          <w:lang w:val="es-ES"/>
        </w:rPr>
        <w:t>c) Toda institución o práctica en virtud de la cual:</w:t>
      </w:r>
    </w:p>
    <w:p w14:paraId="52B89FDC" w14:textId="77777777" w:rsidR="00D4299B" w:rsidRPr="00143D29" w:rsidRDefault="00D4299B" w:rsidP="00D761C7">
      <w:pPr>
        <w:shd w:val="clear" w:color="auto" w:fill="FFFFFF"/>
        <w:spacing w:after="20"/>
        <w:jc w:val="both"/>
        <w:rPr>
          <w:rFonts w:eastAsia="Times New Roman" w:cs="Times New Roman"/>
          <w:color w:val="000000"/>
          <w:sz w:val="16"/>
          <w:szCs w:val="16"/>
          <w:lang w:val="es-ES"/>
        </w:rPr>
      </w:pPr>
      <w:r w:rsidRPr="00143D29">
        <w:rPr>
          <w:rFonts w:eastAsia="Times New Roman" w:cs="Times New Roman"/>
          <w:color w:val="000000"/>
          <w:sz w:val="16"/>
          <w:szCs w:val="16"/>
          <w:lang w:val="es-ES"/>
        </w:rPr>
        <w:t>i) Una mujer, sin que la asista el derecho a oponerse, es prometida o dada en matrimonio a cambio de una contrapartida en dinero o en especie entregada a sus padres, a su tutor, a su familia o a cualquier otra persona o grupo de personas;</w:t>
      </w:r>
    </w:p>
    <w:p w14:paraId="0FD9AE77" w14:textId="77777777" w:rsidR="00D4299B" w:rsidRPr="00143D29" w:rsidRDefault="00D4299B" w:rsidP="00D761C7">
      <w:pPr>
        <w:shd w:val="clear" w:color="auto" w:fill="FFFFFF"/>
        <w:spacing w:after="20"/>
        <w:jc w:val="both"/>
        <w:rPr>
          <w:rFonts w:eastAsia="Times New Roman" w:cs="Times New Roman"/>
          <w:color w:val="000000"/>
          <w:sz w:val="16"/>
          <w:szCs w:val="16"/>
          <w:lang w:val="es-ES"/>
        </w:rPr>
      </w:pPr>
      <w:proofErr w:type="spellStart"/>
      <w:r w:rsidRPr="00143D29">
        <w:rPr>
          <w:rFonts w:eastAsia="Times New Roman" w:cs="Times New Roman"/>
          <w:color w:val="000000"/>
          <w:sz w:val="16"/>
          <w:szCs w:val="16"/>
          <w:lang w:val="es-ES"/>
        </w:rPr>
        <w:t>ii</w:t>
      </w:r>
      <w:proofErr w:type="spellEnd"/>
      <w:r w:rsidRPr="00143D29">
        <w:rPr>
          <w:rFonts w:eastAsia="Times New Roman" w:cs="Times New Roman"/>
          <w:color w:val="000000"/>
          <w:sz w:val="16"/>
          <w:szCs w:val="16"/>
          <w:lang w:val="es-ES"/>
        </w:rPr>
        <w:t>) El marido de una mujer, la familia o el clan del marido tienen el derecho de cederla a un tercero a título oneroso o de otra manera;</w:t>
      </w:r>
    </w:p>
    <w:p w14:paraId="2D06C228" w14:textId="77777777" w:rsidR="00D4299B" w:rsidRPr="00143D29" w:rsidRDefault="00D4299B" w:rsidP="00D761C7">
      <w:pPr>
        <w:shd w:val="clear" w:color="auto" w:fill="FFFFFF"/>
        <w:spacing w:after="20"/>
        <w:jc w:val="both"/>
        <w:rPr>
          <w:rFonts w:eastAsia="Times New Roman" w:cs="Times New Roman"/>
          <w:color w:val="000000"/>
          <w:sz w:val="16"/>
          <w:szCs w:val="16"/>
          <w:lang w:val="es-ES"/>
        </w:rPr>
      </w:pPr>
      <w:proofErr w:type="spellStart"/>
      <w:r w:rsidRPr="00143D29">
        <w:rPr>
          <w:rFonts w:eastAsia="Times New Roman" w:cs="Times New Roman"/>
          <w:color w:val="000000"/>
          <w:sz w:val="16"/>
          <w:szCs w:val="16"/>
          <w:lang w:val="es-ES"/>
        </w:rPr>
        <w:t>iii</w:t>
      </w:r>
      <w:proofErr w:type="spellEnd"/>
      <w:r w:rsidRPr="00143D29">
        <w:rPr>
          <w:rFonts w:eastAsia="Times New Roman" w:cs="Times New Roman"/>
          <w:color w:val="000000"/>
          <w:sz w:val="16"/>
          <w:szCs w:val="16"/>
          <w:lang w:val="es-ES"/>
        </w:rPr>
        <w:t>) La mujer, a la muerte de su marido, puede ser transmitida por herencia a otra persona;</w:t>
      </w:r>
    </w:p>
    <w:p w14:paraId="77533179" w14:textId="77777777" w:rsidR="00D4299B" w:rsidRPr="00143D29" w:rsidRDefault="00D4299B" w:rsidP="00D761C7">
      <w:pPr>
        <w:pStyle w:val="Textonotapie"/>
        <w:spacing w:after="20"/>
        <w:rPr>
          <w:lang w:val="es-ES"/>
        </w:rPr>
      </w:pPr>
      <w:r w:rsidRPr="00143D29">
        <w:rPr>
          <w:rFonts w:eastAsia="Times New Roman" w:cs="Times New Roman"/>
          <w:color w:val="000000"/>
          <w:lang w:val="es-ES"/>
        </w:rPr>
        <w:t>d) Toda institución o práctica en virtud de la cual un niño o un joven menor de dieciocho años es entregado por sus padres, o uno de ellos, o por su tutor, a otra persona, mediante remuneración o sin ella, con el propósito de que se explote la persona o el trabajo del niño o del joven</w:t>
      </w:r>
    </w:p>
  </w:footnote>
  <w:footnote w:id="369">
    <w:p w14:paraId="4D9DF0F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bCs/>
          <w:lang w:val="es-ES"/>
        </w:rPr>
        <w:t>Convención suplementaria sobre la abolición de la esclavitud, la trata de esclavos y las instituciones y prácticas análogas a la esclavitud</w:t>
      </w:r>
      <w:r w:rsidRPr="00143D29">
        <w:rPr>
          <w:lang w:val="es-ES"/>
        </w:rPr>
        <w:t>, a</w:t>
      </w:r>
      <w:r w:rsidRPr="00143D29">
        <w:rPr>
          <w:bCs/>
          <w:iCs/>
          <w:lang w:val="es-ES"/>
        </w:rPr>
        <w:t>rtículo 7: “A los efectos de la presente Convención: a) La "esclavitud", tal como está definida en el Convenio sobre la Esclavitud de 1926, es el estado o condición de las personas sobre las que se ejercen todos o parte de los poderes atribuidos al derecho de propiedad, y "esclavo" es toda persona en tal estado o condición; b) La expresión "persona de condición servil" indica toda persona colocada en la condición o estado que resulta de alguna de las instituciones o prácticas mencionadas en el artículo 1 de la Convención; c) "Trata de esclavos" significa y abarca todo acto de captura, de adquisición o de disposición de una persona con intención de someterla a esclavitud; todo acto de adquisición de un esclavo con intención de venderlo o de cambiarlo; todo acto de cesión por venta o cambio de una persona, adquirida con intención de venderla o cambiarla, y, en general, todo acto de comercio o de transporte de esclavos, sea cual fuere el medio de transporte empleado”.</w:t>
      </w:r>
    </w:p>
  </w:footnote>
  <w:footnote w:id="370">
    <w:p w14:paraId="3F31C68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Declaración Universal de Derechos Humanos, artículo 4: “Nadie estará sometido a esclavitud ni a servidumbre, la esclavitud y la trata de esclavos están prohibidas en todas sus formas”.</w:t>
      </w:r>
    </w:p>
  </w:footnote>
  <w:footnote w:id="371">
    <w:p w14:paraId="739A664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Pacto Internacional de Derechos Civiles y Políticos, artículo 8: “1. Nadie estará sometido a esclavitud. La esclavitud y la trata de esclavos estarán prohibidas en todas sus formas. 2. Nadie estará sometido a servidumbre. 3. a) Nadie será constreñido a ejecutar un trabajo forzoso u obligatorio […]”.</w:t>
      </w:r>
    </w:p>
  </w:footnote>
  <w:footnote w:id="372">
    <w:p w14:paraId="0553DE2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Convenio Europeo de Derechos Humanos, artículo 4: “Prohibición de la esclavitud y del trabajo forzoso. 1. Nadie podrá ser sometido a esclavitud o servidumbre. 2. Nadie podrá ser constreñido a realizar un trabajo forzoso u obligatorio”.</w:t>
      </w:r>
    </w:p>
  </w:footnote>
  <w:footnote w:id="373">
    <w:p w14:paraId="7D7E8F4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Carta Africana de Derechos Humanos y de los Pueblos, artículo 5: “Todo individuo tendrá derecho al respeto de la dignidad inherente al ser humano y al reconocimiento de su status legal. Todas las formas de explotación y degradación del hombre, especialmente la esclavitud, el comercio de esclavos, la tortura, el castigo y el trato cruel, inhumano o degradante, serán prohibidos”.</w:t>
      </w:r>
    </w:p>
  </w:footnote>
  <w:footnote w:id="374">
    <w:p w14:paraId="7B4C76F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OIT, Convenio No. 182 sobre la prohibición de las peores formas de trabajo infantil y la acción inmediata para su eliminación, artículo 3: “A los efectos del presente Convenio, la expresión "las peores formas de trabajo infantil" abarca: (a) todas las formas de esclavitud o las prácticas análogas a la esclavitud, como la venta y la trata de niños, la servidumbre por deudas y la condición de siervo, y el trabajo forzoso u obligatorio, incluido el reclutamiento forzoso u obligatorio de niños para utilizarlos en conflictos armados […]”.</w:t>
      </w:r>
    </w:p>
  </w:footnote>
  <w:footnote w:id="375">
    <w:p w14:paraId="3F7C63C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OIT, Convenio No. 105 Convenio relativo a la abolición del trabajo forzoso, 1957, Preámbulo</w:t>
      </w:r>
      <w:r w:rsidRPr="00143D29">
        <w:rPr>
          <w:shd w:val="clear" w:color="auto" w:fill="FFFFFF"/>
          <w:lang w:val="es-ES"/>
        </w:rPr>
        <w:t>.</w:t>
      </w:r>
    </w:p>
  </w:footnote>
  <w:footnote w:id="376">
    <w:p w14:paraId="220BB95C" w14:textId="77777777" w:rsidR="00D4299B" w:rsidRPr="00143D29" w:rsidRDefault="00D4299B" w:rsidP="00D761C7">
      <w:pPr>
        <w:pStyle w:val="Textonotapie"/>
        <w:tabs>
          <w:tab w:val="clear" w:pos="4419"/>
          <w:tab w:val="clear" w:pos="8838"/>
          <w:tab w:val="right" w:pos="0"/>
        </w:tabs>
        <w:spacing w:after="20"/>
        <w:rPr>
          <w:b/>
          <w:lang w:val="es-ES"/>
        </w:rPr>
      </w:pPr>
      <w:r w:rsidRPr="00143D29">
        <w:rPr>
          <w:rStyle w:val="Refdenotaalpie"/>
          <w:szCs w:val="16"/>
        </w:rPr>
        <w:footnoteRef/>
      </w:r>
      <w:r w:rsidRPr="00143D29">
        <w:rPr>
          <w:lang w:val="es-ES"/>
        </w:rPr>
        <w:t xml:space="preserve">  Estatuto del Tribunal Militar Internacional de Núremberg, 6 de octubre de 1945, artículo 6.c:</w:t>
      </w:r>
      <w:r w:rsidRPr="00143D29">
        <w:rPr>
          <w:b/>
          <w:lang w:val="es-ES"/>
        </w:rPr>
        <w:t xml:space="preserve"> </w:t>
      </w:r>
      <w:r w:rsidRPr="00143D29">
        <w:rPr>
          <w:lang w:val="es-ES"/>
        </w:rPr>
        <w:t>“El Tribunal establecido por el Acuerdo aludido en el Artículo 1 del presente para el enjuiciamiento y condena de los principales criminales de guerra del Eje Europeo estará facultado para juzgar y condenar a aquellas personas que, actuando en defensa de los intereses de los países del Eje Europeo, cometieron los delitos que constan a continuación, ya fuera individualmente o como miembros de organizaciones: Cualesquiera de los actos que constan a continuación son crímenes que recaen bajo la competencia del Tribunal respecto de los cuales habrá responsabilidad personal: […] c) CRIMENES CONTRA LA HUMANIDAD: A saber, el asesinato, la exterminación, esclavización, deportación y otros actos inhumanos cometidos contra población civil antes de la guerra o durante la misma; la persecución por motivos políticos, raciales o religiosos en ejecución de aquellos crímenes que sean competencia del Tribunal o en relación con los mismos, constituyan o no una vulneración de la legislación interna de país donde se perpetraron”.</w:t>
      </w:r>
    </w:p>
  </w:footnote>
  <w:footnote w:id="377">
    <w:p w14:paraId="36D2B485" w14:textId="77777777" w:rsidR="00D4299B" w:rsidRPr="00143D29" w:rsidRDefault="00D4299B" w:rsidP="00D761C7">
      <w:pPr>
        <w:pStyle w:val="Textonotapie"/>
        <w:tabs>
          <w:tab w:val="clear" w:pos="4419"/>
          <w:tab w:val="clear" w:pos="8838"/>
          <w:tab w:val="right" w:pos="0"/>
        </w:tabs>
        <w:spacing w:after="20"/>
      </w:pPr>
      <w:r w:rsidRPr="00143D29">
        <w:rPr>
          <w:rStyle w:val="Refdenotaalpie"/>
          <w:szCs w:val="16"/>
        </w:rPr>
        <w:footnoteRef/>
      </w:r>
      <w:r w:rsidRPr="00143D29">
        <w:rPr>
          <w:lang w:val="es-ES"/>
        </w:rPr>
        <w:t xml:space="preserve"> Estatuto del Tribunal Militar Internacional para el Juicio de los Principales Criminales de Guerra en el Lejano Oriente (Tribunal Militar Internacional de Tokio), 19 de enero de 1946, artículo 5: “</w:t>
      </w:r>
      <w:proofErr w:type="spellStart"/>
      <w:r w:rsidRPr="00143D29">
        <w:rPr>
          <w:lang w:val="es-ES"/>
        </w:rPr>
        <w:t>Jurisdiction</w:t>
      </w:r>
      <w:proofErr w:type="spellEnd"/>
      <w:r w:rsidRPr="00143D29">
        <w:rPr>
          <w:lang w:val="es-ES"/>
        </w:rPr>
        <w:t xml:space="preserve"> </w:t>
      </w:r>
      <w:proofErr w:type="spellStart"/>
      <w:r w:rsidRPr="00143D29">
        <w:rPr>
          <w:lang w:val="es-ES"/>
        </w:rPr>
        <w:t>Over</w:t>
      </w:r>
      <w:proofErr w:type="spellEnd"/>
      <w:r w:rsidRPr="00143D29">
        <w:rPr>
          <w:lang w:val="es-ES"/>
        </w:rPr>
        <w:t xml:space="preserve"> </w:t>
      </w:r>
      <w:proofErr w:type="spellStart"/>
      <w:r w:rsidRPr="00143D29">
        <w:rPr>
          <w:lang w:val="es-ES"/>
        </w:rPr>
        <w:t>Persons</w:t>
      </w:r>
      <w:proofErr w:type="spellEnd"/>
      <w:r w:rsidRPr="00143D29">
        <w:rPr>
          <w:lang w:val="es-ES"/>
        </w:rPr>
        <w:t xml:space="preserve"> and </w:t>
      </w:r>
      <w:proofErr w:type="spellStart"/>
      <w:r w:rsidRPr="00143D29">
        <w:rPr>
          <w:lang w:val="es-ES"/>
        </w:rPr>
        <w:t>Offenses</w:t>
      </w:r>
      <w:proofErr w:type="spellEnd"/>
      <w:r w:rsidRPr="00143D29">
        <w:rPr>
          <w:lang w:val="es-ES"/>
        </w:rPr>
        <w:t xml:space="preserve">. </w:t>
      </w:r>
      <w:r w:rsidRPr="00143D29">
        <w:t xml:space="preserve">The Tribunal shall have the power to try and punish Far Eastern war criminals who as individuals or as members of organizations are charged with offenses which include Crimes against Peace. The following acts, or any of them, are crimes coming within the jurisdiction of the Tribunal for which there shall be individual responsibility: […] c. Crimes against Humanity: Namely, murder, extermination, enslavement, deportation, and other inhumane acts committed against any civilian population, before or during the war, or persecutions on political or racial grounds in execution of or in connection with any crime within the jurisdiction of the Tribunal, whether or not in violation of the domestic law of the country where perpetrated. Leaders, organizers, instigators and accomplices participating in the formulation or execution of a common plan or conspiracy to commit any or the foregoing crimes are responsible for all acts performed by any person in execution of such plan” (original </w:t>
      </w:r>
      <w:proofErr w:type="spellStart"/>
      <w:r w:rsidRPr="00143D29">
        <w:t>en</w:t>
      </w:r>
      <w:proofErr w:type="spellEnd"/>
      <w:r w:rsidRPr="00143D29">
        <w:t xml:space="preserve"> </w:t>
      </w:r>
      <w:proofErr w:type="spellStart"/>
      <w:r w:rsidRPr="00143D29">
        <w:t>inglés</w:t>
      </w:r>
      <w:proofErr w:type="spellEnd"/>
      <w:r w:rsidRPr="00143D29">
        <w:t xml:space="preserve">).  </w:t>
      </w:r>
    </w:p>
  </w:footnote>
  <w:footnote w:id="378">
    <w:p w14:paraId="4C6431B3" w14:textId="77777777" w:rsidR="00D4299B" w:rsidRPr="00143D29" w:rsidRDefault="00D4299B" w:rsidP="00D761C7">
      <w:pPr>
        <w:pStyle w:val="Textonotapie"/>
        <w:tabs>
          <w:tab w:val="clear" w:pos="4419"/>
          <w:tab w:val="clear" w:pos="8838"/>
          <w:tab w:val="right" w:pos="0"/>
        </w:tabs>
        <w:spacing w:after="20"/>
        <w:rPr>
          <w:b/>
          <w:bCs/>
          <w:lang w:val="es-ES"/>
        </w:rPr>
      </w:pPr>
      <w:r w:rsidRPr="00143D29">
        <w:rPr>
          <w:rStyle w:val="Refdenotaalpie"/>
          <w:szCs w:val="16"/>
        </w:rPr>
        <w:footnoteRef/>
      </w:r>
      <w:r w:rsidRPr="00143D29">
        <w:rPr>
          <w:lang w:val="es-ES"/>
        </w:rPr>
        <w:t xml:space="preserve">  </w:t>
      </w:r>
      <w:r w:rsidRPr="00143D29">
        <w:rPr>
          <w:bCs/>
          <w:lang w:val="es-ES"/>
        </w:rPr>
        <w:t xml:space="preserve">Protocolo II adicional a los Convenios de Ginebra de 1949 relativo a la protección de las víctimas de los conflictos armados sin carácter internacional, 1977, artículo 4.2.f. Disponible en:  </w:t>
      </w:r>
      <w:r w:rsidRPr="00143D29">
        <w:rPr>
          <w:b/>
          <w:bCs/>
          <w:lang w:val="es-ES"/>
        </w:rPr>
        <w:t xml:space="preserve"> </w:t>
      </w:r>
      <w:r w:rsidRPr="00143D29">
        <w:rPr>
          <w:lang w:val="es-ES"/>
        </w:rPr>
        <w:t xml:space="preserve"> https://www.icrc.org/spa/resources/documents/misc/protocolo-ii.htm.</w:t>
      </w:r>
    </w:p>
  </w:footnote>
  <w:footnote w:id="379">
    <w:p w14:paraId="3AD382A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Estatuto del </w:t>
      </w:r>
      <w:r w:rsidRPr="00143D29">
        <w:rPr>
          <w:lang w:val="es-CR"/>
        </w:rPr>
        <w:t xml:space="preserve">Tribunal Internacional para juzgar a los presuntos responsables de graves violaciones del derecho internacional humanitario cometidas en el territorio de la ex-Yugoslavia. Disponible en: </w:t>
      </w:r>
      <w:r w:rsidRPr="00143D29">
        <w:rPr>
          <w:lang w:val="es-ES"/>
        </w:rPr>
        <w:t xml:space="preserve"> https://www.icrc.org/spa/resources/documents/misc/treaty-1993-statute-tribunal-former-yugoslavia-5tdm74.htm.</w:t>
      </w:r>
    </w:p>
  </w:footnote>
  <w:footnote w:id="380">
    <w:p w14:paraId="5F475C3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Estatuto del Tribunal Internacional para Ruanda, art. 3.c. Disponible en: https://www.icrc.org/spa/resources/documents/misc/treaty-1994-statute-tribunal-rwanda-5tdmhw.htm; Estatuto del Tribunal Especial para Sierra Leona, art. 2.c. Disponible en: http://www.rscsl.org/Documents/scsl-statute.pdf.</w:t>
      </w:r>
    </w:p>
  </w:footnote>
  <w:footnote w:id="381">
    <w:p w14:paraId="4FA8876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Estatuto de Roma de la Corte Penal Internacional, 1998, artículo 7.1: “Crímenes de lesa humanidad. 1. A los efectos del presente Estatuto, se entenderá por “crimen de lesa humanidad” cualquiera de los actos siguientes cuando se cometa como parte de un ataque generalizado o sistemático contra una población civil y con conocimiento de dicho ataque: […] c) Esclavitud […]  Artículo 7.2: “2. A los efectos del párrafo 1: […] c) Por “esclavitud” se entenderá el ejercicio de los atributos del derecho de propiedad sobre una persona, o de algunos de ellos, incluido el ejercicio de esos atributos en el tráfico de personas, en particular mujeres y niños […]”.</w:t>
      </w:r>
    </w:p>
  </w:footnote>
  <w:footnote w:id="382">
    <w:p w14:paraId="0F5EB4A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Comisión de Derecho Internacional, </w:t>
      </w:r>
      <w:r w:rsidRPr="00143D29">
        <w:rPr>
          <w:lang w:val="es-CR"/>
        </w:rPr>
        <w:t>Proyecto de código de crímenes contra la paz y la seguridad de la humanidad, art. 18.d</w:t>
      </w:r>
      <w:r w:rsidRPr="00143D29">
        <w:rPr>
          <w:lang w:val="es-ES"/>
        </w:rPr>
        <w:t>. Disponible en: http://legal.un.org/docs/?path=../ilc/texts/instruments/english/draft_articles/7_4_1996.pdf&amp;lang=EF.</w:t>
      </w:r>
    </w:p>
  </w:footnote>
  <w:footnote w:id="383">
    <w:p w14:paraId="3F458D1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Comisión de Derecho Internacional, </w:t>
      </w:r>
      <w:r w:rsidRPr="00143D29">
        <w:rPr>
          <w:lang w:val="es-CR"/>
        </w:rPr>
        <w:t>Texto de los Proyectos de artículo sobre los crímenes de lesa humanidad</w:t>
      </w:r>
      <w:r w:rsidRPr="00143D29">
        <w:rPr>
          <w:lang w:val="es-ES"/>
        </w:rPr>
        <w:t>, art. 3.2.c. Disponible en: http://legal.un.org/docs/?path=../ilc/reports/2015/spanish/chp7.pdf&amp;lang=EFSRAC.</w:t>
      </w:r>
    </w:p>
  </w:footnote>
  <w:footnote w:id="384">
    <w:p w14:paraId="6A43639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TPIY, </w:t>
      </w:r>
      <w:r w:rsidRPr="00143D29">
        <w:rPr>
          <w:i/>
          <w:lang w:val="es-ES"/>
        </w:rPr>
        <w:t xml:space="preserve">Caso Fiscal Vs. Dragoljub </w:t>
      </w:r>
      <w:proofErr w:type="spellStart"/>
      <w:r w:rsidRPr="00143D29">
        <w:rPr>
          <w:i/>
          <w:lang w:val="es-ES"/>
        </w:rPr>
        <w:t>Kunarac</w:t>
      </w:r>
      <w:proofErr w:type="spellEnd"/>
      <w:r w:rsidRPr="00143D29">
        <w:rPr>
          <w:i/>
          <w:lang w:val="es-ES"/>
        </w:rPr>
        <w:t xml:space="preserve">, </w:t>
      </w:r>
      <w:proofErr w:type="spellStart"/>
      <w:r w:rsidRPr="00143D29">
        <w:rPr>
          <w:i/>
          <w:lang w:val="es-ES"/>
        </w:rPr>
        <w:t>Radomir</w:t>
      </w:r>
      <w:proofErr w:type="spellEnd"/>
      <w:r w:rsidRPr="00143D29">
        <w:rPr>
          <w:i/>
          <w:lang w:val="es-ES"/>
        </w:rPr>
        <w:t xml:space="preserve"> </w:t>
      </w:r>
      <w:proofErr w:type="spellStart"/>
      <w:r w:rsidRPr="00143D29">
        <w:rPr>
          <w:i/>
          <w:lang w:val="es-ES"/>
        </w:rPr>
        <w:t>Kovac</w:t>
      </w:r>
      <w:proofErr w:type="spellEnd"/>
      <w:r w:rsidRPr="00143D29">
        <w:rPr>
          <w:i/>
          <w:lang w:val="es-ES"/>
        </w:rPr>
        <w:t xml:space="preserve"> y </w:t>
      </w:r>
      <w:proofErr w:type="spellStart"/>
      <w:r w:rsidRPr="00143D29">
        <w:rPr>
          <w:i/>
          <w:lang w:val="es-ES"/>
        </w:rPr>
        <w:t>Zoran</w:t>
      </w:r>
      <w:proofErr w:type="spellEnd"/>
      <w:r w:rsidRPr="00143D29">
        <w:rPr>
          <w:i/>
          <w:lang w:val="es-ES"/>
        </w:rPr>
        <w:t xml:space="preserve"> </w:t>
      </w:r>
      <w:proofErr w:type="spellStart"/>
      <w:r w:rsidRPr="00143D29">
        <w:rPr>
          <w:i/>
          <w:lang w:val="es-ES"/>
        </w:rPr>
        <w:t>Vukovic</w:t>
      </w:r>
      <w:proofErr w:type="spellEnd"/>
      <w:r w:rsidRPr="00143D29">
        <w:rPr>
          <w:i/>
          <w:lang w:val="es-ES"/>
        </w:rPr>
        <w:t xml:space="preserve"> </w:t>
      </w:r>
      <w:r w:rsidRPr="00143D29">
        <w:rPr>
          <w:lang w:val="es-ES"/>
        </w:rPr>
        <w:t xml:space="preserve">(en adelante </w:t>
      </w:r>
      <w:r w:rsidRPr="00143D29">
        <w:rPr>
          <w:i/>
          <w:lang w:val="es-ES"/>
        </w:rPr>
        <w:t xml:space="preserve">Caso Fiscal Vs. </w:t>
      </w:r>
      <w:proofErr w:type="spellStart"/>
      <w:r w:rsidRPr="00143D29">
        <w:rPr>
          <w:i/>
          <w:lang w:val="es-ES"/>
        </w:rPr>
        <w:t>Kunarac</w:t>
      </w:r>
      <w:proofErr w:type="spellEnd"/>
      <w:r w:rsidRPr="00143D29">
        <w:rPr>
          <w:lang w:val="es-ES"/>
        </w:rPr>
        <w:t>), No. IT-96-23. Cámara de 1ª Instancia, Sentencia de 22 de febrero de 2001; y No. IT-96-23-A, Cámara de Apelaciones, Sentencia de12 de junio de 2002.</w:t>
      </w:r>
    </w:p>
  </w:footnote>
  <w:footnote w:id="385">
    <w:p w14:paraId="365020F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TPIY, </w:t>
      </w:r>
      <w:r w:rsidRPr="00143D29">
        <w:rPr>
          <w:i/>
          <w:lang w:val="es-ES"/>
        </w:rPr>
        <w:t xml:space="preserve">Caso Fiscal Vs. </w:t>
      </w:r>
      <w:proofErr w:type="spellStart"/>
      <w:r w:rsidRPr="00143D29">
        <w:rPr>
          <w:i/>
          <w:lang w:val="es-ES"/>
        </w:rPr>
        <w:t>Kunarac</w:t>
      </w:r>
      <w:proofErr w:type="spellEnd"/>
      <w:r w:rsidRPr="00143D29">
        <w:rPr>
          <w:lang w:val="es-ES"/>
        </w:rPr>
        <w:t xml:space="preserve">, Sentencia de 22 de febrero de 2001, párr. 542. </w:t>
      </w:r>
    </w:p>
  </w:footnote>
  <w:footnote w:id="386">
    <w:p w14:paraId="3B0EB69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TPIY, </w:t>
      </w:r>
      <w:r w:rsidRPr="00143D29">
        <w:rPr>
          <w:i/>
          <w:lang w:val="es-ES"/>
        </w:rPr>
        <w:t xml:space="preserve">Caso Fiscal Vs. </w:t>
      </w:r>
      <w:proofErr w:type="spellStart"/>
      <w:r w:rsidRPr="00143D29">
        <w:rPr>
          <w:i/>
          <w:lang w:val="es-ES"/>
        </w:rPr>
        <w:t>Kunarac</w:t>
      </w:r>
      <w:proofErr w:type="spellEnd"/>
      <w:r w:rsidRPr="00143D29">
        <w:rPr>
          <w:lang w:val="es-ES"/>
        </w:rPr>
        <w:t xml:space="preserve">, Sentencia de 12 de junio de 2012, párr. 117. </w:t>
      </w:r>
    </w:p>
  </w:footnote>
  <w:footnote w:id="387">
    <w:p w14:paraId="3E80BF6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TPIY, </w:t>
      </w:r>
      <w:r w:rsidRPr="00143D29">
        <w:rPr>
          <w:i/>
          <w:lang w:val="es-ES"/>
        </w:rPr>
        <w:t xml:space="preserve">Caso Fiscal Vs. </w:t>
      </w:r>
      <w:proofErr w:type="spellStart"/>
      <w:r w:rsidRPr="00143D29">
        <w:rPr>
          <w:i/>
          <w:lang w:val="es-ES"/>
        </w:rPr>
        <w:t>Kunarac</w:t>
      </w:r>
      <w:proofErr w:type="spellEnd"/>
      <w:r w:rsidRPr="00143D29">
        <w:rPr>
          <w:lang w:val="es-ES"/>
        </w:rPr>
        <w:t xml:space="preserve">, Sentencia de 12 de junio de 2012, párr. 117.  </w:t>
      </w:r>
    </w:p>
  </w:footnote>
  <w:footnote w:id="388">
    <w:p w14:paraId="6C3B19B2" w14:textId="77777777" w:rsidR="00D4299B" w:rsidRPr="00143D29" w:rsidRDefault="00D4299B" w:rsidP="00D761C7">
      <w:pPr>
        <w:pStyle w:val="Textonotapie"/>
        <w:tabs>
          <w:tab w:val="clear" w:pos="4419"/>
          <w:tab w:val="clear" w:pos="8838"/>
          <w:tab w:val="right" w:pos="0"/>
        </w:tabs>
        <w:spacing w:after="20"/>
      </w:pPr>
      <w:r w:rsidRPr="00143D29">
        <w:rPr>
          <w:rStyle w:val="Refdenotaalpie"/>
          <w:szCs w:val="16"/>
        </w:rPr>
        <w:footnoteRef/>
      </w:r>
      <w:r w:rsidRPr="00143D29">
        <w:rPr>
          <w:lang w:val="es-ES"/>
        </w:rPr>
        <w:t xml:space="preserve"> TPIY, </w:t>
      </w:r>
      <w:r w:rsidRPr="00143D29">
        <w:rPr>
          <w:i/>
          <w:lang w:val="es-ES"/>
        </w:rPr>
        <w:t>Caso</w:t>
      </w:r>
      <w:r w:rsidRPr="00143D29">
        <w:rPr>
          <w:lang w:val="es-ES"/>
        </w:rPr>
        <w:t xml:space="preserve"> </w:t>
      </w:r>
      <w:r w:rsidRPr="00143D29">
        <w:rPr>
          <w:i/>
          <w:iCs/>
          <w:lang w:val="es-ES"/>
        </w:rPr>
        <w:t xml:space="preserve">Fiscal Vs.  Milorad </w:t>
      </w:r>
      <w:proofErr w:type="spellStart"/>
      <w:r w:rsidRPr="00143D29">
        <w:rPr>
          <w:i/>
          <w:iCs/>
          <w:lang w:val="es-ES"/>
        </w:rPr>
        <w:t>Krnojelac</w:t>
      </w:r>
      <w:proofErr w:type="spellEnd"/>
      <w:r w:rsidRPr="00143D29">
        <w:rPr>
          <w:i/>
          <w:iCs/>
          <w:lang w:val="es-ES"/>
        </w:rPr>
        <w:t xml:space="preserve"> </w:t>
      </w:r>
      <w:r w:rsidRPr="00143D29">
        <w:rPr>
          <w:iCs/>
          <w:lang w:val="es-ES"/>
        </w:rPr>
        <w:t xml:space="preserve">(en adelante </w:t>
      </w:r>
      <w:r w:rsidRPr="00143D29">
        <w:rPr>
          <w:i/>
          <w:iCs/>
          <w:lang w:val="es-ES"/>
        </w:rPr>
        <w:t xml:space="preserve">Caso Fiscal Vs. </w:t>
      </w:r>
      <w:proofErr w:type="spellStart"/>
      <w:r w:rsidRPr="00143D29">
        <w:rPr>
          <w:i/>
          <w:iCs/>
          <w:lang w:val="es-ES"/>
        </w:rPr>
        <w:t>Krnojelac</w:t>
      </w:r>
      <w:proofErr w:type="spellEnd"/>
      <w:r w:rsidRPr="00143D29">
        <w:rPr>
          <w:iCs/>
          <w:lang w:val="es-ES"/>
        </w:rPr>
        <w:t>)</w:t>
      </w:r>
      <w:r w:rsidRPr="00143D29">
        <w:rPr>
          <w:i/>
          <w:iCs/>
          <w:lang w:val="es-ES"/>
        </w:rPr>
        <w:t xml:space="preserve">, </w:t>
      </w:r>
      <w:r w:rsidRPr="00143D29">
        <w:rPr>
          <w:iCs/>
          <w:lang w:val="es-ES"/>
        </w:rPr>
        <w:t>No.</w:t>
      </w:r>
      <w:r w:rsidRPr="00143D29">
        <w:rPr>
          <w:i/>
          <w:iCs/>
          <w:lang w:val="es-ES"/>
        </w:rPr>
        <w:t xml:space="preserve"> </w:t>
      </w:r>
      <w:r w:rsidRPr="00143D29">
        <w:rPr>
          <w:lang w:val="es-ES"/>
        </w:rPr>
        <w:t>IT-97-25-T, Cámara de 1a Instancia,</w:t>
      </w:r>
      <w:r w:rsidRPr="00143D29" w:rsidDel="00C7686F">
        <w:rPr>
          <w:lang w:val="es-ES"/>
        </w:rPr>
        <w:t xml:space="preserve"> </w:t>
      </w:r>
      <w:r w:rsidRPr="00143D29">
        <w:rPr>
          <w:lang w:val="es-ES"/>
        </w:rPr>
        <w:t xml:space="preserve">Sentencia de 15 de marzo de 2002, párr. </w:t>
      </w:r>
      <w:r w:rsidRPr="00143D29">
        <w:t>357.</w:t>
      </w:r>
    </w:p>
  </w:footnote>
  <w:footnote w:id="389">
    <w:p w14:paraId="3255AE9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t xml:space="preserve"> TESL, </w:t>
      </w:r>
      <w:r w:rsidRPr="00143D29">
        <w:rPr>
          <w:i/>
        </w:rPr>
        <w:t>Caso</w:t>
      </w:r>
      <w:r w:rsidRPr="00143D29">
        <w:t xml:space="preserve"> </w:t>
      </w:r>
      <w:r w:rsidRPr="00143D29">
        <w:rPr>
          <w:i/>
          <w:iCs/>
        </w:rPr>
        <w:t xml:space="preserve">Fiscal v. Sesay, </w:t>
      </w:r>
      <w:proofErr w:type="spellStart"/>
      <w:r w:rsidRPr="00143D29">
        <w:rPr>
          <w:i/>
          <w:iCs/>
        </w:rPr>
        <w:t>Kallon</w:t>
      </w:r>
      <w:proofErr w:type="spellEnd"/>
      <w:r w:rsidRPr="00143D29">
        <w:rPr>
          <w:i/>
          <w:iCs/>
        </w:rPr>
        <w:t xml:space="preserve"> and </w:t>
      </w:r>
      <w:proofErr w:type="spellStart"/>
      <w:r w:rsidRPr="00143D29">
        <w:rPr>
          <w:i/>
          <w:iCs/>
        </w:rPr>
        <w:t>Gbao</w:t>
      </w:r>
      <w:proofErr w:type="spellEnd"/>
      <w:r w:rsidRPr="00143D29">
        <w:t xml:space="preserve">, Trial judgment, Case No. </w:t>
      </w:r>
      <w:r w:rsidRPr="00143D29">
        <w:rPr>
          <w:lang w:val="es-ES"/>
        </w:rPr>
        <w:t xml:space="preserve">TESS-04-15-T, Trial </w:t>
      </w:r>
      <w:proofErr w:type="spellStart"/>
      <w:r w:rsidRPr="00143D29">
        <w:rPr>
          <w:lang w:val="es-ES"/>
        </w:rPr>
        <w:t>Chamber</w:t>
      </w:r>
      <w:proofErr w:type="spellEnd"/>
      <w:r w:rsidRPr="00143D29">
        <w:rPr>
          <w:lang w:val="es-ES"/>
        </w:rPr>
        <w:t xml:space="preserve"> I, 2 de marzo de 2009, párr. 199.</w:t>
      </w:r>
    </w:p>
  </w:footnote>
  <w:footnote w:id="390">
    <w:p w14:paraId="1C1874B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TESL, </w:t>
      </w:r>
      <w:r w:rsidRPr="00143D29">
        <w:rPr>
          <w:i/>
          <w:lang w:val="es-ES"/>
        </w:rPr>
        <w:t>Caso</w:t>
      </w:r>
      <w:r w:rsidRPr="00143D29">
        <w:rPr>
          <w:lang w:val="es-ES"/>
        </w:rPr>
        <w:t xml:space="preserve"> </w:t>
      </w:r>
      <w:r w:rsidRPr="00143D29">
        <w:rPr>
          <w:i/>
          <w:iCs/>
          <w:lang w:val="es-ES"/>
        </w:rPr>
        <w:t xml:space="preserve">Fiscal Vs. </w:t>
      </w:r>
      <w:proofErr w:type="spellStart"/>
      <w:r w:rsidRPr="00143D29">
        <w:rPr>
          <w:i/>
          <w:iCs/>
          <w:lang w:val="es-ES"/>
        </w:rPr>
        <w:t>Brima</w:t>
      </w:r>
      <w:proofErr w:type="spellEnd"/>
      <w:r w:rsidRPr="00143D29">
        <w:rPr>
          <w:i/>
          <w:iCs/>
          <w:lang w:val="es-ES"/>
        </w:rPr>
        <w:t xml:space="preserve">, </w:t>
      </w:r>
      <w:proofErr w:type="spellStart"/>
      <w:r w:rsidRPr="00143D29">
        <w:rPr>
          <w:i/>
          <w:iCs/>
          <w:lang w:val="es-ES"/>
        </w:rPr>
        <w:t>Kamara</w:t>
      </w:r>
      <w:proofErr w:type="spellEnd"/>
      <w:r w:rsidRPr="00143D29">
        <w:rPr>
          <w:i/>
          <w:iCs/>
          <w:lang w:val="es-ES"/>
        </w:rPr>
        <w:t xml:space="preserve"> y Kanu</w:t>
      </w:r>
      <w:r w:rsidRPr="00143D29">
        <w:rPr>
          <w:lang w:val="es-ES"/>
        </w:rPr>
        <w:t xml:space="preserve">, No. TESS-04-16-T-628, Cámara de 1ª Instancia. Sentencia de 20 de junio de 2007, </w:t>
      </w:r>
      <w:proofErr w:type="spellStart"/>
      <w:r w:rsidRPr="00143D29">
        <w:rPr>
          <w:lang w:val="es-ES"/>
        </w:rPr>
        <w:t>párrs</w:t>
      </w:r>
      <w:proofErr w:type="spellEnd"/>
      <w:r w:rsidRPr="00143D29">
        <w:rPr>
          <w:lang w:val="es-ES"/>
        </w:rPr>
        <w:t>. 744 a 748.</w:t>
      </w:r>
    </w:p>
  </w:footnote>
  <w:footnote w:id="391">
    <w:p w14:paraId="71421C0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TESL, </w:t>
      </w:r>
      <w:r w:rsidRPr="00143D29">
        <w:rPr>
          <w:i/>
          <w:lang w:val="es-ES"/>
        </w:rPr>
        <w:t>Caso</w:t>
      </w:r>
      <w:r w:rsidRPr="00143D29">
        <w:rPr>
          <w:i/>
          <w:iCs/>
          <w:lang w:val="es-ES"/>
        </w:rPr>
        <w:t xml:space="preserve"> Fiscal Vs. Charles Taylor</w:t>
      </w:r>
      <w:r w:rsidRPr="00143D29">
        <w:rPr>
          <w:lang w:val="es-ES"/>
        </w:rPr>
        <w:t>, No. TESS-03-01-T, Cámara de 1ª Instancia, Sentencia de 18 de mayo de 2012, párr. 448.</w:t>
      </w:r>
    </w:p>
  </w:footnote>
  <w:footnote w:id="392">
    <w:p w14:paraId="1039C49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Tribunal de Justicia de CEEAO,</w:t>
      </w:r>
      <w:r w:rsidRPr="00143D29">
        <w:rPr>
          <w:i/>
          <w:lang w:val="es-ES"/>
        </w:rPr>
        <w:t xml:space="preserve"> Caso</w:t>
      </w:r>
      <w:r w:rsidRPr="00143D29">
        <w:rPr>
          <w:lang w:val="es-ES"/>
        </w:rPr>
        <w:t xml:space="preserve"> </w:t>
      </w:r>
      <w:proofErr w:type="spellStart"/>
      <w:r w:rsidRPr="00143D29">
        <w:rPr>
          <w:i/>
          <w:lang w:val="es-ES"/>
        </w:rPr>
        <w:t>Mme</w:t>
      </w:r>
      <w:proofErr w:type="spellEnd"/>
      <w:r w:rsidRPr="00143D29">
        <w:rPr>
          <w:i/>
          <w:lang w:val="es-ES"/>
        </w:rPr>
        <w:t xml:space="preserve"> </w:t>
      </w:r>
      <w:proofErr w:type="spellStart"/>
      <w:r w:rsidRPr="00143D29">
        <w:rPr>
          <w:i/>
          <w:lang w:val="es-ES"/>
        </w:rPr>
        <w:t>Hadijatou</w:t>
      </w:r>
      <w:proofErr w:type="spellEnd"/>
      <w:r w:rsidRPr="00143D29">
        <w:rPr>
          <w:i/>
          <w:lang w:val="es-ES"/>
        </w:rPr>
        <w:t xml:space="preserve"> </w:t>
      </w:r>
      <w:proofErr w:type="spellStart"/>
      <w:r w:rsidRPr="00143D29">
        <w:rPr>
          <w:i/>
          <w:lang w:val="es-ES"/>
        </w:rPr>
        <w:t>Mani</w:t>
      </w:r>
      <w:proofErr w:type="spellEnd"/>
      <w:r w:rsidRPr="00143D29">
        <w:rPr>
          <w:i/>
          <w:lang w:val="es-ES"/>
        </w:rPr>
        <w:t xml:space="preserve"> </w:t>
      </w:r>
      <w:proofErr w:type="spellStart"/>
      <w:r w:rsidRPr="00143D29">
        <w:rPr>
          <w:i/>
          <w:lang w:val="es-ES"/>
        </w:rPr>
        <w:t>Koraou</w:t>
      </w:r>
      <w:proofErr w:type="spellEnd"/>
      <w:r w:rsidRPr="00143D29">
        <w:rPr>
          <w:i/>
          <w:lang w:val="es-ES"/>
        </w:rPr>
        <w:t xml:space="preserve"> Vs. República de </w:t>
      </w:r>
      <w:proofErr w:type="spellStart"/>
      <w:r w:rsidRPr="00143D29">
        <w:rPr>
          <w:i/>
          <w:lang w:val="es-ES"/>
        </w:rPr>
        <w:t>Niger</w:t>
      </w:r>
      <w:proofErr w:type="spellEnd"/>
      <w:r w:rsidRPr="00143D29">
        <w:rPr>
          <w:lang w:val="es-ES"/>
        </w:rPr>
        <w:t xml:space="preserve">, No. ECW/CCJ/JUD/06/08, Sentencia de 27 de octubre de </w:t>
      </w:r>
      <w:proofErr w:type="gramStart"/>
      <w:r w:rsidRPr="00143D29">
        <w:rPr>
          <w:lang w:val="es-ES"/>
        </w:rPr>
        <w:t>2008,.</w:t>
      </w:r>
      <w:proofErr w:type="gramEnd"/>
    </w:p>
  </w:footnote>
  <w:footnote w:id="393">
    <w:p w14:paraId="1338519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Tribunal de Justicia de CEEAO, </w:t>
      </w:r>
      <w:r w:rsidRPr="00143D29">
        <w:rPr>
          <w:i/>
          <w:lang w:val="es-ES"/>
        </w:rPr>
        <w:t xml:space="preserve">Caso </w:t>
      </w:r>
      <w:proofErr w:type="spellStart"/>
      <w:r w:rsidRPr="00143D29">
        <w:rPr>
          <w:i/>
          <w:lang w:val="es-ES"/>
        </w:rPr>
        <w:t>Mme</w:t>
      </w:r>
      <w:proofErr w:type="spellEnd"/>
      <w:r w:rsidRPr="00143D29">
        <w:rPr>
          <w:i/>
          <w:lang w:val="es-ES"/>
        </w:rPr>
        <w:t xml:space="preserve"> </w:t>
      </w:r>
      <w:proofErr w:type="spellStart"/>
      <w:r w:rsidRPr="00143D29">
        <w:rPr>
          <w:i/>
          <w:lang w:val="es-ES"/>
        </w:rPr>
        <w:t>Hadijatou</w:t>
      </w:r>
      <w:proofErr w:type="spellEnd"/>
      <w:r w:rsidRPr="00143D29">
        <w:rPr>
          <w:i/>
          <w:lang w:val="es-ES"/>
        </w:rPr>
        <w:t xml:space="preserve"> </w:t>
      </w:r>
      <w:proofErr w:type="spellStart"/>
      <w:r w:rsidRPr="00143D29">
        <w:rPr>
          <w:i/>
          <w:lang w:val="es-ES"/>
        </w:rPr>
        <w:t>Mani</w:t>
      </w:r>
      <w:proofErr w:type="spellEnd"/>
      <w:r w:rsidRPr="00143D29">
        <w:rPr>
          <w:i/>
          <w:lang w:val="es-ES"/>
        </w:rPr>
        <w:t xml:space="preserve"> </w:t>
      </w:r>
      <w:proofErr w:type="spellStart"/>
      <w:r w:rsidRPr="00143D29">
        <w:rPr>
          <w:i/>
          <w:lang w:val="es-ES"/>
        </w:rPr>
        <w:t>Koraou</w:t>
      </w:r>
      <w:proofErr w:type="spellEnd"/>
      <w:r w:rsidRPr="00143D29">
        <w:rPr>
          <w:i/>
          <w:lang w:val="es-ES"/>
        </w:rPr>
        <w:t xml:space="preserve"> Vs. República de </w:t>
      </w:r>
      <w:proofErr w:type="spellStart"/>
      <w:r w:rsidRPr="00143D29">
        <w:rPr>
          <w:i/>
          <w:lang w:val="es-ES"/>
        </w:rPr>
        <w:t>Niger</w:t>
      </w:r>
      <w:proofErr w:type="spellEnd"/>
      <w:r w:rsidRPr="00143D29">
        <w:rPr>
          <w:lang w:val="es-ES"/>
        </w:rPr>
        <w:t xml:space="preserve">, Sentencia de 27 de octubre de 2008, </w:t>
      </w:r>
      <w:proofErr w:type="spellStart"/>
      <w:r w:rsidRPr="00143D29">
        <w:rPr>
          <w:lang w:val="es-ES"/>
        </w:rPr>
        <w:t>párrs</w:t>
      </w:r>
      <w:proofErr w:type="spellEnd"/>
      <w:r w:rsidRPr="00143D29">
        <w:rPr>
          <w:lang w:val="es-ES"/>
        </w:rPr>
        <w:t xml:space="preserve">. 76 a 79. </w:t>
      </w:r>
    </w:p>
  </w:footnote>
  <w:footnote w:id="394">
    <w:p w14:paraId="729EDB2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Cs/>
          <w:lang w:val="es-ES"/>
        </w:rPr>
        <w:t>TEDH,</w:t>
      </w:r>
      <w:r w:rsidRPr="00143D29">
        <w:rPr>
          <w:i/>
          <w:iCs/>
          <w:lang w:val="es-ES"/>
        </w:rPr>
        <w:t xml:space="preserve"> Caso </w:t>
      </w:r>
      <w:proofErr w:type="spellStart"/>
      <w:r w:rsidRPr="00143D29">
        <w:rPr>
          <w:i/>
          <w:iCs/>
          <w:lang w:val="es-ES"/>
        </w:rPr>
        <w:t>Siliadin</w:t>
      </w:r>
      <w:proofErr w:type="spellEnd"/>
      <w:r w:rsidRPr="00143D29">
        <w:rPr>
          <w:i/>
          <w:iCs/>
          <w:lang w:val="es-ES"/>
        </w:rPr>
        <w:t xml:space="preserve"> Vs. Francia</w:t>
      </w:r>
      <w:r w:rsidRPr="00143D29">
        <w:rPr>
          <w:lang w:val="es-ES"/>
        </w:rPr>
        <w:t xml:space="preserve">, No. 73316/01, Sentencia de 26 de julio de 2005, </w:t>
      </w:r>
      <w:proofErr w:type="spellStart"/>
      <w:r w:rsidRPr="00143D29">
        <w:rPr>
          <w:lang w:val="es-ES"/>
        </w:rPr>
        <w:t>párrs</w:t>
      </w:r>
      <w:proofErr w:type="spellEnd"/>
      <w:r w:rsidRPr="00143D29">
        <w:rPr>
          <w:lang w:val="es-ES"/>
        </w:rPr>
        <w:t xml:space="preserve">. 82 a 149. </w:t>
      </w:r>
    </w:p>
  </w:footnote>
  <w:footnote w:id="395">
    <w:p w14:paraId="534B5EE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Cs/>
          <w:lang w:val="es-ES"/>
        </w:rPr>
        <w:t>TEDH,</w:t>
      </w:r>
      <w:r w:rsidRPr="00143D29">
        <w:rPr>
          <w:i/>
          <w:iCs/>
          <w:lang w:val="es-ES"/>
        </w:rPr>
        <w:t xml:space="preserve"> Caso </w:t>
      </w:r>
      <w:proofErr w:type="spellStart"/>
      <w:r w:rsidRPr="00143D29">
        <w:rPr>
          <w:i/>
          <w:iCs/>
          <w:lang w:val="es-ES"/>
        </w:rPr>
        <w:t>Siliadin</w:t>
      </w:r>
      <w:proofErr w:type="spellEnd"/>
      <w:r w:rsidRPr="00143D29">
        <w:rPr>
          <w:i/>
          <w:iCs/>
          <w:lang w:val="es-ES"/>
        </w:rPr>
        <w:t xml:space="preserve"> Vs. Francia</w:t>
      </w:r>
      <w:r w:rsidRPr="00143D29">
        <w:rPr>
          <w:lang w:val="es-ES"/>
        </w:rPr>
        <w:t xml:space="preserve">, </w:t>
      </w:r>
      <w:proofErr w:type="spellStart"/>
      <w:r w:rsidRPr="00143D29">
        <w:rPr>
          <w:lang w:val="es-ES"/>
        </w:rPr>
        <w:t>párrs</w:t>
      </w:r>
      <w:proofErr w:type="spellEnd"/>
      <w:r w:rsidRPr="00143D29">
        <w:rPr>
          <w:lang w:val="es-ES"/>
        </w:rPr>
        <w:t>. 123 y 124.</w:t>
      </w:r>
    </w:p>
  </w:footnote>
  <w:footnote w:id="396">
    <w:p w14:paraId="0D85CDF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Cs/>
          <w:lang w:val="es-ES"/>
        </w:rPr>
        <w:t>TEDH,</w:t>
      </w:r>
      <w:r w:rsidRPr="00143D29">
        <w:rPr>
          <w:i/>
          <w:iCs/>
          <w:lang w:val="es-ES"/>
        </w:rPr>
        <w:t xml:space="preserve"> Caso </w:t>
      </w:r>
      <w:proofErr w:type="spellStart"/>
      <w:r w:rsidRPr="00143D29">
        <w:rPr>
          <w:i/>
          <w:iCs/>
          <w:lang w:val="es-ES"/>
        </w:rPr>
        <w:t>Siliadin</w:t>
      </w:r>
      <w:proofErr w:type="spellEnd"/>
      <w:r w:rsidRPr="00143D29">
        <w:rPr>
          <w:i/>
          <w:iCs/>
          <w:lang w:val="es-ES"/>
        </w:rPr>
        <w:t xml:space="preserve"> Vs. Francia</w:t>
      </w:r>
      <w:r w:rsidRPr="00143D29">
        <w:rPr>
          <w:lang w:val="es-ES"/>
        </w:rPr>
        <w:t xml:space="preserve">, </w:t>
      </w:r>
      <w:proofErr w:type="spellStart"/>
      <w:r w:rsidRPr="00143D29">
        <w:rPr>
          <w:lang w:val="es-ES"/>
        </w:rPr>
        <w:t>párrs</w:t>
      </w:r>
      <w:proofErr w:type="spellEnd"/>
      <w:r w:rsidRPr="00143D29">
        <w:rPr>
          <w:lang w:val="es-ES"/>
        </w:rPr>
        <w:t>. 126 y 127.</w:t>
      </w:r>
    </w:p>
  </w:footnote>
  <w:footnote w:id="397">
    <w:p w14:paraId="613B601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iCs/>
          <w:lang w:val="es-ES"/>
        </w:rPr>
        <w:t xml:space="preserve">Caso </w:t>
      </w:r>
      <w:proofErr w:type="spellStart"/>
      <w:r w:rsidRPr="00143D29">
        <w:rPr>
          <w:i/>
          <w:iCs/>
          <w:lang w:val="es-ES"/>
        </w:rPr>
        <w:t>Rantsev</w:t>
      </w:r>
      <w:proofErr w:type="spellEnd"/>
      <w:r w:rsidRPr="00143D29">
        <w:rPr>
          <w:i/>
          <w:iCs/>
          <w:lang w:val="es-ES"/>
        </w:rPr>
        <w:t xml:space="preserve"> Vs. Chipre y Rusia</w:t>
      </w:r>
      <w:r w:rsidRPr="00143D29">
        <w:rPr>
          <w:lang w:val="es-ES"/>
        </w:rPr>
        <w:t xml:space="preserve">, No. 25965/04, Sentencia de 7 de enero de 2010, </w:t>
      </w:r>
      <w:proofErr w:type="spellStart"/>
      <w:r w:rsidRPr="00143D29">
        <w:rPr>
          <w:lang w:val="es-ES"/>
        </w:rPr>
        <w:t>párrs</w:t>
      </w:r>
      <w:proofErr w:type="spellEnd"/>
      <w:r w:rsidRPr="00143D29">
        <w:rPr>
          <w:lang w:val="es-ES"/>
        </w:rPr>
        <w:t>. 279 y 280.</w:t>
      </w:r>
    </w:p>
  </w:footnote>
  <w:footnote w:id="398">
    <w:p w14:paraId="3DE2004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lang w:val="es-CR"/>
        </w:rPr>
        <w:t xml:space="preserve">Salas Extraordinarias en las Cortes de Camboya para el Enjuiciamiento de Crímenes Cometidos durante el Período de Kampuchea Democrática, </w:t>
      </w:r>
      <w:r w:rsidRPr="00143D29">
        <w:rPr>
          <w:i/>
          <w:lang w:val="es-CR"/>
        </w:rPr>
        <w:t xml:space="preserve">Caso </w:t>
      </w:r>
      <w:proofErr w:type="spellStart"/>
      <w:r w:rsidRPr="00143D29">
        <w:rPr>
          <w:i/>
          <w:lang w:val="es-CR"/>
        </w:rPr>
        <w:t>Duch</w:t>
      </w:r>
      <w:proofErr w:type="spellEnd"/>
      <w:r w:rsidRPr="00143D29">
        <w:rPr>
          <w:i/>
          <w:lang w:val="es-CR"/>
        </w:rPr>
        <w:t xml:space="preserve">, </w:t>
      </w:r>
      <w:r w:rsidRPr="00143D29">
        <w:rPr>
          <w:lang w:val="es-CR"/>
        </w:rPr>
        <w:t xml:space="preserve">No. 001/18-07-2007/ECCC/SC, Cámara Corte Suprema, Sentencia de 3 de febrero de 2012, </w:t>
      </w:r>
      <w:proofErr w:type="spellStart"/>
      <w:r w:rsidRPr="00143D29">
        <w:rPr>
          <w:lang w:val="es-CR"/>
        </w:rPr>
        <w:t>párrs</w:t>
      </w:r>
      <w:proofErr w:type="spellEnd"/>
      <w:r w:rsidRPr="00143D29">
        <w:rPr>
          <w:lang w:val="es-CR"/>
        </w:rPr>
        <w:t>. 117-167.</w:t>
      </w:r>
    </w:p>
  </w:footnote>
  <w:footnote w:id="399">
    <w:p w14:paraId="2231D79F" w14:textId="77777777" w:rsidR="00D4299B" w:rsidRPr="00143D29" w:rsidRDefault="00D4299B" w:rsidP="00D761C7">
      <w:pPr>
        <w:pStyle w:val="Textonotapie"/>
        <w:tabs>
          <w:tab w:val="clear" w:pos="4419"/>
          <w:tab w:val="clear" w:pos="8838"/>
          <w:tab w:val="right" w:pos="0"/>
        </w:tabs>
        <w:spacing w:after="20"/>
        <w:rPr>
          <w:i/>
          <w:iCs/>
          <w:lang w:val="es-MX"/>
        </w:rPr>
      </w:pPr>
      <w:r w:rsidRPr="00143D29">
        <w:rPr>
          <w:rStyle w:val="Refdenotaalpie"/>
          <w:szCs w:val="16"/>
        </w:rPr>
        <w:footnoteRef/>
      </w:r>
      <w:r w:rsidRPr="00143D29">
        <w:rPr>
          <w:lang w:val="es-ES"/>
        </w:rPr>
        <w:t xml:space="preserve"> </w:t>
      </w:r>
      <w:r w:rsidRPr="00143D29">
        <w:rPr>
          <w:lang w:val="es-MX"/>
        </w:rPr>
        <w:t xml:space="preserve">Comisión Africana de Derechos Humanos y de los Pueblos, </w:t>
      </w:r>
      <w:r w:rsidRPr="00143D29">
        <w:rPr>
          <w:i/>
          <w:lang w:val="es-MX"/>
        </w:rPr>
        <w:t xml:space="preserve">Caso Malawi </w:t>
      </w:r>
      <w:proofErr w:type="spellStart"/>
      <w:r w:rsidRPr="00143D29">
        <w:rPr>
          <w:i/>
          <w:lang w:val="es-MX"/>
        </w:rPr>
        <w:t>African</w:t>
      </w:r>
      <w:proofErr w:type="spellEnd"/>
      <w:r w:rsidRPr="00143D29">
        <w:rPr>
          <w:i/>
          <w:lang w:val="es-MX"/>
        </w:rPr>
        <w:t xml:space="preserve"> </w:t>
      </w:r>
      <w:proofErr w:type="spellStart"/>
      <w:r w:rsidRPr="00143D29">
        <w:rPr>
          <w:i/>
          <w:lang w:val="es-MX"/>
        </w:rPr>
        <w:t>Association</w:t>
      </w:r>
      <w:proofErr w:type="spellEnd"/>
      <w:r w:rsidRPr="00143D29">
        <w:rPr>
          <w:lang w:val="es-MX"/>
        </w:rPr>
        <w:t xml:space="preserve"> </w:t>
      </w:r>
      <w:r w:rsidRPr="00143D29">
        <w:rPr>
          <w:i/>
          <w:iCs/>
          <w:lang w:val="es-MX"/>
        </w:rPr>
        <w:t xml:space="preserve">y Otros Vs. Mauritania, </w:t>
      </w:r>
      <w:r w:rsidRPr="00143D29">
        <w:rPr>
          <w:lang w:val="es-MX"/>
        </w:rPr>
        <w:t>Comunicaciones Nos. 54/91, 61/91, 98/93, 164/97-196/97 y 210/98 (2000), Decisión de 11 de mayo de 2000,</w:t>
      </w:r>
      <w:r w:rsidRPr="00143D29">
        <w:rPr>
          <w:i/>
          <w:iCs/>
          <w:lang w:val="es-MX"/>
        </w:rPr>
        <w:t xml:space="preserve"> </w:t>
      </w:r>
      <w:proofErr w:type="spellStart"/>
      <w:r w:rsidRPr="00143D29">
        <w:rPr>
          <w:lang w:val="es-MX"/>
        </w:rPr>
        <w:t>párrs</w:t>
      </w:r>
      <w:proofErr w:type="spellEnd"/>
      <w:r w:rsidRPr="00143D29">
        <w:rPr>
          <w:lang w:val="es-MX"/>
        </w:rPr>
        <w:t>. 132-135.</w:t>
      </w:r>
    </w:p>
  </w:footnote>
  <w:footnote w:id="400">
    <w:p w14:paraId="6D29C63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Artículo 5: </w:t>
      </w:r>
      <w:r w:rsidRPr="00143D29">
        <w:rPr>
          <w:bCs/>
          <w:iCs/>
          <w:lang w:val="es-ES_tradnl"/>
        </w:rPr>
        <w:t>“[t]odas las formas de explotación y degradación del hombre, especialmente la esclavitud, la trata de personas, la tortura, el castigo y el trato cruel, inhumano o degradante serán prohibidos”.</w:t>
      </w:r>
    </w:p>
  </w:footnote>
  <w:footnote w:id="401">
    <w:p w14:paraId="76A591C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Comité CEDAW, UN Doc. A/55/38, Primera Parte, 1o de mayo de 2000, párr. 113: “</w:t>
      </w:r>
      <w:r w:rsidRPr="00143D29">
        <w:rPr>
          <w:lang w:val="es-CR"/>
        </w:rPr>
        <w:t>El Comité considera que el trabajo forzoso de la mujer es una forma contemporánea de esclavitud y una denegación de sus derechos</w:t>
      </w:r>
      <w:proofErr w:type="gramStart"/>
      <w:r w:rsidRPr="00143D29">
        <w:rPr>
          <w:lang w:val="es-ES"/>
        </w:rPr>
        <w:t>”;  Comité</w:t>
      </w:r>
      <w:proofErr w:type="gramEnd"/>
      <w:r w:rsidRPr="00143D29">
        <w:rPr>
          <w:lang w:val="es-ES"/>
        </w:rPr>
        <w:t xml:space="preserve"> CEDAW, UN Doc. A/57/</w:t>
      </w:r>
      <w:proofErr w:type="gramStart"/>
      <w:r w:rsidRPr="00143D29">
        <w:rPr>
          <w:lang w:val="es-ES"/>
        </w:rPr>
        <w:t>38,  Segunda</w:t>
      </w:r>
      <w:proofErr w:type="gramEnd"/>
      <w:r w:rsidRPr="00143D29">
        <w:rPr>
          <w:lang w:val="es-ES"/>
        </w:rPr>
        <w:t xml:space="preserve"> Parte, 15 de septiembre de 2002, párr. 383: “</w:t>
      </w:r>
      <w:r w:rsidRPr="00143D29">
        <w:rPr>
          <w:lang w:val="es-CR"/>
        </w:rPr>
        <w:t>El Comité desea señalar los aspectos generales cada vez más graves de la trata de mujeres, que constituye gran parte de la trata contemporánea de personas, es una forma de esclavitud y contraviene el artículo 6 de la Convención</w:t>
      </w:r>
      <w:r w:rsidRPr="00143D29">
        <w:rPr>
          <w:lang w:val="es-ES"/>
        </w:rPr>
        <w:t xml:space="preserve">”. </w:t>
      </w:r>
    </w:p>
  </w:footnote>
  <w:footnote w:id="402">
    <w:p w14:paraId="48D58370" w14:textId="77777777" w:rsidR="00D4299B" w:rsidRPr="00143D29" w:rsidRDefault="00D4299B" w:rsidP="00D761C7">
      <w:pPr>
        <w:pStyle w:val="Textonotapie"/>
        <w:tabs>
          <w:tab w:val="clear" w:pos="4419"/>
          <w:tab w:val="clear" w:pos="8838"/>
          <w:tab w:val="right" w:pos="0"/>
        </w:tabs>
        <w:spacing w:after="20"/>
        <w:rPr>
          <w:b/>
          <w:lang w:val="es-ES"/>
        </w:rPr>
      </w:pPr>
      <w:r w:rsidRPr="00143D29">
        <w:rPr>
          <w:rStyle w:val="Refdenotaalpie"/>
          <w:szCs w:val="16"/>
        </w:rPr>
        <w:footnoteRef/>
      </w:r>
      <w:r w:rsidRPr="00143D29">
        <w:rPr>
          <w:lang w:val="es-ES"/>
        </w:rPr>
        <w:t xml:space="preserve"> Comité de Derechos Humanos, Observaciones Finales sobre Croacia, CCPR/CO/71/HRV, de 30 de abril de 2001: “</w:t>
      </w:r>
      <w:r w:rsidRPr="00143D29">
        <w:rPr>
          <w:lang w:val="es-CR"/>
        </w:rPr>
        <w:t>El Estado Parte debería adoptar medidas apropiadas para combatir esa práctica [de la trata de mujeres en su territorio y a través de él, especialmente con fines de explotación sexual], que constituye una violación de varios derechos estipulados en el Pacto, incluido el derecho a no estar sometido a esclavitud ni servidumbre, consagrado en el artículo 8</w:t>
      </w:r>
      <w:r w:rsidRPr="00143D29">
        <w:rPr>
          <w:lang w:val="es-ES"/>
        </w:rPr>
        <w:t xml:space="preserve">”.  </w:t>
      </w:r>
    </w:p>
  </w:footnote>
  <w:footnote w:id="403">
    <w:p w14:paraId="42202FF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Grupo de Trabajo de Naciones Unidas sobre Formas Contemporáneas de Esclavitud. Informe E/CN.4/Sub.2/1993/30, 23 de junio de 1993, párr. 99; Informe E/CN.4/Sub.2/1998/14, 6 de julio de 1998, párr. 97.6.</w:t>
      </w:r>
    </w:p>
  </w:footnote>
  <w:footnote w:id="404">
    <w:p w14:paraId="67DBD24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lang w:val="es-CR"/>
        </w:rPr>
        <w:t xml:space="preserve">Relatora Especial de Naciones Unidas sobre la trata de personas, especialmente mujeres y niños, Informe </w:t>
      </w:r>
      <w:r w:rsidRPr="00143D29">
        <w:rPr>
          <w:lang w:val="es-ES"/>
        </w:rPr>
        <w:t>E/CN.4/2005/71, 22 de diciembre de 2004, párr. 18.</w:t>
      </w:r>
    </w:p>
  </w:footnote>
  <w:footnote w:id="405">
    <w:p w14:paraId="771E70D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OHCHR, </w:t>
      </w:r>
      <w:r w:rsidRPr="00143D29">
        <w:rPr>
          <w:lang w:val="es-CR"/>
        </w:rPr>
        <w:t>La Abolición de la Esclavitud y sus Formas contemporáneas</w:t>
      </w:r>
      <w:r w:rsidRPr="00143D29">
        <w:rPr>
          <w:lang w:val="es-ES"/>
        </w:rPr>
        <w:t xml:space="preserve">, David </w:t>
      </w:r>
      <w:proofErr w:type="spellStart"/>
      <w:r w:rsidRPr="00143D29">
        <w:rPr>
          <w:lang w:val="es-ES"/>
        </w:rPr>
        <w:t>Weissbrodt</w:t>
      </w:r>
      <w:proofErr w:type="spellEnd"/>
      <w:r w:rsidRPr="00143D29">
        <w:rPr>
          <w:lang w:val="es-ES"/>
        </w:rPr>
        <w:t xml:space="preserve"> </w:t>
      </w:r>
      <w:r w:rsidRPr="00143D29">
        <w:rPr>
          <w:lang w:val="es-CR"/>
        </w:rPr>
        <w:t>y la Liga contra la Esclavitud</w:t>
      </w:r>
      <w:r w:rsidRPr="00143D29">
        <w:rPr>
          <w:lang w:val="es-ES"/>
        </w:rPr>
        <w:t xml:space="preserve">, UN Doc. </w:t>
      </w:r>
      <w:r w:rsidRPr="00143D29">
        <w:rPr>
          <w:lang w:val="es-CR"/>
        </w:rPr>
        <w:t>HR/PUB/02/4</w:t>
      </w:r>
      <w:r w:rsidRPr="00143D29">
        <w:rPr>
          <w:lang w:val="es-ES"/>
        </w:rPr>
        <w:t>, 2002. Disponible en: http://www.ohchr.org/Documents/Publications/slaveryen.pdf.</w:t>
      </w:r>
    </w:p>
  </w:footnote>
  <w:footnote w:id="406">
    <w:p w14:paraId="65DCB94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CIDH, Comunidades cautivas: situación del pueblo indígena guaraní y formas contemporáneas de esclavitud en el Chaco de Bolivia, Informe OEA/</w:t>
      </w:r>
      <w:proofErr w:type="spellStart"/>
      <w:r w:rsidRPr="00143D29">
        <w:rPr>
          <w:lang w:val="es-ES"/>
        </w:rPr>
        <w:t>Ser.L</w:t>
      </w:r>
      <w:proofErr w:type="spellEnd"/>
      <w:r w:rsidRPr="00143D29">
        <w:rPr>
          <w:lang w:val="es-ES"/>
        </w:rPr>
        <w:t>/V/II.Doc. 58, 2009.</w:t>
      </w:r>
    </w:p>
  </w:footnote>
  <w:footnote w:id="407">
    <w:p w14:paraId="5FBCE7A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La esclavitud llamada “</w:t>
      </w:r>
      <w:proofErr w:type="spellStart"/>
      <w:r w:rsidRPr="00143D29">
        <w:rPr>
          <w:lang w:val="es-ES"/>
        </w:rPr>
        <w:t>chattel</w:t>
      </w:r>
      <w:proofErr w:type="spellEnd"/>
      <w:r w:rsidRPr="00143D29">
        <w:rPr>
          <w:lang w:val="es-ES"/>
        </w:rPr>
        <w:t xml:space="preserve">” corresponde a lo que se comprendía como </w:t>
      </w:r>
      <w:r w:rsidRPr="00143D29">
        <w:rPr>
          <w:iCs/>
          <w:lang w:val="es-ES"/>
        </w:rPr>
        <w:t xml:space="preserve">“esclavitud del bien mueble”, para hacer referencia a la esclavitud clásica o esclavitud de derecho, en la cual, una persona pertenecía legalmente a otra. Ver Peritaje escrito de Jean </w:t>
      </w:r>
      <w:proofErr w:type="spellStart"/>
      <w:r w:rsidRPr="00143D29">
        <w:rPr>
          <w:iCs/>
          <w:lang w:val="es-ES"/>
        </w:rPr>
        <w:t>Allain</w:t>
      </w:r>
      <w:proofErr w:type="spellEnd"/>
      <w:r w:rsidRPr="00143D29">
        <w:rPr>
          <w:iCs/>
          <w:lang w:val="es-ES"/>
        </w:rPr>
        <w:t xml:space="preserve"> (expediente de prueba, folios 14915 y 14920).</w:t>
      </w:r>
    </w:p>
  </w:footnote>
  <w:footnote w:id="408">
    <w:p w14:paraId="6D10E6F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Convención Suplementaria de 1956, artículo 1.</w:t>
      </w:r>
    </w:p>
  </w:footnote>
  <w:footnote w:id="409">
    <w:p w14:paraId="3C7942A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lang w:val="es-ES"/>
        </w:rPr>
        <w:t xml:space="preserve">Peritaje escrito de Jean </w:t>
      </w:r>
      <w:proofErr w:type="spellStart"/>
      <w:r w:rsidRPr="00143D29">
        <w:rPr>
          <w:lang w:val="es-ES"/>
        </w:rPr>
        <w:t>Allain</w:t>
      </w:r>
      <w:proofErr w:type="spellEnd"/>
      <w:r w:rsidRPr="00143D29">
        <w:rPr>
          <w:lang w:val="es-ES"/>
        </w:rPr>
        <w:t xml:space="preserve">, folio 14929. </w:t>
      </w:r>
    </w:p>
  </w:footnote>
  <w:footnote w:id="410">
    <w:p w14:paraId="12FF186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Peritaje escrito de Jean </w:t>
      </w:r>
      <w:proofErr w:type="spellStart"/>
      <w:r w:rsidRPr="00143D29">
        <w:rPr>
          <w:lang w:val="es-ES"/>
        </w:rPr>
        <w:t>Allain</w:t>
      </w:r>
      <w:proofErr w:type="spellEnd"/>
      <w:r w:rsidRPr="00143D29">
        <w:rPr>
          <w:lang w:val="es-ES"/>
        </w:rPr>
        <w:t xml:space="preserve">, folio 14930; Corte Penal Internacional, Asamblea de Estados Partes, Elementos de los Crímenes, Documento ICC-ASP/1/3, 9 de septiembre de 2002, p. 117, 120, 141 y 151).  </w:t>
      </w:r>
    </w:p>
  </w:footnote>
  <w:footnote w:id="411">
    <w:p w14:paraId="5F57D41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Peritaje escrito de Jean </w:t>
      </w:r>
      <w:proofErr w:type="spellStart"/>
      <w:r w:rsidRPr="00143D29">
        <w:rPr>
          <w:lang w:val="es-ES"/>
        </w:rPr>
        <w:t>Allain</w:t>
      </w:r>
      <w:proofErr w:type="spellEnd"/>
      <w:r w:rsidRPr="00143D29">
        <w:rPr>
          <w:lang w:val="es-ES"/>
        </w:rPr>
        <w:t xml:space="preserve">, folio 14931; y Directrices </w:t>
      </w:r>
      <w:proofErr w:type="spellStart"/>
      <w:r w:rsidRPr="00143D29">
        <w:rPr>
          <w:lang w:val="es-ES"/>
        </w:rPr>
        <w:t>Bellagio</w:t>
      </w:r>
      <w:proofErr w:type="spellEnd"/>
      <w:r w:rsidRPr="00143D29">
        <w:rPr>
          <w:lang w:val="es-ES"/>
        </w:rPr>
        <w:t xml:space="preserve">-Harvard de 2012 sobre Parámetros Jurídicos de la Esclavitud, Directriz No. 2. </w:t>
      </w:r>
    </w:p>
  </w:footnote>
  <w:footnote w:id="412">
    <w:p w14:paraId="476FC0A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TPIY, Caso </w:t>
      </w:r>
      <w:r w:rsidRPr="00143D29">
        <w:rPr>
          <w:i/>
          <w:lang w:val="es-ES"/>
        </w:rPr>
        <w:t xml:space="preserve">Fiscal Vs. </w:t>
      </w:r>
      <w:proofErr w:type="spellStart"/>
      <w:r w:rsidRPr="00143D29">
        <w:rPr>
          <w:i/>
          <w:lang w:val="es-ES"/>
        </w:rPr>
        <w:t>Kunarac</w:t>
      </w:r>
      <w:proofErr w:type="spellEnd"/>
      <w:r w:rsidRPr="00143D29">
        <w:rPr>
          <w:lang w:val="es-ES"/>
        </w:rPr>
        <w:t xml:space="preserve">, Cámara de 1ª Instancia, párr. 542. </w:t>
      </w:r>
    </w:p>
  </w:footnote>
  <w:footnote w:id="413">
    <w:p w14:paraId="253DD7A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TPIY, </w:t>
      </w:r>
      <w:r w:rsidRPr="00143D29">
        <w:rPr>
          <w:i/>
          <w:lang w:val="es-ES"/>
        </w:rPr>
        <w:t>Caso</w:t>
      </w:r>
      <w:r w:rsidRPr="00143D29">
        <w:rPr>
          <w:lang w:val="es-ES"/>
        </w:rPr>
        <w:t xml:space="preserve"> </w:t>
      </w:r>
      <w:r w:rsidRPr="00143D29">
        <w:rPr>
          <w:i/>
          <w:lang w:val="es-ES"/>
        </w:rPr>
        <w:t xml:space="preserve">Fiscal Vs. </w:t>
      </w:r>
      <w:proofErr w:type="spellStart"/>
      <w:r w:rsidRPr="00143D29">
        <w:rPr>
          <w:i/>
          <w:lang w:val="es-ES"/>
        </w:rPr>
        <w:t>Kunarac</w:t>
      </w:r>
      <w:proofErr w:type="spellEnd"/>
      <w:r w:rsidRPr="00143D29">
        <w:rPr>
          <w:lang w:val="es-ES"/>
        </w:rPr>
        <w:t xml:space="preserve">, Cámara de Apelaciones, párr. 117; y TEDH, </w:t>
      </w:r>
      <w:r w:rsidRPr="00143D29">
        <w:rPr>
          <w:i/>
          <w:lang w:val="es-ES"/>
        </w:rPr>
        <w:t xml:space="preserve">Caso </w:t>
      </w:r>
      <w:proofErr w:type="spellStart"/>
      <w:r w:rsidRPr="00143D29">
        <w:rPr>
          <w:i/>
          <w:lang w:val="es-ES"/>
        </w:rPr>
        <w:t>Rantsev</w:t>
      </w:r>
      <w:proofErr w:type="spellEnd"/>
      <w:r w:rsidRPr="00143D29">
        <w:rPr>
          <w:i/>
          <w:lang w:val="es-ES"/>
        </w:rPr>
        <w:t xml:space="preserve"> Vs. Chipre </w:t>
      </w:r>
      <w:proofErr w:type="gramStart"/>
      <w:r w:rsidRPr="00143D29">
        <w:rPr>
          <w:i/>
          <w:lang w:val="es-ES"/>
        </w:rPr>
        <w:t xml:space="preserve">y  </w:t>
      </w:r>
      <w:proofErr w:type="spellStart"/>
      <w:r w:rsidRPr="00143D29">
        <w:rPr>
          <w:i/>
          <w:lang w:val="es-ES"/>
        </w:rPr>
        <w:t>Rúsia</w:t>
      </w:r>
      <w:proofErr w:type="spellEnd"/>
      <w:proofErr w:type="gramEnd"/>
      <w:r w:rsidRPr="00143D29">
        <w:rPr>
          <w:lang w:val="es-ES"/>
        </w:rPr>
        <w:t xml:space="preserve">, </w:t>
      </w:r>
      <w:proofErr w:type="spellStart"/>
      <w:r w:rsidRPr="00143D29">
        <w:rPr>
          <w:lang w:val="es-ES"/>
        </w:rPr>
        <w:t>párrs</w:t>
      </w:r>
      <w:proofErr w:type="spellEnd"/>
      <w:r w:rsidRPr="00143D29">
        <w:rPr>
          <w:lang w:val="es-ES"/>
        </w:rPr>
        <w:t xml:space="preserve">. 280 y 281. </w:t>
      </w:r>
    </w:p>
  </w:footnote>
  <w:footnote w:id="414">
    <w:p w14:paraId="5085E79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 xml:space="preserve">Caso </w:t>
      </w:r>
      <w:proofErr w:type="spellStart"/>
      <w:r w:rsidRPr="00143D29">
        <w:rPr>
          <w:i/>
          <w:lang w:val="es-ES"/>
        </w:rPr>
        <w:t>Siliadin</w:t>
      </w:r>
      <w:proofErr w:type="spellEnd"/>
      <w:r w:rsidRPr="00143D29">
        <w:rPr>
          <w:i/>
          <w:lang w:val="es-ES"/>
        </w:rPr>
        <w:t xml:space="preserve"> Vs. Francia</w:t>
      </w:r>
      <w:r w:rsidRPr="00143D29">
        <w:rPr>
          <w:lang w:val="es-ES"/>
        </w:rPr>
        <w:t>, párr. 124.</w:t>
      </w:r>
    </w:p>
  </w:footnote>
  <w:footnote w:id="415">
    <w:p w14:paraId="3C13981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Así también entendió la Cámara de Apelaciones del Tribunal Penal Ad Hoc Internacional para la ex-Yugoslavia, al afirmar que: “117. </w:t>
      </w:r>
      <w:r w:rsidRPr="00143D29">
        <w:t xml:space="preserve">The Appeals Chamber accepts the chief thesis of the Trial Chamber that the traditional concept of slavery, as defined in the 1926 Slavery Convention and often referred to as “chattel slavery”, has evolved to encompass various contemporary forms of slavery which are also based on the exercise of any or all of the powers attaching to the right of ownership. In the case of these various contemporary forms of slavery, the victim is not subject to the exercise of the more extreme rights of ownership associated with “chattel slavery”, but in all cases, as a result of the exercise of any or all of the powers attaching to the right of ownership, there is some destruction of the juridical personality; the destruction is greater in the case of “chattel slavery” but the difference is one of degree. The Appeals Chamber considers that, at the time relevant to the alleged crimes, these contemporary forms of slavery formed part of enslavement as a crime against humanity under customary international law.” </w:t>
      </w:r>
      <w:r w:rsidRPr="00143D29">
        <w:rPr>
          <w:lang w:val="es-ES"/>
        </w:rPr>
        <w:t xml:space="preserve">TPIY, </w:t>
      </w:r>
      <w:r w:rsidRPr="00143D29">
        <w:rPr>
          <w:i/>
          <w:lang w:val="es-ES"/>
        </w:rPr>
        <w:t>Caso</w:t>
      </w:r>
      <w:r w:rsidRPr="00143D29">
        <w:rPr>
          <w:lang w:val="es-ES"/>
        </w:rPr>
        <w:t xml:space="preserve"> </w:t>
      </w:r>
      <w:r w:rsidRPr="00143D29">
        <w:rPr>
          <w:i/>
          <w:lang w:val="es-ES"/>
        </w:rPr>
        <w:t xml:space="preserve">Fiscal Vs. </w:t>
      </w:r>
      <w:proofErr w:type="spellStart"/>
      <w:r w:rsidRPr="00143D29">
        <w:rPr>
          <w:i/>
          <w:lang w:val="es-ES"/>
        </w:rPr>
        <w:t>Kunarac</w:t>
      </w:r>
      <w:proofErr w:type="spellEnd"/>
      <w:r w:rsidRPr="00143D29">
        <w:rPr>
          <w:lang w:val="es-ES"/>
        </w:rPr>
        <w:t>, Cámara de Apelaciones, párr. 117.</w:t>
      </w:r>
    </w:p>
  </w:footnote>
  <w:footnote w:id="416">
    <w:p w14:paraId="56BDFE8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La servidumbre de la gleba, o sea, la condición de la persona que está obligada por la ley, por la costumbre o por un acuerdo a vivir y a trabajar sobre una tierra que pertenece a otra persona y a prestar a ésta, mediante remuneración o gratuitamente, determinados servicios, sin libertad para cambiar su condición. Convención de 1956, artículo 1.</w:t>
      </w:r>
    </w:p>
  </w:footnote>
  <w:footnote w:id="417">
    <w:p w14:paraId="51DA2A8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La servidumbre por deudas, o sea, el estado o la condición que resulta del hecho de que un deudor se haya comprometido a prestar sus servicios personales, o los de alguien sobre quien ejerce autoridad, como garantía de una deuda, si los servicios prestados, equitativamente valorados, no se aplican al pago de la deuda, o si no se limita su duración ni se define la naturaleza de dichos servicios. Convención de 1956, artículo 1.</w:t>
      </w:r>
    </w:p>
  </w:footnote>
  <w:footnote w:id="418">
    <w:p w14:paraId="399F553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Toda institución o práctica en virtud de la cual:</w:t>
      </w:r>
    </w:p>
    <w:p w14:paraId="3093F6D8"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   i) Una mujer, sin que la asista el derecho a oponerse, es prometida o dada en matrimonio a cambio de una contrapartida en dinero o en especie entregada a sus padres, a su tutor, a su familia o a cualquier otra persona o grupo de personas;</w:t>
      </w:r>
    </w:p>
    <w:p w14:paraId="37717F3B"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   </w:t>
      </w:r>
      <w:proofErr w:type="spellStart"/>
      <w:r w:rsidRPr="00143D29">
        <w:rPr>
          <w:lang w:val="es-ES"/>
        </w:rPr>
        <w:t>ii</w:t>
      </w:r>
      <w:proofErr w:type="spellEnd"/>
      <w:r w:rsidRPr="00143D29">
        <w:rPr>
          <w:lang w:val="es-ES"/>
        </w:rPr>
        <w:t>) El marido de una mujer, la familia o el clan del marido tienen el derecho de cederla a un tercero a título oneroso o de otra manera;</w:t>
      </w:r>
    </w:p>
    <w:p w14:paraId="182ACE35"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   </w:t>
      </w:r>
      <w:proofErr w:type="spellStart"/>
      <w:r w:rsidRPr="00143D29">
        <w:rPr>
          <w:lang w:val="es-ES"/>
        </w:rPr>
        <w:t>iii</w:t>
      </w:r>
      <w:proofErr w:type="spellEnd"/>
      <w:r w:rsidRPr="00143D29">
        <w:rPr>
          <w:lang w:val="es-ES"/>
        </w:rPr>
        <w:t>) La mujer, a la muerte de su marido, puede ser transmitida por herencia a otra persona;</w:t>
      </w:r>
    </w:p>
    <w:p w14:paraId="3D357D94"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   </w:t>
      </w:r>
      <w:proofErr w:type="spellStart"/>
      <w:r w:rsidRPr="00143D29">
        <w:rPr>
          <w:lang w:val="es-ES"/>
        </w:rPr>
        <w:t>iv</w:t>
      </w:r>
      <w:proofErr w:type="spellEnd"/>
      <w:r w:rsidRPr="00143D29">
        <w:rPr>
          <w:lang w:val="es-ES"/>
        </w:rPr>
        <w:t>) Toda institución o práctica en virtud de la cual un niño o un joven menor de dieciocho años es entregado por sus padres, o uno de ellos, o por su tutor, a otra persona, mediante remuneración o sin ella, con el propósito de que se explote la persona o el trabajo del niño o del joven. Convención de 1956, artículo 1.</w:t>
      </w:r>
    </w:p>
  </w:footnote>
  <w:footnote w:id="419">
    <w:p w14:paraId="481F64B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 xml:space="preserve">Caso </w:t>
      </w:r>
      <w:proofErr w:type="spellStart"/>
      <w:r w:rsidRPr="00143D29">
        <w:rPr>
          <w:i/>
          <w:lang w:val="es-ES"/>
        </w:rPr>
        <w:t>Siliadin</w:t>
      </w:r>
      <w:proofErr w:type="spellEnd"/>
      <w:r w:rsidRPr="00143D29">
        <w:rPr>
          <w:i/>
          <w:lang w:val="es-ES"/>
        </w:rPr>
        <w:t xml:space="preserve"> Vs. Francia</w:t>
      </w:r>
      <w:r w:rsidRPr="00143D29">
        <w:rPr>
          <w:lang w:val="es-ES"/>
        </w:rPr>
        <w:t>, párr.  123.</w:t>
      </w:r>
    </w:p>
  </w:footnote>
  <w:footnote w:id="420">
    <w:p w14:paraId="7766B08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Caso C.N. y V. Vs. Francia</w:t>
      </w:r>
      <w:r w:rsidRPr="00143D29">
        <w:rPr>
          <w:lang w:val="es-ES"/>
        </w:rPr>
        <w:t>, No. 67724/09, Sentencia de 11 de octubre de 2012, párr. 91.</w:t>
      </w:r>
    </w:p>
  </w:footnote>
  <w:footnote w:id="421">
    <w:p w14:paraId="398FA0F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Caso C.N. Vs. Reino Unido</w:t>
      </w:r>
      <w:r w:rsidRPr="00143D29">
        <w:rPr>
          <w:lang w:val="es-ES"/>
        </w:rPr>
        <w:t>, No. 4239/08, Sentencia de 13 de noviembre de 2012, párr. 80.</w:t>
      </w:r>
    </w:p>
  </w:footnote>
  <w:footnote w:id="422">
    <w:p w14:paraId="561EB68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Ver Peritaje escrito de Jean </w:t>
      </w:r>
      <w:proofErr w:type="spellStart"/>
      <w:r w:rsidRPr="00143D29">
        <w:rPr>
          <w:lang w:val="es-ES"/>
        </w:rPr>
        <w:t>Allain</w:t>
      </w:r>
      <w:proofErr w:type="spellEnd"/>
      <w:r w:rsidRPr="00143D29">
        <w:rPr>
          <w:lang w:val="es-ES"/>
        </w:rPr>
        <w:t>, folio 14917.</w:t>
      </w:r>
    </w:p>
  </w:footnote>
  <w:footnote w:id="423">
    <w:p w14:paraId="734D964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Según el perito Jean </w:t>
      </w:r>
      <w:proofErr w:type="spellStart"/>
      <w:r w:rsidRPr="00143D29">
        <w:rPr>
          <w:lang w:val="es-ES"/>
        </w:rPr>
        <w:t>Allain</w:t>
      </w:r>
      <w:proofErr w:type="spellEnd"/>
      <w:r w:rsidRPr="00143D29">
        <w:rPr>
          <w:lang w:val="es-ES"/>
        </w:rPr>
        <w:t xml:space="preserve">, “La prohibición a la esclavitud coincide con la prohibición de trata de esclavos”, Peritaje escrito de Jean </w:t>
      </w:r>
      <w:proofErr w:type="spellStart"/>
      <w:r w:rsidRPr="00143D29">
        <w:rPr>
          <w:lang w:val="es-ES"/>
        </w:rPr>
        <w:t>Allain</w:t>
      </w:r>
      <w:proofErr w:type="spellEnd"/>
      <w:r w:rsidRPr="00143D29">
        <w:rPr>
          <w:lang w:val="es-ES"/>
        </w:rPr>
        <w:t>, folio 14917.</w:t>
      </w:r>
    </w:p>
  </w:footnote>
  <w:footnote w:id="424">
    <w:p w14:paraId="028C4E2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lang w:val="es-CR"/>
        </w:rPr>
        <w:t>Acuerdo internacional del 18 de mayo de 1904 para la represión de la trata de blancas, modificado por el Protocolo aprobado por la Asamblea General de las Naciones Unidas el 3 de diciembre de 1948; Convenio internacional del 4 de mayo de 1910 para la represión de la trata de blancas, modificado por el Protocolo aprobado por la Asamblea General de las Naciones Unidas el 3 de diciembre de 1948; Convenio internacional del 30 de septiembre de 1921 para la represión de la trata de mujeres y niños, modificado por el Protocolo aprobado por la Asamblea General de las Naciones Unidas el 20 de octubre de 1947; Convenio internacional del 11 de octubre de 1933 para la represión de la trata de mujeres mayores de edad, modificado por el Protocolo aprobado por la Asamblea General de las Naciones Unidas el 20 de octubre de 1947.</w:t>
      </w:r>
    </w:p>
  </w:footnote>
  <w:footnote w:id="425">
    <w:p w14:paraId="5B9F3F4D"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Ver Convenio para la represión de la trata de personas y de la explotación de la prostitución ajena. Disponible en: </w:t>
      </w:r>
      <w:hyperlink r:id="rId9" w:history="1">
        <w:r w:rsidRPr="00143D29">
          <w:rPr>
            <w:rStyle w:val="Hipervnculo"/>
            <w:lang w:val="es-CL"/>
          </w:rPr>
          <w:t>http://www.ohchr.org/SP/ProfessionalInterest/Pages/TrafficInPersons.aspx</w:t>
        </w:r>
      </w:hyperlink>
      <w:r w:rsidRPr="00143D29">
        <w:rPr>
          <w:lang w:val="es-ES"/>
        </w:rPr>
        <w:t>.</w:t>
      </w:r>
    </w:p>
  </w:footnote>
  <w:footnote w:id="426">
    <w:p w14:paraId="074C66F6"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Protocolo para prevenir, reprimir y sancionar la trata de personas, especialmente mujeres y niños de la Convención de las Naciones Unidas contra la Delincuencia Organizada Transnacional, artículo 4. Disponible en: http://www.ohchr.org/Documents/ProfessionalInterest/ProtocolTraffickingInPersons_sp.pdf.</w:t>
      </w:r>
    </w:p>
  </w:footnote>
  <w:footnote w:id="427">
    <w:p w14:paraId="1916AAC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Convenio del Consejo de Europa sobre la lucha contra la trata de seres humanos, artículo 4: Para los fines del presente Convenio: a) La expresión “trata de seres humanos” designa la contratación, el transporte, el traslado, el alojamiento o la acogida de personas mediante amenazas de recurrir a la fuerza, recurso a la fuerza o cualquier otra forma de obligación, mediante rapto, fraude, engaño, abuso de autoridad o de una situación de vulnerabilidad o mediante la oferta o la aceptación de pagos o ventajas para obtener el consentimiento de una persona que tenga autoridad sobre otra con fines de explotación. La explotación incluirá, como mínimo, la explotación de la prostitución ajena o bien otras formas de explotación sexual, el trabajo o los servicios forzados, la esclavitud o prácticas similares a la esclavitud, la servidumbre o la extracción de órganos; b) El consentimiento de una víctima de la “trata de seres humanos” ante una posible explotación, tal y como se define en el párrafo (a) del presente artículo, se considerará irrelevante cuando se utilice uno cualquiera de los medios enunciados en el párrafo (a); c) la contratación, el transporte, el traslado, el alojamiento o la acogida de un niño con fines de explotación tendrán la consideración de “trata de seres humanos”, aunque no apelen a ninguno de los medios enunciados en el párrafo (a) del presente artículo; […]</w:t>
      </w:r>
    </w:p>
  </w:footnote>
  <w:footnote w:id="428">
    <w:p w14:paraId="15A1A19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del Grupo de Trabajo de Naciones Unidas sobre Formas Contemporáneas de Esclavitud. Subcomisión sobre Prevención de la Discriminación y Protección de las Minorías, Resolución E/CN.4/Sub2/RES/1998/19, </w:t>
      </w:r>
      <w:r w:rsidRPr="00143D29">
        <w:rPr>
          <w:iCs/>
          <w:lang w:val="es-ES"/>
        </w:rPr>
        <w:t>párr.</w:t>
      </w:r>
      <w:r w:rsidRPr="00143D29">
        <w:rPr>
          <w:i/>
          <w:iCs/>
          <w:lang w:val="es-ES"/>
        </w:rPr>
        <w:t xml:space="preserve"> </w:t>
      </w:r>
      <w:r w:rsidRPr="00143D29">
        <w:rPr>
          <w:lang w:val="es-ES"/>
        </w:rPr>
        <w:t>20.</w:t>
      </w:r>
    </w:p>
  </w:footnote>
  <w:footnote w:id="429">
    <w:p w14:paraId="74C0811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Relatora Especial </w:t>
      </w:r>
      <w:r w:rsidRPr="00143D29">
        <w:rPr>
          <w:lang w:val="es-CR"/>
        </w:rPr>
        <w:t>sobre la violencia contra la mujer, con inclusión de sus causas y consecuencias</w:t>
      </w:r>
      <w:r w:rsidRPr="00143D29">
        <w:rPr>
          <w:lang w:val="es-ES"/>
        </w:rPr>
        <w:t>, UN Doc. E/CN.4/1997/47, 12 de febrero de 1997, párr. 98: “</w:t>
      </w:r>
      <w:r w:rsidRPr="00143D29">
        <w:rPr>
          <w:lang w:val="es-CR"/>
        </w:rPr>
        <w:t>Cabe considerar sin lugar a dudas que las condiciones en que […] se ven obligadas a trabajar muchas mujeres víctimas de la trata forman parte de la esclavitud y las prácticas análogas a la esclavitud.</w:t>
      </w:r>
      <w:r w:rsidRPr="00143D29">
        <w:rPr>
          <w:lang w:val="es-ES"/>
        </w:rPr>
        <w:t>”</w:t>
      </w:r>
    </w:p>
  </w:footnote>
  <w:footnote w:id="430">
    <w:p w14:paraId="1824E610" w14:textId="77777777" w:rsidR="00D4299B" w:rsidRPr="00143D29" w:rsidRDefault="00D4299B" w:rsidP="00D761C7">
      <w:pPr>
        <w:pStyle w:val="Textonotapie"/>
        <w:tabs>
          <w:tab w:val="clear" w:pos="4419"/>
          <w:tab w:val="clear" w:pos="8838"/>
          <w:tab w:val="right" w:pos="0"/>
        </w:tabs>
        <w:spacing w:after="20"/>
        <w:rPr>
          <w:i/>
          <w:iCs/>
          <w:lang w:val="es-ES"/>
        </w:rPr>
      </w:pPr>
      <w:r w:rsidRPr="00143D29">
        <w:rPr>
          <w:rStyle w:val="Refdenotaalpie"/>
          <w:szCs w:val="16"/>
        </w:rPr>
        <w:footnoteRef/>
      </w:r>
      <w:r w:rsidRPr="00143D29">
        <w:rPr>
          <w:lang w:val="es-ES"/>
        </w:rPr>
        <w:t xml:space="preserve">  Informe de la Relatora Especial sobre Formas Contemporáneas de Esclavitud, sus causas y consecuencias, UN Doc. A/HRC/12/21, 10 de julio de 2009, p. 15.</w:t>
      </w:r>
    </w:p>
  </w:footnote>
  <w:footnote w:id="431">
    <w:p w14:paraId="5A9AA8C9" w14:textId="77777777" w:rsidR="00D4299B" w:rsidRPr="00143D29" w:rsidRDefault="00D4299B" w:rsidP="00D761C7">
      <w:pPr>
        <w:pStyle w:val="Textonotapie"/>
        <w:tabs>
          <w:tab w:val="clear" w:pos="4419"/>
          <w:tab w:val="clear" w:pos="8838"/>
          <w:tab w:val="right" w:pos="0"/>
        </w:tabs>
        <w:spacing w:after="20"/>
        <w:rPr>
          <w:i/>
          <w:iCs/>
          <w:lang w:val="es-ES"/>
        </w:rPr>
      </w:pPr>
      <w:r w:rsidRPr="00143D29">
        <w:rPr>
          <w:rStyle w:val="Refdenotaalpie"/>
          <w:szCs w:val="16"/>
        </w:rPr>
        <w:footnoteRef/>
      </w:r>
      <w:r w:rsidRPr="00143D29">
        <w:rPr>
          <w:lang w:val="es-ES"/>
        </w:rPr>
        <w:t xml:space="preserve">  Informe de la Relatora Especial sobre la trata de personas, especialmente mujeres y niños</w:t>
      </w:r>
      <w:r w:rsidRPr="00143D29">
        <w:rPr>
          <w:i/>
          <w:iCs/>
          <w:lang w:val="es-ES"/>
        </w:rPr>
        <w:t xml:space="preserve">, </w:t>
      </w:r>
      <w:r w:rsidRPr="00143D29">
        <w:rPr>
          <w:lang w:val="es-ES"/>
        </w:rPr>
        <w:t>UN doc. A/HRC/10/16, 20 de febrero de 2009, p. 5: “En la actualidad, el mundo se enfrenta a un enorme problema de trata de seres humanos, impulsado por las mismas fuerzas que impulsan la globalización de los mercados, ya que no falta oferta ni demanda. En distinta medida y en diferentes circunstancias, hombres, mujeres y niños de todo el mundo son víctimas de lo que se ha convertido en una forma moderna de esclavitud.”</w:t>
      </w:r>
    </w:p>
  </w:footnote>
  <w:footnote w:id="432">
    <w:p w14:paraId="7A4A10F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Informe de la Relatora Especial sobre la trata de personas, especialmente mujeres y niños, p. 9.</w:t>
      </w:r>
    </w:p>
  </w:footnote>
  <w:footnote w:id="433">
    <w:p w14:paraId="0679CDC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Convenio Europeo de Derechos Humanos, artículo 4: </w:t>
      </w:r>
      <w:r w:rsidRPr="00143D29">
        <w:rPr>
          <w:lang w:val="es-CR"/>
        </w:rPr>
        <w:t xml:space="preserve">Prohibición de la esclavitud y del trabajo forzoso 1. Nadie podrá ser sometido a esclavitud o servidumbre. 2. Nadie podrá ser constreñido a realizar un trabajo forzoso u obligatorio </w:t>
      </w:r>
      <w:r w:rsidRPr="00143D29">
        <w:rPr>
          <w:lang w:val="es-ES"/>
        </w:rPr>
        <w:t>[…].</w:t>
      </w:r>
    </w:p>
  </w:footnote>
  <w:footnote w:id="434">
    <w:p w14:paraId="09D8942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 xml:space="preserve">Caso </w:t>
      </w:r>
      <w:proofErr w:type="spellStart"/>
      <w:r w:rsidRPr="00143D29">
        <w:rPr>
          <w:i/>
          <w:lang w:val="es-ES"/>
        </w:rPr>
        <w:t>Rantsev</w:t>
      </w:r>
      <w:proofErr w:type="spellEnd"/>
      <w:r w:rsidRPr="00143D29">
        <w:rPr>
          <w:i/>
          <w:lang w:val="es-ES"/>
        </w:rPr>
        <w:t xml:space="preserve"> Vs. Chipre y Rusia</w:t>
      </w:r>
      <w:r w:rsidRPr="00143D29">
        <w:rPr>
          <w:lang w:val="es-ES"/>
        </w:rPr>
        <w:t>, párr. 282.</w:t>
      </w:r>
    </w:p>
  </w:footnote>
  <w:footnote w:id="435">
    <w:p w14:paraId="54B95B5D"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 xml:space="preserve">Caso </w:t>
      </w:r>
      <w:proofErr w:type="spellStart"/>
      <w:r w:rsidRPr="00143D29">
        <w:rPr>
          <w:i/>
          <w:lang w:val="es-ES"/>
        </w:rPr>
        <w:t>Rantsev</w:t>
      </w:r>
      <w:proofErr w:type="spellEnd"/>
      <w:r w:rsidRPr="00143D29">
        <w:rPr>
          <w:i/>
          <w:lang w:val="es-ES"/>
        </w:rPr>
        <w:t xml:space="preserve"> Vs. Chipre y Rusia</w:t>
      </w:r>
      <w:r w:rsidRPr="00143D29">
        <w:rPr>
          <w:lang w:val="es-ES"/>
        </w:rPr>
        <w:t>, párr. 281.</w:t>
      </w:r>
      <w:r w:rsidRPr="00143D29">
        <w:rPr>
          <w:lang w:val="es-ES"/>
        </w:rPr>
        <w:tab/>
      </w:r>
    </w:p>
  </w:footnote>
  <w:footnote w:id="436">
    <w:p w14:paraId="65F2D088"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TEDH, </w:t>
      </w:r>
      <w:r w:rsidRPr="00143D29">
        <w:rPr>
          <w:i/>
          <w:lang w:val="es-ES"/>
        </w:rPr>
        <w:t xml:space="preserve">Caso </w:t>
      </w:r>
      <w:proofErr w:type="spellStart"/>
      <w:r w:rsidRPr="00143D29">
        <w:rPr>
          <w:i/>
          <w:lang w:val="es-ES"/>
        </w:rPr>
        <w:t>Rantsev</w:t>
      </w:r>
      <w:proofErr w:type="spellEnd"/>
      <w:r w:rsidRPr="00143D29">
        <w:rPr>
          <w:i/>
          <w:lang w:val="es-ES"/>
        </w:rPr>
        <w:t xml:space="preserve"> Vs. Chipre y Rusia,</w:t>
      </w:r>
      <w:r w:rsidRPr="00143D29">
        <w:rPr>
          <w:lang w:val="es-ES"/>
        </w:rPr>
        <w:t xml:space="preserve"> párr. 280.</w:t>
      </w:r>
    </w:p>
  </w:footnote>
  <w:footnote w:id="437">
    <w:p w14:paraId="2F36D1C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CR"/>
        </w:rPr>
        <w:t>Cfr</w:t>
      </w:r>
      <w:r w:rsidRPr="00143D29">
        <w:rPr>
          <w:lang w:val="es-CR"/>
        </w:rPr>
        <w:t xml:space="preserve">. </w:t>
      </w:r>
      <w:r w:rsidRPr="00143D29">
        <w:rPr>
          <w:i/>
          <w:lang w:val="es-CR"/>
        </w:rPr>
        <w:t xml:space="preserve">Caso Boyce y otros Vs. </w:t>
      </w:r>
      <w:r w:rsidRPr="00143D29">
        <w:rPr>
          <w:i/>
          <w:lang w:val="es-ES"/>
        </w:rPr>
        <w:t>Barbados</w:t>
      </w:r>
      <w:r w:rsidRPr="00143D29">
        <w:rPr>
          <w:lang w:val="es-ES"/>
        </w:rPr>
        <w:t xml:space="preserve">, </w:t>
      </w:r>
      <w:r w:rsidRPr="00143D29">
        <w:rPr>
          <w:i/>
          <w:lang w:val="es-ES"/>
        </w:rPr>
        <w:t>Excepción Preliminar, Fondo, Reparaciones y Costas</w:t>
      </w:r>
      <w:r w:rsidRPr="00143D29">
        <w:rPr>
          <w:lang w:val="es-ES"/>
        </w:rPr>
        <w:t xml:space="preserve">. Sentencia de 20 de noviembre de 2007. Serie C No. 169, párr. 52, y </w:t>
      </w:r>
      <w:r w:rsidRPr="00143D29">
        <w:rPr>
          <w:i/>
          <w:lang w:val="es-ES"/>
        </w:rPr>
        <w:t xml:space="preserve">Caso Wong Ho </w:t>
      </w:r>
      <w:proofErr w:type="spellStart"/>
      <w:r w:rsidRPr="00143D29">
        <w:rPr>
          <w:i/>
          <w:lang w:val="es-ES"/>
        </w:rPr>
        <w:t>Wing</w:t>
      </w:r>
      <w:proofErr w:type="spellEnd"/>
      <w:r w:rsidRPr="00143D29">
        <w:rPr>
          <w:i/>
          <w:lang w:val="es-ES"/>
        </w:rPr>
        <w:t xml:space="preserve"> Vs. Perú</w:t>
      </w:r>
      <w:r w:rsidRPr="00143D29">
        <w:rPr>
          <w:lang w:val="es-ES"/>
        </w:rPr>
        <w:t xml:space="preserve">. </w:t>
      </w:r>
      <w:r w:rsidRPr="00143D29">
        <w:rPr>
          <w:i/>
          <w:lang w:val="es-CR"/>
        </w:rPr>
        <w:t>Excepciones Preliminares, Fondo, Reparaciones y Costas</w:t>
      </w:r>
      <w:r w:rsidRPr="00143D29">
        <w:rPr>
          <w:lang w:val="es-CR"/>
        </w:rPr>
        <w:t>. Sentencia de 30 de junio de 2015. Serie C No. 297, párr. 126.</w:t>
      </w:r>
    </w:p>
  </w:footnote>
  <w:footnote w:id="438">
    <w:p w14:paraId="651A164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Esa explotación incluirá, como mínimo, la explotación de la prostitución ajena u otras formas de explotación sexual, los trabajos o servicios forzados, la esclavitud o las prácticas análogas a la esclavitud, la servidumbre o la extracción de órganos. Protocolo de Palermo, artículo 3. Peritaje escrito de Jean </w:t>
      </w:r>
      <w:proofErr w:type="spellStart"/>
      <w:r w:rsidRPr="00143D29">
        <w:rPr>
          <w:lang w:val="es-ES"/>
        </w:rPr>
        <w:t>Allain</w:t>
      </w:r>
      <w:proofErr w:type="spellEnd"/>
      <w:r w:rsidRPr="00143D29">
        <w:rPr>
          <w:lang w:val="es-ES"/>
        </w:rPr>
        <w:t>, expediente de prueba, folios 14986 y 14987.</w:t>
      </w:r>
    </w:p>
  </w:footnote>
  <w:footnote w:id="439">
    <w:p w14:paraId="34D6A0D4"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Cfr. Caso de las Masacres de Ituango</w:t>
      </w:r>
      <w:r w:rsidRPr="00143D29">
        <w:rPr>
          <w:lang w:val="es-ES"/>
        </w:rPr>
        <w:t xml:space="preserve">, </w:t>
      </w:r>
      <w:proofErr w:type="spellStart"/>
      <w:r w:rsidRPr="00143D29">
        <w:rPr>
          <w:lang w:val="es-ES"/>
        </w:rPr>
        <w:t>párrs</w:t>
      </w:r>
      <w:proofErr w:type="spellEnd"/>
      <w:r w:rsidRPr="00143D29">
        <w:rPr>
          <w:lang w:val="es-ES"/>
        </w:rPr>
        <w:t>. 155 a 160.</w:t>
      </w:r>
    </w:p>
  </w:footnote>
  <w:footnote w:id="440">
    <w:p w14:paraId="28E4AD79"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 Cfr.</w:t>
      </w:r>
      <w:r w:rsidRPr="00143D29">
        <w:rPr>
          <w:lang w:val="es-ES"/>
        </w:rPr>
        <w:t xml:space="preserve"> </w:t>
      </w:r>
      <w:r w:rsidRPr="00143D29">
        <w:rPr>
          <w:i/>
          <w:lang w:val="es-ES"/>
        </w:rPr>
        <w:t>Caso de las Masacres de Ituango</w:t>
      </w:r>
      <w:r w:rsidRPr="00143D29">
        <w:rPr>
          <w:lang w:val="es-ES"/>
        </w:rPr>
        <w:t xml:space="preserve">, párr. 160. </w:t>
      </w:r>
    </w:p>
  </w:footnote>
  <w:footnote w:id="441">
    <w:p w14:paraId="67DFC73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w:t>
      </w:r>
      <w:r w:rsidRPr="00143D29">
        <w:rPr>
          <w:i/>
          <w:lang w:val="es-ES"/>
        </w:rPr>
        <w:t>Caso de las Masacres de Ituango,</w:t>
      </w:r>
      <w:r w:rsidRPr="00143D29">
        <w:rPr>
          <w:lang w:val="es-ES"/>
        </w:rPr>
        <w:t xml:space="preserve"> párr. 160.</w:t>
      </w:r>
    </w:p>
  </w:footnote>
  <w:footnote w:id="442">
    <w:p w14:paraId="0EEB1F31" w14:textId="77777777" w:rsidR="00D4299B" w:rsidRPr="00143D29" w:rsidRDefault="00D4299B" w:rsidP="00D761C7">
      <w:pPr>
        <w:pStyle w:val="Textonotapie"/>
        <w:tabs>
          <w:tab w:val="clear" w:pos="4419"/>
          <w:tab w:val="clear" w:pos="8838"/>
          <w:tab w:val="right" w:pos="0"/>
        </w:tabs>
        <w:spacing w:after="20"/>
        <w:rPr>
          <w:b/>
          <w:lang w:val="es-PE"/>
        </w:rPr>
      </w:pPr>
      <w:r w:rsidRPr="00143D29">
        <w:rPr>
          <w:rStyle w:val="Refdenotaalpie"/>
          <w:szCs w:val="16"/>
        </w:rPr>
        <w:footnoteRef/>
      </w:r>
      <w:r w:rsidRPr="00143D29">
        <w:rPr>
          <w:lang w:val="es-PE"/>
        </w:rPr>
        <w:t xml:space="preserve">  </w:t>
      </w:r>
      <w:r w:rsidRPr="00143D29">
        <w:rPr>
          <w:i/>
          <w:lang w:val="es-PE"/>
        </w:rPr>
        <w:t xml:space="preserve">Cfr. </w:t>
      </w:r>
      <w:r w:rsidRPr="00143D29">
        <w:rPr>
          <w:i/>
          <w:lang w:val="es-ES"/>
        </w:rPr>
        <w:t xml:space="preserve">Caso de las Masacres de Ituango, </w:t>
      </w:r>
      <w:r w:rsidRPr="00143D29">
        <w:rPr>
          <w:lang w:val="es-ES"/>
        </w:rPr>
        <w:t>párr. 161.</w:t>
      </w:r>
    </w:p>
  </w:footnote>
  <w:footnote w:id="443">
    <w:p w14:paraId="6D185ED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Caso de las Masacres de Ituango, </w:t>
      </w:r>
      <w:r w:rsidRPr="00143D29">
        <w:rPr>
          <w:lang w:val="es-ES"/>
        </w:rPr>
        <w:t>párr. 164.</w:t>
      </w:r>
    </w:p>
  </w:footnote>
  <w:footnote w:id="444">
    <w:p w14:paraId="5AFB0EE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Entre otros, Oficio PRT 8ª 2357/2001, de 21 de junio de 2001, (expediente de prueba, folios 1031 a 1036).</w:t>
      </w:r>
    </w:p>
  </w:footnote>
  <w:footnote w:id="445">
    <w:p w14:paraId="6C76D78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i/>
          <w:lang w:val="es-CR"/>
        </w:rPr>
        <w:t>Caso Fernández Ortega y Otros Vs. México</w:t>
      </w:r>
      <w:r w:rsidRPr="00143D29">
        <w:rPr>
          <w:lang w:val="es-CR"/>
        </w:rPr>
        <w:t xml:space="preserve">. </w:t>
      </w:r>
      <w:r w:rsidRPr="00143D29">
        <w:rPr>
          <w:i/>
          <w:lang w:val="es-CR"/>
        </w:rPr>
        <w:t>Excepciones Preliminares, Fondo, Reparaciones y Costas</w:t>
      </w:r>
      <w:r w:rsidRPr="00143D29">
        <w:rPr>
          <w:lang w:val="es-CR"/>
        </w:rPr>
        <w:t xml:space="preserve">. Sentencia de 30 de agosto de 2010. Serie C No. 215, </w:t>
      </w:r>
      <w:proofErr w:type="spellStart"/>
      <w:r w:rsidRPr="00143D29">
        <w:rPr>
          <w:lang w:val="es-CR"/>
        </w:rPr>
        <w:t>párrs</w:t>
      </w:r>
      <w:proofErr w:type="spellEnd"/>
      <w:r w:rsidRPr="00143D29">
        <w:rPr>
          <w:lang w:val="es-CR"/>
        </w:rPr>
        <w:t xml:space="preserve">. </w:t>
      </w:r>
      <w:r w:rsidRPr="00143D29">
        <w:rPr>
          <w:lang w:val="es-ES"/>
        </w:rPr>
        <w:t xml:space="preserve">132, 150 y 202, y </w:t>
      </w:r>
      <w:r w:rsidRPr="00143D29">
        <w:rPr>
          <w:i/>
          <w:lang w:val="es-ES"/>
        </w:rPr>
        <w:t>Caso Canales Huapaya y otros Vs. Perú. Excepciones Preliminares, Fondo, Reparaciones y Costas</w:t>
      </w:r>
      <w:r w:rsidRPr="00143D29">
        <w:rPr>
          <w:lang w:val="es-ES"/>
        </w:rPr>
        <w:t xml:space="preserve">. Sentencia de 24 de junio de 2015. Serie C No. 296, párr. 114. </w:t>
      </w:r>
    </w:p>
  </w:footnote>
  <w:footnote w:id="446">
    <w:p w14:paraId="263757A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b/>
          <w:bCs/>
          <w:lang w:val="es-ES"/>
        </w:rPr>
        <w:t> </w:t>
      </w:r>
      <w:r w:rsidRPr="00143D29">
        <w:rPr>
          <w:bCs/>
          <w:lang w:val="es-ES"/>
        </w:rPr>
        <w:t>Reducción a una condición análoga a la de esclavo:</w:t>
      </w:r>
    </w:p>
    <w:p w14:paraId="342B1E41"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Art. 149. Reducir a alguien a una condición análoga a la de esclavo, o someterlo a trabajos forzados o a una jornada agotadora, o someterlo a condiciones degradantes de trabajo, o restringir de cualquier manera, su locomoción, en virtud de deuda adquirida con el empleador o su representante.</w:t>
      </w:r>
    </w:p>
    <w:p w14:paraId="75346300"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Pena - reclusión de dos a ocho años y una multa, además de la sanción que corresponda por la violencia.</w:t>
      </w:r>
    </w:p>
    <w:p w14:paraId="75C6EA76"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1. Las mismas penas se aplican a aquellos que:</w:t>
      </w:r>
    </w:p>
    <w:p w14:paraId="6B1DAD9F"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I.- restrinjan el uso de cualquier medio de transporte del empleado con el fin de retenerlo en el lugar de trabajo.</w:t>
      </w:r>
    </w:p>
    <w:p w14:paraId="6C9A973C"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II.- mantenga abierta la vigilancia en el lugar de trabajo o tome posesión de documentos o bienes personales de los trabajadores con el fin de retenerlo en el lugar de trabajo. </w:t>
      </w:r>
    </w:p>
    <w:p w14:paraId="01A8B6FC"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2. La pena se aumentará en una mitad si el delito se comete: </w:t>
      </w:r>
    </w:p>
    <w:p w14:paraId="4080A176"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xml:space="preserve">I.- en contra de un niño o adolescente; </w:t>
      </w:r>
    </w:p>
    <w:p w14:paraId="21BF0363"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II.- por motivos de raza, color, etnia, religión u origen.</w:t>
      </w:r>
    </w:p>
  </w:footnote>
  <w:footnote w:id="447">
    <w:p w14:paraId="37F1B1E6"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proofErr w:type="spellStart"/>
      <w:r w:rsidRPr="00143D29">
        <w:rPr>
          <w:i/>
          <w:lang w:val="es-ES"/>
        </w:rPr>
        <w:t>Crf</w:t>
      </w:r>
      <w:proofErr w:type="spellEnd"/>
      <w:r w:rsidRPr="00143D29">
        <w:rPr>
          <w:i/>
          <w:lang w:val="es-ES"/>
        </w:rPr>
        <w:t xml:space="preserve">. Caso </w:t>
      </w:r>
      <w:proofErr w:type="spellStart"/>
      <w:r w:rsidRPr="00143D29">
        <w:rPr>
          <w:i/>
          <w:lang w:val="es-ES"/>
        </w:rPr>
        <w:t>Apitz</w:t>
      </w:r>
      <w:proofErr w:type="spellEnd"/>
      <w:r w:rsidRPr="00143D29">
        <w:rPr>
          <w:i/>
          <w:lang w:val="es-ES"/>
        </w:rPr>
        <w:t xml:space="preserve"> Barbera y otros (“Corte Primera de lo Contencioso Administrativo”) Vs. Venezuela. Excepción Preliminar, Fondo, Reparaciones y Costas. </w:t>
      </w:r>
      <w:r w:rsidRPr="00143D29">
        <w:rPr>
          <w:lang w:val="es-ES"/>
        </w:rPr>
        <w:t xml:space="preserve">Sentencia de 5 de agosto de 2008. Serie C No. 182, párr. 218, y </w:t>
      </w:r>
      <w:r w:rsidRPr="00143D29">
        <w:rPr>
          <w:i/>
          <w:lang w:val="es-ES"/>
        </w:rPr>
        <w:t xml:space="preserve">Caso Ruano Torres y otros Vs. El Salvador. Fondo, Reparaciones y Costas. </w:t>
      </w:r>
      <w:r w:rsidRPr="00143D29">
        <w:rPr>
          <w:lang w:val="es-ES"/>
        </w:rPr>
        <w:t>Sentencia de 5 de octubre de 2015. Serie C No. 303, párr. 29.</w:t>
      </w:r>
    </w:p>
  </w:footnote>
  <w:footnote w:id="448">
    <w:p w14:paraId="4E42A297" w14:textId="77777777" w:rsidR="00D4299B" w:rsidRPr="00143D29" w:rsidRDefault="00D4299B" w:rsidP="00D761C7">
      <w:pPr>
        <w:pStyle w:val="Textonotapie"/>
        <w:spacing w:after="20"/>
        <w:rPr>
          <w:lang w:val="pt-BR"/>
        </w:rPr>
      </w:pPr>
      <w:r w:rsidRPr="00143D29">
        <w:rPr>
          <w:rStyle w:val="Refdenotaalpie"/>
        </w:rPr>
        <w:footnoteRef/>
      </w:r>
      <w:r w:rsidRPr="00143D29">
        <w:rPr>
          <w:lang w:val="es-ES"/>
        </w:rPr>
        <w:t xml:space="preserve"> Traducción de la Secretaría de la Corte: “Por </w:t>
      </w:r>
      <w:proofErr w:type="spellStart"/>
      <w:r w:rsidRPr="00143D29">
        <w:rPr>
          <w:lang w:val="es-ES"/>
        </w:rPr>
        <w:t>óbvio</w:t>
      </w:r>
      <w:proofErr w:type="spellEnd"/>
      <w:r w:rsidRPr="00143D29">
        <w:rPr>
          <w:lang w:val="es-ES"/>
        </w:rPr>
        <w:t xml:space="preserve">, </w:t>
      </w:r>
      <w:proofErr w:type="spellStart"/>
      <w:r w:rsidRPr="00143D29">
        <w:rPr>
          <w:lang w:val="es-ES"/>
        </w:rPr>
        <w:t>nem</w:t>
      </w:r>
      <w:proofErr w:type="spellEnd"/>
      <w:r w:rsidRPr="00143D29">
        <w:rPr>
          <w:lang w:val="es-ES"/>
        </w:rPr>
        <w:t xml:space="preserve"> toda </w:t>
      </w:r>
      <w:proofErr w:type="spellStart"/>
      <w:r w:rsidRPr="00143D29">
        <w:rPr>
          <w:lang w:val="es-ES"/>
        </w:rPr>
        <w:t>violação</w:t>
      </w:r>
      <w:proofErr w:type="spellEnd"/>
      <w:r w:rsidRPr="00143D29">
        <w:rPr>
          <w:lang w:val="es-ES"/>
        </w:rPr>
        <w:t xml:space="preserve"> dos </w:t>
      </w:r>
      <w:proofErr w:type="spellStart"/>
      <w:r w:rsidRPr="00143D29">
        <w:rPr>
          <w:lang w:val="es-ES"/>
        </w:rPr>
        <w:t>direitos</w:t>
      </w:r>
      <w:proofErr w:type="spellEnd"/>
      <w:r w:rsidRPr="00143D29">
        <w:rPr>
          <w:lang w:val="es-ES"/>
        </w:rPr>
        <w:t xml:space="preserve"> </w:t>
      </w:r>
      <w:proofErr w:type="spellStart"/>
      <w:r w:rsidRPr="00143D29">
        <w:rPr>
          <w:lang w:val="es-ES"/>
        </w:rPr>
        <w:t>trabalhistas</w:t>
      </w:r>
      <w:proofErr w:type="spellEnd"/>
      <w:r w:rsidRPr="00143D29">
        <w:rPr>
          <w:lang w:val="es-ES"/>
        </w:rPr>
        <w:t xml:space="preserve"> configura </w:t>
      </w:r>
      <w:proofErr w:type="spellStart"/>
      <w:r w:rsidRPr="00143D29">
        <w:rPr>
          <w:lang w:val="es-ES"/>
        </w:rPr>
        <w:t>trabalho</w:t>
      </w:r>
      <w:proofErr w:type="spellEnd"/>
      <w:r w:rsidRPr="00143D29">
        <w:rPr>
          <w:lang w:val="es-ES"/>
        </w:rPr>
        <w:t xml:space="preserve"> </w:t>
      </w:r>
      <w:proofErr w:type="spellStart"/>
      <w:r w:rsidRPr="00143D29">
        <w:rPr>
          <w:lang w:val="es-ES"/>
        </w:rPr>
        <w:t>escravo</w:t>
      </w:r>
      <w:proofErr w:type="spellEnd"/>
      <w:r w:rsidRPr="00143D29">
        <w:rPr>
          <w:lang w:val="es-ES"/>
        </w:rPr>
        <w:t xml:space="preserve">. </w:t>
      </w:r>
      <w:r w:rsidRPr="00143D29">
        <w:rPr>
          <w:lang w:val="pt-BR"/>
        </w:rPr>
        <w:t>Contudo, se a afronta aos direitos assegurados pela legislação regente do trabalho é intensa e persistente, se atinge níveis gritantes e se os trabalhadores são submetidos a trabalhos forçados, jornadas exaustivas ou a condições degradantes, é possível, em tese, o enquadramento no crime do art. 149 do Código Penal, pois conferido aos trabalhadores tratamento análogo ao de escravos, com a privação de sua liberdade e sobretudo de sua dignidade, mesmo na ausência de coação direta contra a liberdade de ir e vir”</w:t>
      </w:r>
    </w:p>
  </w:footnote>
  <w:footnote w:id="449">
    <w:p w14:paraId="6D64531E" w14:textId="77777777" w:rsidR="00D4299B" w:rsidRPr="00143D29" w:rsidRDefault="00D4299B" w:rsidP="00D761C7">
      <w:pPr>
        <w:pStyle w:val="Textonotapie"/>
        <w:tabs>
          <w:tab w:val="clear" w:pos="4419"/>
          <w:tab w:val="clear" w:pos="8838"/>
          <w:tab w:val="right" w:pos="0"/>
        </w:tabs>
        <w:spacing w:after="20"/>
        <w:rPr>
          <w:b/>
          <w:i/>
          <w:lang w:val="es-ES"/>
        </w:rPr>
      </w:pPr>
      <w:r w:rsidRPr="00143D29">
        <w:rPr>
          <w:rStyle w:val="Refdenotaalpie"/>
          <w:szCs w:val="16"/>
        </w:rPr>
        <w:footnoteRef/>
      </w:r>
      <w:r w:rsidRPr="00143D29">
        <w:rPr>
          <w:lang w:val="es-ES"/>
        </w:rPr>
        <w:t xml:space="preserve"> </w:t>
      </w:r>
      <w:r w:rsidRPr="00143D29">
        <w:rPr>
          <w:i/>
          <w:lang w:val="es-ES"/>
        </w:rPr>
        <w:t>Caso de la Masacre de Pueblo Bello Vs. Colombia</w:t>
      </w:r>
      <w:r w:rsidRPr="00143D29">
        <w:rPr>
          <w:lang w:val="es-ES"/>
        </w:rPr>
        <w:t xml:space="preserve">. </w:t>
      </w:r>
      <w:r w:rsidRPr="00143D29">
        <w:rPr>
          <w:i/>
          <w:color w:val="000000"/>
          <w:lang w:val="es-ES"/>
        </w:rPr>
        <w:t>Fondo, Reparaciones y Costas.</w:t>
      </w:r>
      <w:r w:rsidRPr="00143D29">
        <w:rPr>
          <w:color w:val="000000"/>
          <w:lang w:val="es-ES"/>
        </w:rPr>
        <w:t xml:space="preserve"> Sentencia de 31 de enero de 2006. Serie C No. 140</w:t>
      </w:r>
      <w:r w:rsidRPr="00143D29">
        <w:rPr>
          <w:lang w:val="es-ES"/>
        </w:rPr>
        <w:t xml:space="preserve">, párr. 111, y </w:t>
      </w:r>
      <w:r w:rsidRPr="00143D29">
        <w:rPr>
          <w:bCs/>
          <w:i/>
          <w:lang w:val="es-CR"/>
        </w:rPr>
        <w:t xml:space="preserve">Caso Wong Ho </w:t>
      </w:r>
      <w:proofErr w:type="spellStart"/>
      <w:r w:rsidRPr="00143D29">
        <w:rPr>
          <w:bCs/>
          <w:i/>
          <w:lang w:val="es-CR"/>
        </w:rPr>
        <w:t>Wing</w:t>
      </w:r>
      <w:proofErr w:type="spellEnd"/>
      <w:r w:rsidRPr="00143D29">
        <w:rPr>
          <w:bCs/>
          <w:i/>
          <w:lang w:val="es-CR"/>
        </w:rPr>
        <w:t xml:space="preserve"> Vs. Perú. Excepción Preliminar, Fondo, Reparaciones y Costas. </w:t>
      </w:r>
      <w:r w:rsidRPr="00143D29">
        <w:rPr>
          <w:bCs/>
          <w:lang w:val="es-CR"/>
        </w:rPr>
        <w:t>Sentencia de 30 de junio de 2015. Serie C No. 297, párr.</w:t>
      </w:r>
      <w:r w:rsidRPr="00143D29">
        <w:rPr>
          <w:lang w:val="es-ES"/>
        </w:rPr>
        <w:t xml:space="preserve"> 128.</w:t>
      </w:r>
    </w:p>
  </w:footnote>
  <w:footnote w:id="450">
    <w:p w14:paraId="3CD5A50D" w14:textId="77777777" w:rsidR="00D4299B" w:rsidRPr="00143D29" w:rsidRDefault="00D4299B" w:rsidP="00D761C7">
      <w:pPr>
        <w:pStyle w:val="Textonotapie"/>
        <w:tabs>
          <w:tab w:val="clear" w:pos="4419"/>
          <w:tab w:val="clear" w:pos="8838"/>
          <w:tab w:val="right" w:pos="0"/>
        </w:tabs>
        <w:spacing w:after="20"/>
        <w:ind w:right="18"/>
        <w:rPr>
          <w:lang w:val="es-ES"/>
        </w:rPr>
      </w:pPr>
      <w:r w:rsidRPr="00143D29">
        <w:rPr>
          <w:rStyle w:val="Refdenotaalpie"/>
          <w:szCs w:val="16"/>
        </w:rPr>
        <w:footnoteRef/>
      </w:r>
      <w:r w:rsidRPr="00143D29">
        <w:rPr>
          <w:lang w:val="es-ES"/>
        </w:rPr>
        <w:t xml:space="preserve"> </w:t>
      </w:r>
      <w:r w:rsidRPr="00143D29">
        <w:rPr>
          <w:i/>
          <w:lang w:val="es-ES"/>
        </w:rPr>
        <w:t>Cfr. Caso de la Masacre de Pueblo Bello</w:t>
      </w:r>
      <w:r w:rsidRPr="00143D29">
        <w:rPr>
          <w:lang w:val="es-ES"/>
        </w:rPr>
        <w:t xml:space="preserve">, párr. 120, y </w:t>
      </w:r>
      <w:r w:rsidRPr="00143D29">
        <w:rPr>
          <w:bCs/>
          <w:i/>
          <w:lang w:val="es-CR"/>
        </w:rPr>
        <w:t>Caso Rodríguez Vera y otros (Desaparecidos del Palacio de Justicia</w:t>
      </w:r>
      <w:proofErr w:type="gramStart"/>
      <w:r w:rsidRPr="00143D29">
        <w:rPr>
          <w:bCs/>
          <w:i/>
          <w:lang w:val="es-CR"/>
        </w:rPr>
        <w:t xml:space="preserve">) </w:t>
      </w:r>
      <w:r w:rsidRPr="00143D29">
        <w:rPr>
          <w:bCs/>
          <w:lang w:val="es-CR"/>
        </w:rPr>
        <w:t>,</w:t>
      </w:r>
      <w:proofErr w:type="gramEnd"/>
      <w:r w:rsidRPr="00143D29">
        <w:rPr>
          <w:bCs/>
          <w:lang w:val="es-CR"/>
        </w:rPr>
        <w:t xml:space="preserve"> párr. 518.</w:t>
      </w:r>
      <w:r w:rsidRPr="00143D29">
        <w:rPr>
          <w:lang w:val="es-ES"/>
        </w:rPr>
        <w:t xml:space="preserve"> </w:t>
      </w:r>
    </w:p>
  </w:footnote>
  <w:footnote w:id="451">
    <w:p w14:paraId="6B29C70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Ver peritaje de Jean </w:t>
      </w:r>
      <w:proofErr w:type="spellStart"/>
      <w:r w:rsidRPr="00143D29">
        <w:rPr>
          <w:lang w:val="es-ES"/>
        </w:rPr>
        <w:t>Allain</w:t>
      </w:r>
      <w:proofErr w:type="spellEnd"/>
      <w:r w:rsidRPr="00143D29">
        <w:rPr>
          <w:lang w:val="es-ES"/>
        </w:rPr>
        <w:t>, (expediente de prueba, folio 14921).</w:t>
      </w:r>
    </w:p>
  </w:footnote>
  <w:footnote w:id="452">
    <w:p w14:paraId="3CC43EB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Al respecto, ver los </w:t>
      </w:r>
      <w:r w:rsidRPr="00143D29">
        <w:rPr>
          <w:iCs/>
          <w:lang w:val="es-ES"/>
        </w:rPr>
        <w:t>Principios Orientadores sobre Empresas y Derechos Humanos de Naciones Unidas (</w:t>
      </w:r>
      <w:proofErr w:type="spellStart"/>
      <w:r w:rsidRPr="00143D29">
        <w:rPr>
          <w:iCs/>
          <w:lang w:val="es-ES"/>
        </w:rPr>
        <w:t>UNGPs</w:t>
      </w:r>
      <w:proofErr w:type="spellEnd"/>
      <w:r w:rsidRPr="00143D29">
        <w:rPr>
          <w:iCs/>
          <w:lang w:val="es-ES"/>
        </w:rPr>
        <w:t xml:space="preserve"> en su sigla en inglés), Consejo de Derechos Humanos de Naciones Unidas, Resolución No. 17/4, U.N. Doc. A/HRC/RES/17/4, de 6 de julio de 2011.</w:t>
      </w:r>
    </w:p>
  </w:footnote>
  <w:footnote w:id="453">
    <w:p w14:paraId="4FA5D129" w14:textId="77777777" w:rsidR="00D4299B" w:rsidRPr="00143D29" w:rsidRDefault="00D4299B" w:rsidP="00D761C7">
      <w:pPr>
        <w:pStyle w:val="Textonotapie"/>
        <w:tabs>
          <w:tab w:val="clear" w:pos="4419"/>
          <w:tab w:val="clear" w:pos="8838"/>
          <w:tab w:val="right" w:pos="0"/>
        </w:tabs>
        <w:spacing w:after="20"/>
        <w:ind w:right="18"/>
        <w:rPr>
          <w:b/>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cs="Verdana"/>
          <w:i/>
          <w:iCs/>
          <w:lang w:val="es-CR"/>
        </w:rPr>
        <w:t>Caso Velásquez Rodríguez Vs. Honduras</w:t>
      </w:r>
      <w:r w:rsidRPr="00143D29">
        <w:rPr>
          <w:rFonts w:cs="Verdana"/>
          <w:i/>
          <w:lang w:val="es-CR"/>
        </w:rPr>
        <w:t xml:space="preserve">. </w:t>
      </w:r>
      <w:r w:rsidRPr="00143D29">
        <w:rPr>
          <w:rFonts w:cs="Verdana"/>
          <w:i/>
          <w:iCs/>
          <w:lang w:val="es-CR"/>
        </w:rPr>
        <w:t xml:space="preserve">Fondo, </w:t>
      </w:r>
      <w:r w:rsidRPr="00143D29">
        <w:rPr>
          <w:rFonts w:cs="Verdana"/>
          <w:lang w:val="es-CR"/>
        </w:rPr>
        <w:t xml:space="preserve">párr. 166; </w:t>
      </w:r>
      <w:r w:rsidRPr="00143D29">
        <w:rPr>
          <w:rFonts w:cs="Verdana"/>
          <w:i/>
          <w:iCs/>
          <w:lang w:val="es-CR"/>
        </w:rPr>
        <w:t xml:space="preserve">Caso Velásquez Paiz y otros Vs. Guatemala. Excepciones Preliminares, Fondo, Reparaciones y Costas. </w:t>
      </w:r>
      <w:r w:rsidRPr="00143D29">
        <w:rPr>
          <w:rFonts w:cs="Verdana"/>
          <w:iCs/>
          <w:lang w:val="es-CR"/>
        </w:rPr>
        <w:t>Sentencia de 19 de noviembre de 2015. Serie C No. 307</w:t>
      </w:r>
      <w:r w:rsidRPr="00143D29">
        <w:rPr>
          <w:i/>
          <w:lang w:val="es-ES"/>
        </w:rPr>
        <w:t xml:space="preserve">, </w:t>
      </w:r>
      <w:r w:rsidRPr="00143D29">
        <w:rPr>
          <w:color w:val="000000"/>
          <w:lang w:val="es-ES"/>
        </w:rPr>
        <w:t>párr. 107.</w:t>
      </w:r>
    </w:p>
  </w:footnote>
  <w:footnote w:id="454">
    <w:p w14:paraId="2755E8F7" w14:textId="77777777" w:rsidR="00D4299B" w:rsidRPr="00143D29" w:rsidRDefault="00D4299B" w:rsidP="00D761C7">
      <w:pPr>
        <w:pStyle w:val="Textonotapie"/>
        <w:tabs>
          <w:tab w:val="clear" w:pos="4419"/>
          <w:tab w:val="clear" w:pos="8838"/>
          <w:tab w:val="right" w:pos="0"/>
        </w:tabs>
        <w:spacing w:after="20"/>
        <w:ind w:right="18"/>
        <w:rPr>
          <w:b/>
          <w:lang w:val="es-ES"/>
        </w:rPr>
      </w:pPr>
      <w:r w:rsidRPr="00143D29">
        <w:rPr>
          <w:rStyle w:val="Refdenotaalpie"/>
          <w:szCs w:val="16"/>
        </w:rPr>
        <w:footnoteRef/>
      </w:r>
      <w:r w:rsidRPr="00143D29">
        <w:rPr>
          <w:lang w:val="es-ES"/>
        </w:rPr>
        <w:t xml:space="preserve"> </w:t>
      </w:r>
      <w:r w:rsidRPr="00143D29">
        <w:rPr>
          <w:i/>
          <w:lang w:val="es-ES"/>
        </w:rPr>
        <w:t xml:space="preserve">Cfr. Caso de la Masacre de Pueblo Bello, </w:t>
      </w:r>
      <w:r w:rsidRPr="00143D29">
        <w:rPr>
          <w:lang w:val="es-ES"/>
        </w:rPr>
        <w:t xml:space="preserve">párr. 123, y </w:t>
      </w:r>
      <w:r w:rsidRPr="00143D29">
        <w:rPr>
          <w:rFonts w:cs="Verdana"/>
          <w:i/>
          <w:iCs/>
          <w:lang w:val="es-CR"/>
        </w:rPr>
        <w:t>Caso Velásquez Paiz y otros</w:t>
      </w:r>
      <w:r w:rsidRPr="00143D29">
        <w:rPr>
          <w:bCs/>
          <w:lang w:val="es-CR"/>
        </w:rPr>
        <w:t xml:space="preserve">, párr. </w:t>
      </w:r>
      <w:r w:rsidRPr="00143D29">
        <w:rPr>
          <w:bCs/>
          <w:lang w:val="es-ES"/>
        </w:rPr>
        <w:t>109.</w:t>
      </w:r>
      <w:r w:rsidRPr="00143D29">
        <w:rPr>
          <w:lang w:val="es-ES"/>
        </w:rPr>
        <w:t xml:space="preserve"> Ver también TEDH, </w:t>
      </w:r>
      <w:r w:rsidRPr="00143D29">
        <w:rPr>
          <w:i/>
          <w:lang w:val="es-ES"/>
        </w:rPr>
        <w:t xml:space="preserve">Caso </w:t>
      </w:r>
      <w:proofErr w:type="spellStart"/>
      <w:r w:rsidRPr="00143D29">
        <w:rPr>
          <w:i/>
          <w:lang w:val="es-ES"/>
        </w:rPr>
        <w:t>Kiliç</w:t>
      </w:r>
      <w:proofErr w:type="spellEnd"/>
      <w:r w:rsidRPr="00143D29">
        <w:rPr>
          <w:i/>
          <w:lang w:val="es-ES"/>
        </w:rPr>
        <w:t xml:space="preserve"> Vs. </w:t>
      </w:r>
      <w:proofErr w:type="spellStart"/>
      <w:r w:rsidRPr="00143D29">
        <w:rPr>
          <w:i/>
          <w:lang w:val="es-ES"/>
        </w:rPr>
        <w:t>Turquia</w:t>
      </w:r>
      <w:proofErr w:type="spellEnd"/>
      <w:r w:rsidRPr="00143D29">
        <w:rPr>
          <w:i/>
          <w:lang w:val="es-ES"/>
        </w:rPr>
        <w:t xml:space="preserve">, </w:t>
      </w:r>
      <w:r w:rsidRPr="00143D29">
        <w:rPr>
          <w:lang w:val="es-ES"/>
        </w:rPr>
        <w:t xml:space="preserve">No. 22492/93, Sentencia de 28 de marzo de 2000, </w:t>
      </w:r>
      <w:proofErr w:type="spellStart"/>
      <w:r w:rsidRPr="00143D29">
        <w:rPr>
          <w:lang w:val="es-ES"/>
        </w:rPr>
        <w:t>párrs</w:t>
      </w:r>
      <w:proofErr w:type="spellEnd"/>
      <w:r w:rsidRPr="00143D29">
        <w:rPr>
          <w:lang w:val="es-ES"/>
        </w:rPr>
        <w:t>. 62 y 63, y TEDH,</w:t>
      </w:r>
      <w:r w:rsidRPr="00143D29">
        <w:rPr>
          <w:i/>
          <w:lang w:val="es-ES"/>
        </w:rPr>
        <w:t xml:space="preserve"> Caso Osman Vs. Reino </w:t>
      </w:r>
      <w:proofErr w:type="spellStart"/>
      <w:proofErr w:type="gramStart"/>
      <w:r w:rsidRPr="00143D29">
        <w:rPr>
          <w:i/>
          <w:lang w:val="es-ES"/>
        </w:rPr>
        <w:t>Unido</w:t>
      </w:r>
      <w:r w:rsidRPr="00143D29">
        <w:rPr>
          <w:lang w:val="es-ES"/>
        </w:rPr>
        <w:t>,No</w:t>
      </w:r>
      <w:proofErr w:type="spellEnd"/>
      <w:proofErr w:type="gramEnd"/>
      <w:r w:rsidRPr="00143D29">
        <w:rPr>
          <w:lang w:val="es-ES"/>
        </w:rPr>
        <w:t>. 23452/94, Sentencia de 28 de octubre de 1998,</w:t>
      </w:r>
      <w:r w:rsidRPr="00143D29">
        <w:rPr>
          <w:i/>
          <w:lang w:val="es-ES"/>
        </w:rPr>
        <w:t xml:space="preserve"> </w:t>
      </w:r>
      <w:proofErr w:type="spellStart"/>
      <w:r w:rsidRPr="00143D29">
        <w:rPr>
          <w:lang w:val="es-ES"/>
        </w:rPr>
        <w:t>párrs</w:t>
      </w:r>
      <w:proofErr w:type="spellEnd"/>
      <w:r w:rsidRPr="00143D29">
        <w:rPr>
          <w:lang w:val="es-ES"/>
        </w:rPr>
        <w:t xml:space="preserve">. 115 y 116. </w:t>
      </w:r>
    </w:p>
  </w:footnote>
  <w:footnote w:id="455">
    <w:p w14:paraId="25D701C1"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lang w:val="es-EC"/>
        </w:rPr>
        <w:t>El análisis detallado de esos procedimientos será realizado en el próximo capítulo; por ahora se hace notar que dichas iniciativas fueron insuficientes y no resultaron en la responsabilización de ninguna persona.</w:t>
      </w:r>
    </w:p>
  </w:footnote>
  <w:footnote w:id="456">
    <w:p w14:paraId="446B2187"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Ver, entre otros, Declaración del </w:t>
      </w:r>
      <w:proofErr w:type="gramStart"/>
      <w:r w:rsidRPr="00143D29">
        <w:rPr>
          <w:lang w:val="es-ES"/>
        </w:rPr>
        <w:t>Presidente</w:t>
      </w:r>
      <w:proofErr w:type="gramEnd"/>
      <w:r w:rsidRPr="00143D29">
        <w:rPr>
          <w:lang w:val="es-ES"/>
        </w:rPr>
        <w:t xml:space="preserve"> de la República Fernando Henrique Cardoso el 27 de junio de 1995 (expediente de prueba, folio 7108).</w:t>
      </w:r>
    </w:p>
  </w:footnote>
  <w:footnote w:id="457">
    <w:p w14:paraId="5CF21EC5"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Ver Oficio de la Procuradora-</w:t>
      </w:r>
      <w:proofErr w:type="gramStart"/>
      <w:r w:rsidRPr="00143D29">
        <w:rPr>
          <w:lang w:val="es-ES"/>
        </w:rPr>
        <w:t>Jefa</w:t>
      </w:r>
      <w:proofErr w:type="gramEnd"/>
      <w:r w:rsidRPr="00143D29">
        <w:rPr>
          <w:lang w:val="es-ES"/>
        </w:rPr>
        <w:t xml:space="preserve"> de la PRT 8ª No. 2.357/2001, de 21 de junio de 2001 (expediente de prueba, folios 1031 a 1036). </w:t>
      </w:r>
    </w:p>
  </w:footnote>
  <w:footnote w:id="458">
    <w:p w14:paraId="4F934687" w14:textId="77777777" w:rsidR="00D4299B" w:rsidRPr="00143D29" w:rsidRDefault="00D4299B" w:rsidP="00D761C7">
      <w:pPr>
        <w:pStyle w:val="Textonotapie"/>
        <w:spacing w:after="20"/>
        <w:rPr>
          <w:lang w:val="es-CO"/>
        </w:rPr>
      </w:pPr>
      <w:r w:rsidRPr="00143D29">
        <w:rPr>
          <w:rStyle w:val="Refdenotaalpie"/>
          <w:szCs w:val="16"/>
        </w:rPr>
        <w:footnoteRef/>
      </w:r>
      <w:r w:rsidRPr="00143D29">
        <w:rPr>
          <w:lang w:val="es-ES"/>
        </w:rPr>
        <w:t xml:space="preserve"> </w:t>
      </w:r>
      <w:r w:rsidRPr="00143D29">
        <w:rPr>
          <w:bCs/>
          <w:i/>
          <w:color w:val="000000"/>
          <w:lang w:val="es-ES"/>
        </w:rPr>
        <w:t xml:space="preserve">Caso Gelman Vs. Uruguay. Fondo y Reparaciones. </w:t>
      </w:r>
      <w:r w:rsidRPr="00143D29">
        <w:rPr>
          <w:bCs/>
          <w:color w:val="000000"/>
          <w:lang w:val="es-ES"/>
        </w:rPr>
        <w:t>Sentencia de 24 de febrero de 2011. Serie C No. 221</w:t>
      </w:r>
      <w:r w:rsidRPr="00143D29">
        <w:rPr>
          <w:color w:val="000000"/>
          <w:lang w:val="es-ES"/>
        </w:rPr>
        <w:t xml:space="preserve">, párr. 121, y </w:t>
      </w:r>
      <w:r w:rsidRPr="00143D29">
        <w:rPr>
          <w:i/>
          <w:color w:val="000000"/>
          <w:lang w:val="es-ES"/>
        </w:rPr>
        <w:t xml:space="preserve">Caso de personas dominicanas y haitianas expulsadas Vs. República Dominicana. Excepciones Preliminares, Fondo, Reparaciones y Costas. </w:t>
      </w:r>
      <w:r w:rsidRPr="00143D29">
        <w:rPr>
          <w:color w:val="000000"/>
          <w:lang w:val="es-ES"/>
        </w:rPr>
        <w:t xml:space="preserve">Sentencia de 28 de agosto de 2014. Serie C No. 282, párr. 269.  </w:t>
      </w:r>
    </w:p>
  </w:footnote>
  <w:footnote w:id="459">
    <w:p w14:paraId="60059683" w14:textId="77777777" w:rsidR="00D4299B" w:rsidRPr="00143D29" w:rsidRDefault="00D4299B" w:rsidP="00D761C7">
      <w:pPr>
        <w:pStyle w:val="Textonotapie"/>
        <w:tabs>
          <w:tab w:val="left" w:pos="567"/>
        </w:tabs>
        <w:spacing w:after="20"/>
        <w:rPr>
          <w:b/>
          <w:lang w:val="es-ES"/>
        </w:rPr>
      </w:pPr>
      <w:r w:rsidRPr="00143D29">
        <w:rPr>
          <w:rStyle w:val="Refdenotaalpie"/>
          <w:szCs w:val="16"/>
        </w:rPr>
        <w:footnoteRef/>
      </w:r>
      <w:r w:rsidRPr="00143D29">
        <w:rPr>
          <w:bCs/>
          <w:i/>
          <w:lang w:val="es-CL"/>
        </w:rPr>
        <w:t xml:space="preserve"> Cfr</w:t>
      </w:r>
      <w:r w:rsidRPr="00143D29">
        <w:rPr>
          <w:bCs/>
          <w:lang w:val="es-CL"/>
        </w:rPr>
        <w:t xml:space="preserve">. </w:t>
      </w:r>
      <w:r w:rsidRPr="00143D29">
        <w:rPr>
          <w:rFonts w:eastAsia="Batang"/>
          <w:i/>
          <w:lang w:val="es-ES"/>
        </w:rPr>
        <w:t xml:space="preserve">Condición jurídica y Derechos Humanos del Niño. </w:t>
      </w:r>
      <w:r w:rsidRPr="00143D29">
        <w:rPr>
          <w:rFonts w:eastAsia="Batang"/>
          <w:lang w:val="es-ES"/>
        </w:rPr>
        <w:t xml:space="preserve">Opinión Consultiva OC-17/02 de 28 de agosto de 2002. Serie A No. 17, párr. 61; </w:t>
      </w:r>
      <w:r w:rsidRPr="00143D29">
        <w:rPr>
          <w:rFonts w:eastAsia="Batang"/>
          <w:bCs/>
          <w:i/>
          <w:lang w:val="es-ES"/>
        </w:rPr>
        <w:t xml:space="preserve">Derechos y garantías de niñas y niños en el contexto de la migración y/o en necesidad de protección internacional. </w:t>
      </w:r>
      <w:r w:rsidRPr="00143D29">
        <w:rPr>
          <w:rFonts w:eastAsia="Batang"/>
          <w:bCs/>
          <w:lang w:val="es-ES"/>
        </w:rPr>
        <w:t>Opinión Consultiva OC-21/14 de 19 de agosto de 2014. Serie A No. 21</w:t>
      </w:r>
      <w:r w:rsidRPr="00143D29">
        <w:rPr>
          <w:rFonts w:eastAsia="Batang"/>
          <w:bCs/>
          <w:i/>
          <w:lang w:val="es-ES"/>
        </w:rPr>
        <w:t xml:space="preserve">, </w:t>
      </w:r>
      <w:r w:rsidRPr="00143D29">
        <w:rPr>
          <w:lang w:val="es-ES"/>
        </w:rPr>
        <w:t xml:space="preserve">párr. 66, y </w:t>
      </w:r>
      <w:r w:rsidRPr="00143D29">
        <w:rPr>
          <w:i/>
          <w:lang w:val="es-ES"/>
        </w:rPr>
        <w:t>Caso</w:t>
      </w:r>
      <w:r w:rsidRPr="00143D29">
        <w:rPr>
          <w:lang w:val="es-ES"/>
        </w:rPr>
        <w:t xml:space="preserve"> </w:t>
      </w:r>
      <w:proofErr w:type="spellStart"/>
      <w:r w:rsidRPr="00143D29">
        <w:rPr>
          <w:i/>
          <w:lang w:val="es-ES"/>
        </w:rPr>
        <w:t>Rochac</w:t>
      </w:r>
      <w:proofErr w:type="spellEnd"/>
      <w:r w:rsidRPr="00143D29">
        <w:rPr>
          <w:i/>
          <w:lang w:val="es-ES"/>
        </w:rPr>
        <w:t xml:space="preserve"> Hernández</w:t>
      </w:r>
      <w:r w:rsidRPr="00143D29">
        <w:rPr>
          <w:lang w:val="es-ES"/>
        </w:rPr>
        <w:t>, párr. 106.</w:t>
      </w:r>
    </w:p>
  </w:footnote>
  <w:footnote w:id="460">
    <w:p w14:paraId="516C07E4" w14:textId="77777777" w:rsidR="00D4299B" w:rsidRPr="00143D29" w:rsidRDefault="00D4299B" w:rsidP="00D761C7">
      <w:pPr>
        <w:tabs>
          <w:tab w:val="left" w:pos="567"/>
        </w:tabs>
        <w:spacing w:after="20"/>
        <w:jc w:val="both"/>
        <w:rPr>
          <w:i/>
          <w:sz w:val="16"/>
          <w:szCs w:val="16"/>
          <w:lang w:val="es-UY"/>
        </w:rPr>
      </w:pPr>
      <w:r w:rsidRPr="00143D29">
        <w:rPr>
          <w:rStyle w:val="Refdenotaalpie"/>
          <w:sz w:val="16"/>
          <w:szCs w:val="16"/>
        </w:rPr>
        <w:footnoteRef/>
      </w:r>
      <w:r w:rsidRPr="00143D29">
        <w:rPr>
          <w:sz w:val="16"/>
          <w:szCs w:val="16"/>
        </w:rPr>
        <w:t xml:space="preserve"> </w:t>
      </w:r>
      <w:r w:rsidRPr="00143D29">
        <w:rPr>
          <w:rFonts w:eastAsia="Batang"/>
          <w:i/>
          <w:sz w:val="16"/>
          <w:szCs w:val="16"/>
        </w:rPr>
        <w:t>Cfr. Caso de los “Niños de la Calle” (Villagrán Morales y otros) Vs. Guatemala. Fondo</w:t>
      </w:r>
      <w:r w:rsidRPr="00143D29">
        <w:rPr>
          <w:rFonts w:eastAsia="Batang"/>
          <w:sz w:val="16"/>
          <w:szCs w:val="16"/>
        </w:rPr>
        <w:t>, párr. 194, y</w:t>
      </w:r>
      <w:r w:rsidRPr="00143D29">
        <w:rPr>
          <w:rFonts w:eastAsia="Batang"/>
          <w:i/>
          <w:sz w:val="16"/>
          <w:szCs w:val="16"/>
        </w:rPr>
        <w:t xml:space="preserve"> Caso </w:t>
      </w:r>
      <w:proofErr w:type="spellStart"/>
      <w:r w:rsidRPr="00143D29">
        <w:rPr>
          <w:i/>
          <w:sz w:val="16"/>
          <w:szCs w:val="16"/>
        </w:rPr>
        <w:t>Rochac</w:t>
      </w:r>
      <w:proofErr w:type="spellEnd"/>
      <w:r w:rsidRPr="00143D29">
        <w:rPr>
          <w:i/>
          <w:sz w:val="16"/>
          <w:szCs w:val="16"/>
        </w:rPr>
        <w:t xml:space="preserve"> Hernández y otros</w:t>
      </w:r>
      <w:r w:rsidRPr="00143D29">
        <w:rPr>
          <w:sz w:val="16"/>
          <w:szCs w:val="16"/>
        </w:rPr>
        <w:t>, párr. 106.</w:t>
      </w:r>
    </w:p>
  </w:footnote>
  <w:footnote w:id="461">
    <w:p w14:paraId="387789AC"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OIT, Convenio No. 138 sobre la edad mínima en la admisión en el empleo (Entrada en vigor: 19 de junio de 1976); Convenio No. 182, preámbulo y artículo 3.</w:t>
      </w:r>
    </w:p>
  </w:footnote>
  <w:footnote w:id="462">
    <w:p w14:paraId="5CE96F23"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OIT, Convenio No. 182, artículo 3.</w:t>
      </w:r>
    </w:p>
  </w:footnote>
  <w:footnote w:id="463">
    <w:p w14:paraId="025981E3" w14:textId="77777777" w:rsidR="00D4299B" w:rsidRPr="00143D29" w:rsidRDefault="00D4299B" w:rsidP="00D761C7">
      <w:pPr>
        <w:pStyle w:val="Textonotapie"/>
        <w:tabs>
          <w:tab w:val="left" w:pos="567"/>
          <w:tab w:val="left" w:pos="72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eastAsia="Batang"/>
          <w:bCs/>
          <w:lang w:val="es-CO"/>
        </w:rPr>
        <w:t xml:space="preserve">Convención sobre los Derechos del Niño, </w:t>
      </w:r>
      <w:r w:rsidRPr="00143D29">
        <w:rPr>
          <w:rFonts w:eastAsia="Batang"/>
          <w:lang w:val="es-CO"/>
        </w:rPr>
        <w:t>A</w:t>
      </w:r>
      <w:r w:rsidRPr="00143D29">
        <w:rPr>
          <w:rFonts w:eastAsia="Batang"/>
          <w:bCs/>
          <w:lang w:val="es-CO"/>
        </w:rPr>
        <w:t>rtículos 7, 8, 9, 11, 16, 18 y 32.</w:t>
      </w:r>
    </w:p>
  </w:footnote>
  <w:footnote w:id="464">
    <w:p w14:paraId="3ED891B8"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OIT, Convenio No. 182, artículo 7.</w:t>
      </w:r>
    </w:p>
  </w:footnote>
  <w:footnote w:id="465">
    <w:p w14:paraId="155B18CA" w14:textId="77777777" w:rsidR="00D4299B" w:rsidRPr="00143D29" w:rsidRDefault="00D4299B" w:rsidP="00D761C7">
      <w:pPr>
        <w:pStyle w:val="Textonotapie"/>
        <w:tabs>
          <w:tab w:val="clear" w:pos="4419"/>
          <w:tab w:val="clear" w:pos="8838"/>
          <w:tab w:val="right" w:pos="0"/>
        </w:tabs>
        <w:spacing w:after="20"/>
        <w:rPr>
          <w:i/>
          <w:lang w:val="es-CR"/>
        </w:rPr>
      </w:pPr>
      <w:r w:rsidRPr="00143D29">
        <w:rPr>
          <w:rStyle w:val="Refdenotaalpie"/>
          <w:szCs w:val="16"/>
          <w:lang w:val="es-CR"/>
        </w:rPr>
        <w:footnoteRef/>
      </w:r>
      <w:r w:rsidRPr="00143D29">
        <w:rPr>
          <w:lang w:val="es-CR"/>
        </w:rPr>
        <w:t xml:space="preserve"> </w:t>
      </w:r>
      <w:r w:rsidRPr="00143D29">
        <w:rPr>
          <w:i/>
          <w:lang w:val="es-CR"/>
        </w:rPr>
        <w:t xml:space="preserve">Cfr. </w:t>
      </w:r>
      <w:r w:rsidRPr="00143D29">
        <w:rPr>
          <w:i/>
          <w:lang w:val="es-ES"/>
        </w:rPr>
        <w:t>Propuesta de modificación a la Constitución Política de Costa Rica relacionada con la naturalización</w:t>
      </w:r>
      <w:r w:rsidRPr="00143D29">
        <w:rPr>
          <w:lang w:val="es-ES"/>
        </w:rPr>
        <w:t xml:space="preserve">. Opinión Consultiva OC-4/84 de 19 de enero de 1984. Serie A No. 4, </w:t>
      </w:r>
      <w:proofErr w:type="spellStart"/>
      <w:r w:rsidRPr="00143D29">
        <w:rPr>
          <w:lang w:val="es-CR"/>
        </w:rPr>
        <w:t>párrs</w:t>
      </w:r>
      <w:proofErr w:type="spellEnd"/>
      <w:r w:rsidRPr="00143D29">
        <w:rPr>
          <w:lang w:val="es-CR"/>
        </w:rPr>
        <w:t xml:space="preserve">. 53 y 54, </w:t>
      </w:r>
      <w:r w:rsidRPr="00143D29">
        <w:rPr>
          <w:lang w:val="es-ES"/>
        </w:rPr>
        <w:t xml:space="preserve">y </w:t>
      </w:r>
      <w:r w:rsidRPr="00143D29">
        <w:rPr>
          <w:bCs/>
          <w:i/>
          <w:lang w:val="es-CL"/>
        </w:rPr>
        <w:t>Caso Duque Vs. Colombia</w:t>
      </w:r>
      <w:r w:rsidRPr="00143D29">
        <w:rPr>
          <w:bCs/>
          <w:lang w:val="es-CL"/>
        </w:rPr>
        <w:t xml:space="preserve">. </w:t>
      </w:r>
      <w:r w:rsidRPr="00143D29">
        <w:rPr>
          <w:bCs/>
          <w:i/>
          <w:lang w:val="es-CL"/>
        </w:rPr>
        <w:t>Excepciones Preliminares, Fondo, Reparaciones y Costas</w:t>
      </w:r>
      <w:r w:rsidRPr="00143D29">
        <w:rPr>
          <w:bCs/>
          <w:lang w:val="es-CL"/>
        </w:rPr>
        <w:t>. Sentencia de 26 de febrero de 2016. Serie C No. 310, párr. 94.</w:t>
      </w:r>
      <w:r w:rsidRPr="00143D29">
        <w:rPr>
          <w:lang w:val="es-ES"/>
        </w:rPr>
        <w:t xml:space="preserve"> </w:t>
      </w:r>
    </w:p>
  </w:footnote>
  <w:footnote w:id="466">
    <w:p w14:paraId="62D2B8CD" w14:textId="77777777" w:rsidR="00D4299B" w:rsidRPr="00143D29" w:rsidRDefault="00D4299B" w:rsidP="00D761C7">
      <w:pPr>
        <w:pStyle w:val="Textonotapie"/>
        <w:tabs>
          <w:tab w:val="clear" w:pos="4419"/>
          <w:tab w:val="clear" w:pos="8838"/>
          <w:tab w:val="right" w:pos="0"/>
        </w:tabs>
        <w:spacing w:after="20"/>
        <w:rPr>
          <w:rFonts w:cs="Vrinda"/>
          <w:lang w:val="es-ES"/>
        </w:rPr>
      </w:pPr>
      <w:r w:rsidRPr="00143D29">
        <w:rPr>
          <w:rStyle w:val="Refdenotaalpie"/>
          <w:rFonts w:cs="Vrinda"/>
          <w:szCs w:val="16"/>
        </w:rPr>
        <w:footnoteRef/>
      </w:r>
      <w:r w:rsidRPr="00143D29">
        <w:rPr>
          <w:rFonts w:cs="Vrinda"/>
          <w:lang w:val="es-ES"/>
        </w:rPr>
        <w:t xml:space="preserve"> </w:t>
      </w:r>
      <w:r w:rsidRPr="00143D29">
        <w:rPr>
          <w:rFonts w:cs="Vrinda"/>
          <w:i/>
          <w:lang w:val="es-ES"/>
        </w:rPr>
        <w:t xml:space="preserve">Cfr. Caso </w:t>
      </w:r>
      <w:proofErr w:type="spellStart"/>
      <w:r w:rsidRPr="00143D29">
        <w:rPr>
          <w:rFonts w:cs="Vrinda"/>
          <w:i/>
          <w:lang w:val="es-ES"/>
        </w:rPr>
        <w:t>Yatama</w:t>
      </w:r>
      <w:proofErr w:type="spellEnd"/>
      <w:r w:rsidRPr="00143D29">
        <w:rPr>
          <w:rFonts w:cs="Vrinda"/>
          <w:i/>
          <w:lang w:val="es-ES"/>
        </w:rPr>
        <w:t xml:space="preserve"> Vs. </w:t>
      </w:r>
      <w:r w:rsidRPr="00143D29">
        <w:rPr>
          <w:i/>
          <w:lang w:val="es-ES"/>
        </w:rPr>
        <w:t>Nicaragua</w:t>
      </w:r>
      <w:r w:rsidRPr="00143D29">
        <w:rPr>
          <w:rStyle w:val="Textoennegrita"/>
          <w:rFonts w:cs="Vrinda"/>
          <w:b w:val="0"/>
          <w:i/>
          <w:lang w:val="es-GT"/>
        </w:rPr>
        <w:t xml:space="preserve">. </w:t>
      </w:r>
      <w:r w:rsidRPr="00143D29">
        <w:rPr>
          <w:rStyle w:val="Textoennegrita"/>
          <w:rFonts w:cs="Vrinda"/>
          <w:b w:val="0"/>
          <w:i/>
          <w:lang w:val="es-VE"/>
        </w:rPr>
        <w:t>Excepciones Preliminares, Fondo, Reparaciones y Costas.</w:t>
      </w:r>
      <w:r w:rsidRPr="00143D29">
        <w:rPr>
          <w:rFonts w:cs="Vrinda"/>
          <w:lang w:val="es-GT"/>
        </w:rPr>
        <w:t xml:space="preserve"> Sentencia de 23 de junio de 2005.</w:t>
      </w:r>
      <w:r w:rsidRPr="00143D29">
        <w:rPr>
          <w:rStyle w:val="Textoennegrita"/>
          <w:rFonts w:cs="Vrinda"/>
          <w:lang w:val="es-VE"/>
        </w:rPr>
        <w:t xml:space="preserve"> </w:t>
      </w:r>
      <w:r w:rsidRPr="00143D29">
        <w:rPr>
          <w:rStyle w:val="Textoennegrita"/>
          <w:rFonts w:cs="Vrinda"/>
          <w:b w:val="0"/>
          <w:lang w:val="es-VE"/>
        </w:rPr>
        <w:t>Serie C No. 127</w:t>
      </w:r>
      <w:r w:rsidRPr="00143D29">
        <w:rPr>
          <w:rFonts w:cs="Vrinda"/>
          <w:lang w:val="es-ES"/>
        </w:rPr>
        <w:t xml:space="preserve">, párr. 186, y </w:t>
      </w:r>
      <w:r w:rsidRPr="00143D29">
        <w:rPr>
          <w:rFonts w:cs="Vrinda"/>
          <w:i/>
          <w:lang w:val="es-ES"/>
        </w:rPr>
        <w:t>Caso Duque</w:t>
      </w:r>
      <w:r w:rsidRPr="00143D29">
        <w:rPr>
          <w:rFonts w:cs="Vrinda"/>
          <w:lang w:val="es-ES"/>
        </w:rPr>
        <w:t>,</w:t>
      </w:r>
      <w:r w:rsidRPr="00143D29">
        <w:rPr>
          <w:rStyle w:val="Textoennegrita"/>
          <w:rFonts w:cs="Vrinda"/>
          <w:b w:val="0"/>
          <w:i/>
          <w:lang w:val="es-VE"/>
        </w:rPr>
        <w:t xml:space="preserve"> </w:t>
      </w:r>
      <w:r w:rsidRPr="00143D29">
        <w:rPr>
          <w:rStyle w:val="Textoennegrita"/>
          <w:rFonts w:cs="Vrinda"/>
          <w:b w:val="0"/>
          <w:lang w:val="es-VE"/>
        </w:rPr>
        <w:t>párr. 94.</w:t>
      </w:r>
      <w:r w:rsidRPr="00143D29">
        <w:rPr>
          <w:rStyle w:val="Textoennegrita"/>
          <w:rFonts w:cs="Vrinda"/>
          <w:lang w:val="es-VE"/>
        </w:rPr>
        <w:t xml:space="preserve"> </w:t>
      </w:r>
    </w:p>
  </w:footnote>
  <w:footnote w:id="467">
    <w:p w14:paraId="49086BE3"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Caso </w:t>
      </w:r>
      <w:proofErr w:type="spellStart"/>
      <w:r w:rsidRPr="00143D29">
        <w:rPr>
          <w:i/>
          <w:lang w:val="es-ES"/>
        </w:rPr>
        <w:t>Apitz</w:t>
      </w:r>
      <w:proofErr w:type="spellEnd"/>
      <w:r w:rsidRPr="00143D29">
        <w:rPr>
          <w:i/>
          <w:lang w:val="es-ES"/>
        </w:rPr>
        <w:t xml:space="preserve"> Barbera y otros (“Corte Primera de lo Contencioso Administrativo”)</w:t>
      </w:r>
      <w:r w:rsidRPr="00143D29">
        <w:rPr>
          <w:lang w:val="es-ES"/>
        </w:rPr>
        <w:t xml:space="preserve">, párr. 209, y </w:t>
      </w:r>
      <w:r w:rsidRPr="00143D29">
        <w:rPr>
          <w:i/>
          <w:lang w:val="es-ES"/>
        </w:rPr>
        <w:t>Caso Duque,</w:t>
      </w:r>
      <w:r w:rsidRPr="00143D29">
        <w:rPr>
          <w:lang w:val="es-ES"/>
        </w:rPr>
        <w:t xml:space="preserve"> párr. 94. </w:t>
      </w:r>
    </w:p>
  </w:footnote>
  <w:footnote w:id="468">
    <w:p w14:paraId="631FAE04" w14:textId="77777777" w:rsidR="00D4299B" w:rsidRPr="00143D29" w:rsidRDefault="00D4299B" w:rsidP="00D761C7">
      <w:pPr>
        <w:pStyle w:val="Textonotapie"/>
        <w:tabs>
          <w:tab w:val="clear" w:pos="4419"/>
          <w:tab w:val="clear" w:pos="8838"/>
          <w:tab w:val="right" w:pos="0"/>
        </w:tabs>
        <w:spacing w:after="20"/>
        <w:rPr>
          <w:i/>
          <w:lang w:val="es-CL"/>
        </w:rPr>
      </w:pPr>
      <w:r w:rsidRPr="00143D29">
        <w:rPr>
          <w:rStyle w:val="Refdenotaalpie"/>
          <w:szCs w:val="16"/>
        </w:rPr>
        <w:footnoteRef/>
      </w:r>
      <w:r w:rsidRPr="00143D29">
        <w:rPr>
          <w:lang w:val="es-ES"/>
        </w:rPr>
        <w:t xml:space="preserve"> </w:t>
      </w:r>
      <w:r w:rsidRPr="00143D29">
        <w:rPr>
          <w:i/>
          <w:lang w:val="es-ES"/>
        </w:rPr>
        <w:t>Cfr. Propuesta de modificación a la Constitución Política de Costa Rica relacionada con la naturalización</w:t>
      </w:r>
      <w:r w:rsidRPr="00143D29">
        <w:rPr>
          <w:lang w:val="es-ES"/>
        </w:rPr>
        <w:t xml:space="preserve">, párr. 53; y </w:t>
      </w:r>
      <w:r w:rsidRPr="00143D29">
        <w:rPr>
          <w:i/>
          <w:lang w:val="es-ES"/>
        </w:rPr>
        <w:t>Caso Duque,</w:t>
      </w:r>
      <w:r w:rsidRPr="00143D29">
        <w:rPr>
          <w:lang w:val="es-ES"/>
        </w:rPr>
        <w:t xml:space="preserve"> párr. 94. </w:t>
      </w:r>
    </w:p>
  </w:footnote>
  <w:footnote w:id="469">
    <w:p w14:paraId="5163C564" w14:textId="77777777" w:rsidR="00D4299B" w:rsidRPr="00143D29" w:rsidRDefault="00D4299B" w:rsidP="00D761C7">
      <w:pPr>
        <w:pStyle w:val="Textonotapie"/>
        <w:tabs>
          <w:tab w:val="clear" w:pos="4419"/>
          <w:tab w:val="clear" w:pos="8838"/>
          <w:tab w:val="right" w:pos="0"/>
        </w:tabs>
        <w:spacing w:after="20"/>
        <w:rPr>
          <w:rFonts w:cs="Arial"/>
          <w:i/>
          <w:iCs/>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cs="Arial"/>
          <w:bCs/>
          <w:i/>
          <w:lang w:val="es-CR"/>
        </w:rPr>
        <w:t xml:space="preserve">Condición jurídica y derechos de los migrantes indocumentados. </w:t>
      </w:r>
      <w:r w:rsidRPr="00143D29">
        <w:rPr>
          <w:rStyle w:val="Textoennegrita"/>
          <w:b w:val="0"/>
          <w:color w:val="000000"/>
          <w:shd w:val="clear" w:color="auto" w:fill="FFFFFF"/>
          <w:lang w:val="es-ES"/>
        </w:rPr>
        <w:t>Opinión Consultiva OC-18/03 de 17 de septiembre de 2003. Serie A No. 18</w:t>
      </w:r>
      <w:r w:rsidRPr="00143D29">
        <w:rPr>
          <w:rFonts w:cs="Arial"/>
          <w:lang w:val="es-ES"/>
        </w:rPr>
        <w:t>, párr. 85</w:t>
      </w:r>
      <w:r w:rsidRPr="00143D29">
        <w:rPr>
          <w:rFonts w:cs="Arial"/>
          <w:i/>
          <w:iCs/>
          <w:lang w:val="es-ES"/>
        </w:rPr>
        <w:t xml:space="preserve">; </w:t>
      </w:r>
      <w:r w:rsidRPr="00143D29">
        <w:rPr>
          <w:lang w:val="es-ES"/>
        </w:rPr>
        <w:t xml:space="preserve">y </w:t>
      </w:r>
      <w:r w:rsidRPr="00143D29">
        <w:rPr>
          <w:i/>
          <w:lang w:val="es-ES"/>
        </w:rPr>
        <w:t>Caso Duque,</w:t>
      </w:r>
      <w:r w:rsidRPr="00143D29">
        <w:rPr>
          <w:lang w:val="es-ES"/>
        </w:rPr>
        <w:t xml:space="preserve"> párr. 94.</w:t>
      </w:r>
    </w:p>
  </w:footnote>
  <w:footnote w:id="470">
    <w:p w14:paraId="7B98636B"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cs="Arial"/>
          <w:bCs/>
          <w:i/>
          <w:lang w:val="es-CR"/>
        </w:rPr>
        <w:t>Condición jurídica y derechos de los migrantes indocumentados</w:t>
      </w:r>
      <w:r w:rsidRPr="00143D29">
        <w:rPr>
          <w:rFonts w:cs="Arial"/>
          <w:i/>
          <w:iCs/>
          <w:lang w:val="es-ES"/>
        </w:rPr>
        <w:t xml:space="preserve">, </w:t>
      </w:r>
      <w:r w:rsidRPr="00143D29">
        <w:rPr>
          <w:rFonts w:cs="Arial"/>
          <w:lang w:val="es-ES"/>
        </w:rPr>
        <w:t xml:space="preserve">párr. 85; </w:t>
      </w:r>
      <w:r w:rsidRPr="00143D29">
        <w:rPr>
          <w:lang w:val="es-ES"/>
        </w:rPr>
        <w:t xml:space="preserve">y </w:t>
      </w:r>
      <w:r w:rsidRPr="00143D29">
        <w:rPr>
          <w:i/>
          <w:lang w:val="es-ES"/>
        </w:rPr>
        <w:t>Caso Duque,</w:t>
      </w:r>
      <w:r w:rsidRPr="00143D29">
        <w:rPr>
          <w:lang w:val="es-ES"/>
        </w:rPr>
        <w:t xml:space="preserve"> párr. 94.</w:t>
      </w:r>
    </w:p>
  </w:footnote>
  <w:footnote w:id="471">
    <w:p w14:paraId="202AF4C3" w14:textId="77777777" w:rsidR="00D4299B" w:rsidRPr="00143D29" w:rsidRDefault="00D4299B" w:rsidP="00D761C7">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jc w:val="both"/>
        <w:rPr>
          <w:sz w:val="16"/>
          <w:szCs w:val="16"/>
          <w:lang w:val="es-ES_tradnl"/>
        </w:rPr>
      </w:pPr>
      <w:r w:rsidRPr="00143D29">
        <w:rPr>
          <w:rStyle w:val="Refdenotaalpie"/>
          <w:sz w:val="16"/>
          <w:szCs w:val="16"/>
        </w:rPr>
        <w:footnoteRef/>
      </w:r>
      <w:r w:rsidRPr="00143D29">
        <w:rPr>
          <w:sz w:val="16"/>
          <w:szCs w:val="16"/>
          <w:lang w:val="es-ES_tradnl"/>
        </w:rPr>
        <w:t xml:space="preserve"> </w:t>
      </w:r>
      <w:r w:rsidRPr="00143D29">
        <w:rPr>
          <w:sz w:val="16"/>
          <w:szCs w:val="16"/>
          <w:lang w:val="es-ES_tradnl"/>
        </w:rPr>
        <w:tab/>
        <w:t xml:space="preserve"> </w:t>
      </w:r>
      <w:r w:rsidRPr="00143D29">
        <w:rPr>
          <w:rFonts w:eastAsia="Times New Roman"/>
          <w:i/>
          <w:sz w:val="16"/>
          <w:szCs w:val="16"/>
          <w:lang w:val="es-ES_tradnl"/>
        </w:rPr>
        <w:t xml:space="preserve">Condición Jurídica y Derechos de los Migrantes Indocumentados, </w:t>
      </w:r>
      <w:r w:rsidRPr="00143D29">
        <w:rPr>
          <w:rFonts w:eastAsia="Times New Roman"/>
          <w:sz w:val="16"/>
          <w:szCs w:val="16"/>
          <w:lang w:val="es-ES_tradnl"/>
        </w:rPr>
        <w:t xml:space="preserve">párr. 103, y </w:t>
      </w:r>
      <w:r w:rsidRPr="00143D29">
        <w:rPr>
          <w:rFonts w:eastAsia="Times New Roman"/>
          <w:i/>
          <w:sz w:val="16"/>
          <w:szCs w:val="16"/>
          <w:lang w:val="es-ES_tradnl"/>
        </w:rPr>
        <w:t>Caso Duque</w:t>
      </w:r>
      <w:r w:rsidRPr="00143D29">
        <w:rPr>
          <w:sz w:val="16"/>
          <w:szCs w:val="16"/>
        </w:rPr>
        <w:t>, párr. 92.</w:t>
      </w:r>
    </w:p>
  </w:footnote>
  <w:footnote w:id="472">
    <w:p w14:paraId="2AFC9E1B" w14:textId="77777777" w:rsidR="00D4299B" w:rsidRPr="00143D29" w:rsidRDefault="00D4299B" w:rsidP="00D761C7">
      <w:pPr>
        <w:pStyle w:val="Textonotapie"/>
        <w:tabs>
          <w:tab w:val="left" w:pos="284"/>
        </w:tabs>
        <w:spacing w:after="20"/>
        <w:rPr>
          <w:lang w:val="es-ES"/>
        </w:rPr>
      </w:pPr>
      <w:r w:rsidRPr="00143D29">
        <w:rPr>
          <w:rStyle w:val="Refdenotaalpie"/>
          <w:szCs w:val="16"/>
        </w:rPr>
        <w:footnoteRef/>
      </w:r>
      <w:r w:rsidRPr="00143D29">
        <w:rPr>
          <w:lang w:val="es-ES"/>
        </w:rPr>
        <w:t xml:space="preserve"> </w:t>
      </w:r>
      <w:r w:rsidRPr="00143D29">
        <w:rPr>
          <w:lang w:val="es-ES"/>
        </w:rPr>
        <w:tab/>
      </w:r>
      <w:r w:rsidRPr="00143D29">
        <w:rPr>
          <w:i/>
          <w:lang w:val="es-ES"/>
        </w:rPr>
        <w:t>Cfr.</w:t>
      </w:r>
      <w:r w:rsidRPr="00143D29">
        <w:rPr>
          <w:lang w:val="es-ES"/>
        </w:rPr>
        <w:t xml:space="preserve"> </w:t>
      </w:r>
      <w:r w:rsidRPr="00143D29">
        <w:rPr>
          <w:rStyle w:val="apple-style-span"/>
          <w:rFonts w:eastAsia="Calibri"/>
          <w:bCs/>
          <w:i/>
          <w:lang w:val="es-ES"/>
        </w:rPr>
        <w:t xml:space="preserve">Condición Jurídica y Derechos de los Migrantes Indocumentados, </w:t>
      </w:r>
      <w:r w:rsidRPr="00143D29">
        <w:rPr>
          <w:lang w:val="es-ES"/>
        </w:rPr>
        <w:t xml:space="preserve">párr. 104, y </w:t>
      </w:r>
      <w:r w:rsidRPr="00143D29">
        <w:rPr>
          <w:bCs/>
          <w:i/>
          <w:lang w:val="es-ES"/>
        </w:rPr>
        <w:t xml:space="preserve">Caso </w:t>
      </w:r>
      <w:r w:rsidRPr="00143D29">
        <w:rPr>
          <w:bCs/>
          <w:lang w:val="es-ES"/>
        </w:rPr>
        <w:t>Duque</w:t>
      </w:r>
      <w:r w:rsidRPr="00143D29">
        <w:rPr>
          <w:lang w:val="es-ES"/>
        </w:rPr>
        <w:t xml:space="preserve">, párr. 92. </w:t>
      </w:r>
    </w:p>
  </w:footnote>
  <w:footnote w:id="473">
    <w:p w14:paraId="384A2D4D" w14:textId="77777777" w:rsidR="00D4299B" w:rsidRPr="00143D29" w:rsidRDefault="00D4299B" w:rsidP="00D761C7">
      <w:pPr>
        <w:pStyle w:val="Textonotapie"/>
        <w:spacing w:after="20"/>
        <w:rPr>
          <w:rFonts w:cs="Verdana"/>
          <w:bCs/>
          <w:lang w:val="es-ES"/>
        </w:rPr>
      </w:pPr>
      <w:r w:rsidRPr="00143D29">
        <w:rPr>
          <w:rStyle w:val="Refdenotaalpie"/>
          <w:szCs w:val="16"/>
          <w:lang w:val="es-ES_tradnl"/>
        </w:rPr>
        <w:footnoteRef/>
      </w:r>
      <w:r w:rsidRPr="00143D29">
        <w:rPr>
          <w:lang w:val="es-ES_tradnl"/>
        </w:rPr>
        <w:t xml:space="preserve"> </w:t>
      </w:r>
      <w:r w:rsidRPr="00143D29">
        <w:rPr>
          <w:i/>
          <w:lang w:val="es-ES_tradnl"/>
        </w:rPr>
        <w:tab/>
        <w:t>Cfr.</w:t>
      </w:r>
      <w:r w:rsidRPr="00143D29">
        <w:rPr>
          <w:lang w:val="es-ES_tradnl"/>
        </w:rPr>
        <w:t xml:space="preserve"> </w:t>
      </w:r>
      <w:r w:rsidRPr="00143D29">
        <w:rPr>
          <w:rFonts w:cs="Verdana"/>
          <w:bCs/>
          <w:i/>
          <w:lang w:val="es-ES"/>
        </w:rPr>
        <w:t>Caso de la "Masacre de Mapiripán" Vs. Colombia</w:t>
      </w:r>
      <w:r w:rsidRPr="00143D29">
        <w:rPr>
          <w:rFonts w:cs="Verdana"/>
          <w:bCs/>
          <w:lang w:val="es-ES"/>
        </w:rPr>
        <w:t xml:space="preserve">. Sentencia de 15 de septiembre de 2005. Serie C No. 134, </w:t>
      </w:r>
      <w:proofErr w:type="spellStart"/>
      <w:r w:rsidRPr="00143D29">
        <w:rPr>
          <w:rFonts w:cs="Verdana"/>
          <w:bCs/>
          <w:lang w:val="es-ES"/>
        </w:rPr>
        <w:t>párrs</w:t>
      </w:r>
      <w:proofErr w:type="spellEnd"/>
      <w:r w:rsidRPr="00143D29">
        <w:rPr>
          <w:rFonts w:cs="Verdana"/>
          <w:bCs/>
          <w:lang w:val="es-ES"/>
        </w:rPr>
        <w:t xml:space="preserve">. 111 y 113, y </w:t>
      </w:r>
      <w:r w:rsidRPr="00143D29">
        <w:rPr>
          <w:rFonts w:cs="Verdana"/>
          <w:bCs/>
          <w:i/>
          <w:lang w:val="es-ES"/>
        </w:rPr>
        <w:t>Caso Chinchilla Sandoval</w:t>
      </w:r>
      <w:r w:rsidRPr="00143D29">
        <w:rPr>
          <w:rFonts w:cs="Verdana"/>
          <w:bCs/>
          <w:lang w:val="es-ES"/>
        </w:rPr>
        <w:t>, párr. 168</w:t>
      </w:r>
      <w:r w:rsidRPr="00143D29">
        <w:rPr>
          <w:lang w:val="es-ES_tradnl"/>
        </w:rPr>
        <w:t>.</w:t>
      </w:r>
    </w:p>
  </w:footnote>
  <w:footnote w:id="474">
    <w:p w14:paraId="10B8C55B" w14:textId="77777777" w:rsidR="00D4299B" w:rsidRPr="00143D29" w:rsidRDefault="00D4299B" w:rsidP="00D761C7">
      <w:pPr>
        <w:widowControl w:val="0"/>
        <w:autoSpaceDE w:val="0"/>
        <w:autoSpaceDN w:val="0"/>
        <w:adjustRightInd w:val="0"/>
        <w:spacing w:after="20"/>
        <w:jc w:val="both"/>
        <w:rPr>
          <w:rFonts w:cs="Times New Roman"/>
          <w:sz w:val="16"/>
          <w:szCs w:val="16"/>
          <w:lang w:val="es-ES"/>
        </w:rPr>
      </w:pPr>
      <w:r w:rsidRPr="00143D29">
        <w:rPr>
          <w:rStyle w:val="Refdenotaalpie"/>
          <w:sz w:val="16"/>
          <w:szCs w:val="16"/>
        </w:rPr>
        <w:footnoteRef/>
      </w:r>
      <w:r w:rsidRPr="00143D29">
        <w:rPr>
          <w:sz w:val="16"/>
          <w:szCs w:val="16"/>
        </w:rPr>
        <w:t xml:space="preserve"> </w:t>
      </w:r>
      <w:r w:rsidRPr="00143D29">
        <w:rPr>
          <w:sz w:val="16"/>
          <w:szCs w:val="16"/>
        </w:rPr>
        <w:tab/>
      </w:r>
      <w:r w:rsidRPr="00143D29">
        <w:rPr>
          <w:i/>
          <w:sz w:val="16"/>
          <w:szCs w:val="16"/>
        </w:rPr>
        <w:t xml:space="preserve"> Cfr.</w:t>
      </w:r>
      <w:r w:rsidRPr="00143D29">
        <w:rPr>
          <w:sz w:val="16"/>
          <w:szCs w:val="16"/>
        </w:rPr>
        <w:t xml:space="preserve"> </w:t>
      </w:r>
      <w:r w:rsidRPr="00143D29">
        <w:rPr>
          <w:rFonts w:cs="Verdana"/>
          <w:bCs/>
          <w:i/>
          <w:sz w:val="16"/>
          <w:szCs w:val="16"/>
          <w:lang w:val="es-ES"/>
        </w:rPr>
        <w:t xml:space="preserve">Caso Comunidad Indígena </w:t>
      </w:r>
      <w:proofErr w:type="spellStart"/>
      <w:r w:rsidRPr="00143D29">
        <w:rPr>
          <w:rFonts w:cs="Verdana"/>
          <w:bCs/>
          <w:i/>
          <w:sz w:val="16"/>
          <w:szCs w:val="16"/>
          <w:lang w:val="es-ES"/>
        </w:rPr>
        <w:t>Sawhoyamaxa</w:t>
      </w:r>
      <w:proofErr w:type="spellEnd"/>
      <w:r w:rsidRPr="00143D29">
        <w:rPr>
          <w:rFonts w:cs="Verdana"/>
          <w:bCs/>
          <w:i/>
          <w:sz w:val="16"/>
          <w:szCs w:val="16"/>
          <w:lang w:val="es-ES"/>
        </w:rPr>
        <w:t xml:space="preserve"> Vs. Paraguay. Fondo, Reparaciones y Costas</w:t>
      </w:r>
      <w:r w:rsidRPr="00143D29">
        <w:rPr>
          <w:rFonts w:cs="Verdana"/>
          <w:bCs/>
          <w:sz w:val="16"/>
          <w:szCs w:val="16"/>
          <w:lang w:val="es-ES"/>
        </w:rPr>
        <w:t>. Sentencia de 29 de marzo de 2006. Serie C No. 146, párr. 154.  En similar sentido la Corte también ha expresado que</w:t>
      </w:r>
      <w:r w:rsidRPr="00143D29">
        <w:rPr>
          <w:rFonts w:cs="Times New Roman"/>
          <w:sz w:val="16"/>
          <w:szCs w:val="16"/>
        </w:rPr>
        <w:t xml:space="preserve"> “los Estados deben tomar en cuenta que los grupos de personas que</w:t>
      </w:r>
      <w:r w:rsidRPr="00143D29">
        <w:rPr>
          <w:sz w:val="16"/>
          <w:szCs w:val="16"/>
        </w:rPr>
        <w:t xml:space="preserve"> </w:t>
      </w:r>
      <w:r w:rsidRPr="00143D29">
        <w:rPr>
          <w:rFonts w:cs="Times New Roman"/>
          <w:sz w:val="16"/>
          <w:szCs w:val="16"/>
        </w:rPr>
        <w:t>viven en circunstancias adversas y con menos recursos, tales como las personas que viven</w:t>
      </w:r>
      <w:r w:rsidRPr="00143D29">
        <w:rPr>
          <w:rFonts w:cs="Verdana"/>
          <w:bCs/>
          <w:sz w:val="16"/>
          <w:szCs w:val="16"/>
          <w:lang w:val="es-ES"/>
        </w:rPr>
        <w:t xml:space="preserve"> </w:t>
      </w:r>
      <w:r w:rsidRPr="00143D29">
        <w:rPr>
          <w:rFonts w:cs="Times New Roman"/>
          <w:sz w:val="16"/>
          <w:szCs w:val="16"/>
        </w:rPr>
        <w:t xml:space="preserve">en condiciones de extrema pobreza; niños y adolescentes en situación de riesgo, y poblaciones indígenas, enfrentan un incremento del riesgo para padecer discapacidades mentales […]. Es directo y significativo el vínculo existente entre la discapacidad, por un lado, y la pobreza y la exclusión social, por otro. En razón de lo anterior, entre las medidas positivas a cargo de los Estados se encuentran aquellas necesarias para prevenir todas las formas de discapacidad prevenibles, y dar a las personas que padecen de discapacidades mentales el tratamiento preferencial apropiado a su condición”. </w:t>
      </w:r>
      <w:r w:rsidRPr="00143D29">
        <w:rPr>
          <w:rFonts w:cs="Verdana"/>
          <w:bCs/>
          <w:i/>
          <w:sz w:val="16"/>
          <w:szCs w:val="16"/>
          <w:lang w:val="es-ES"/>
        </w:rPr>
        <w:t xml:space="preserve">Caso </w:t>
      </w:r>
      <w:proofErr w:type="spellStart"/>
      <w:r w:rsidRPr="00143D29">
        <w:rPr>
          <w:rFonts w:cs="Verdana"/>
          <w:bCs/>
          <w:i/>
          <w:sz w:val="16"/>
          <w:szCs w:val="16"/>
          <w:lang w:val="es-ES"/>
        </w:rPr>
        <w:t>Ximenes</w:t>
      </w:r>
      <w:proofErr w:type="spellEnd"/>
      <w:r w:rsidRPr="00143D29">
        <w:rPr>
          <w:rFonts w:cs="Verdana"/>
          <w:bCs/>
          <w:i/>
          <w:sz w:val="16"/>
          <w:szCs w:val="16"/>
          <w:lang w:val="es-ES"/>
        </w:rPr>
        <w:t xml:space="preserve"> </w:t>
      </w:r>
      <w:proofErr w:type="spellStart"/>
      <w:r w:rsidRPr="00143D29">
        <w:rPr>
          <w:rFonts w:cs="Verdana"/>
          <w:bCs/>
          <w:i/>
          <w:sz w:val="16"/>
          <w:szCs w:val="16"/>
          <w:lang w:val="es-ES"/>
        </w:rPr>
        <w:t>Lopes</w:t>
      </w:r>
      <w:proofErr w:type="spellEnd"/>
      <w:r w:rsidRPr="00143D29">
        <w:rPr>
          <w:rFonts w:cs="Verdana"/>
          <w:bCs/>
          <w:i/>
          <w:sz w:val="16"/>
          <w:szCs w:val="16"/>
          <w:lang w:val="es-ES"/>
        </w:rPr>
        <w:t xml:space="preserve"> Vs. Brasil</w:t>
      </w:r>
      <w:r w:rsidRPr="00143D29">
        <w:rPr>
          <w:rFonts w:cs="Verdana"/>
          <w:bCs/>
          <w:sz w:val="16"/>
          <w:szCs w:val="16"/>
          <w:lang w:val="es-ES"/>
        </w:rPr>
        <w:t>. Sentencia de 4 de julio de 2006. Serie C No. 149, párr. 104</w:t>
      </w:r>
      <w:r w:rsidRPr="00143D29">
        <w:rPr>
          <w:rFonts w:cs="Times New Roman"/>
          <w:sz w:val="16"/>
          <w:szCs w:val="16"/>
        </w:rPr>
        <w:t xml:space="preserve">. En el </w:t>
      </w:r>
      <w:r w:rsidRPr="00143D29">
        <w:rPr>
          <w:rFonts w:cs="Times New Roman"/>
          <w:i/>
          <w:sz w:val="16"/>
          <w:szCs w:val="16"/>
        </w:rPr>
        <w:t xml:space="preserve">caso </w:t>
      </w:r>
      <w:proofErr w:type="spellStart"/>
      <w:r w:rsidRPr="00143D29">
        <w:rPr>
          <w:rFonts w:cs="Times New Roman"/>
          <w:i/>
          <w:sz w:val="16"/>
          <w:szCs w:val="16"/>
        </w:rPr>
        <w:t>Xákmok</w:t>
      </w:r>
      <w:proofErr w:type="spellEnd"/>
      <w:r w:rsidRPr="00143D29">
        <w:rPr>
          <w:rFonts w:cs="Times New Roman"/>
          <w:i/>
          <w:sz w:val="16"/>
          <w:szCs w:val="16"/>
        </w:rPr>
        <w:t xml:space="preserve"> </w:t>
      </w:r>
      <w:proofErr w:type="spellStart"/>
      <w:r w:rsidRPr="00143D29">
        <w:rPr>
          <w:rFonts w:cs="Times New Roman"/>
          <w:i/>
          <w:sz w:val="16"/>
          <w:szCs w:val="16"/>
        </w:rPr>
        <w:t>Kásek</w:t>
      </w:r>
      <w:proofErr w:type="spellEnd"/>
      <w:r w:rsidRPr="00143D29">
        <w:rPr>
          <w:rFonts w:cs="Times New Roman"/>
          <w:sz w:val="16"/>
          <w:szCs w:val="16"/>
        </w:rPr>
        <w:t xml:space="preserve"> la Corte consideró que “la extrema pobreza y la falta de adecuada atención médica a mujeres en estado de embarazo o </w:t>
      </w:r>
      <w:proofErr w:type="spellStart"/>
      <w:r w:rsidRPr="00143D29">
        <w:rPr>
          <w:rFonts w:cs="Times New Roman"/>
          <w:sz w:val="16"/>
          <w:szCs w:val="16"/>
        </w:rPr>
        <w:t>post-embarazo</w:t>
      </w:r>
      <w:proofErr w:type="spellEnd"/>
      <w:r w:rsidRPr="00143D29">
        <w:rPr>
          <w:rFonts w:cs="Times New Roman"/>
          <w:sz w:val="16"/>
          <w:szCs w:val="16"/>
        </w:rPr>
        <w:t xml:space="preserve"> son causas de alta mortalidad y morbilidad materna”. </w:t>
      </w:r>
      <w:r w:rsidRPr="00143D29">
        <w:rPr>
          <w:rFonts w:cs="Verdana"/>
          <w:bCs/>
          <w:i/>
          <w:sz w:val="16"/>
          <w:szCs w:val="16"/>
          <w:lang w:val="es-ES"/>
        </w:rPr>
        <w:t xml:space="preserve">Caso Comunidad Indígena </w:t>
      </w:r>
      <w:proofErr w:type="spellStart"/>
      <w:r w:rsidRPr="00143D29">
        <w:rPr>
          <w:rFonts w:cs="Verdana"/>
          <w:bCs/>
          <w:i/>
          <w:sz w:val="16"/>
          <w:szCs w:val="16"/>
          <w:lang w:val="es-ES"/>
        </w:rPr>
        <w:t>Xákmok</w:t>
      </w:r>
      <w:proofErr w:type="spellEnd"/>
      <w:r w:rsidRPr="00143D29">
        <w:rPr>
          <w:rFonts w:cs="Verdana"/>
          <w:bCs/>
          <w:i/>
          <w:sz w:val="16"/>
          <w:szCs w:val="16"/>
          <w:lang w:val="es-ES"/>
        </w:rPr>
        <w:t xml:space="preserve"> </w:t>
      </w:r>
      <w:proofErr w:type="spellStart"/>
      <w:r w:rsidRPr="00143D29">
        <w:rPr>
          <w:rFonts w:cs="Verdana"/>
          <w:bCs/>
          <w:i/>
          <w:sz w:val="16"/>
          <w:szCs w:val="16"/>
          <w:lang w:val="es-ES"/>
        </w:rPr>
        <w:t>Kásek</w:t>
      </w:r>
      <w:proofErr w:type="spellEnd"/>
      <w:r w:rsidRPr="00143D29">
        <w:rPr>
          <w:rFonts w:cs="Verdana"/>
          <w:bCs/>
          <w:i/>
          <w:sz w:val="16"/>
          <w:szCs w:val="16"/>
          <w:lang w:val="es-ES"/>
        </w:rPr>
        <w:t xml:space="preserve"> Vs. Paraguay. Fondo, Reparaciones y Costas</w:t>
      </w:r>
      <w:r w:rsidRPr="00143D29">
        <w:rPr>
          <w:rFonts w:cs="Verdana"/>
          <w:bCs/>
          <w:sz w:val="16"/>
          <w:szCs w:val="16"/>
          <w:lang w:val="es-ES"/>
        </w:rPr>
        <w:t>. Sentencia de 24 de agosto de 2010. Serie C No. 214, párr.</w:t>
      </w:r>
      <w:r w:rsidRPr="00143D29">
        <w:rPr>
          <w:rFonts w:cs="Times New Roman"/>
          <w:sz w:val="16"/>
          <w:szCs w:val="16"/>
          <w:lang w:val="es-ES"/>
        </w:rPr>
        <w:t xml:space="preserve"> 233.</w:t>
      </w:r>
      <w:r w:rsidRPr="00143D29">
        <w:rPr>
          <w:sz w:val="16"/>
          <w:szCs w:val="16"/>
          <w:lang w:val="es-ES"/>
        </w:rPr>
        <w:tab/>
      </w:r>
    </w:p>
  </w:footnote>
  <w:footnote w:id="475">
    <w:p w14:paraId="1B77FA7E" w14:textId="77777777" w:rsidR="00D4299B" w:rsidRPr="00143D29" w:rsidRDefault="00D4299B" w:rsidP="00D761C7">
      <w:pPr>
        <w:pStyle w:val="Textonotapie"/>
        <w:spacing w:after="20"/>
        <w:rPr>
          <w:lang w:val="pt-BR"/>
        </w:rPr>
      </w:pPr>
      <w:r w:rsidRPr="00143D29">
        <w:rPr>
          <w:rStyle w:val="Refdenotaalpie"/>
          <w:szCs w:val="16"/>
        </w:rPr>
        <w:footnoteRef/>
      </w:r>
      <w:r w:rsidRPr="00143D29">
        <w:rPr>
          <w:lang w:val="es-ES"/>
        </w:rPr>
        <w:t xml:space="preserve"> Ministerio de Trabajo y Empleo. </w:t>
      </w:r>
      <w:r w:rsidRPr="00143D29">
        <w:rPr>
          <w:i/>
          <w:lang w:val="pt-BR"/>
        </w:rPr>
        <w:t>Manual de Combate ao Trabalho em Condições Análogas às de Escravo</w:t>
      </w:r>
      <w:r w:rsidRPr="00143D29">
        <w:rPr>
          <w:lang w:val="pt-BR"/>
        </w:rPr>
        <w:t xml:space="preserve">, 2011, pág. 13 (expediente de </w:t>
      </w:r>
      <w:proofErr w:type="spellStart"/>
      <w:r w:rsidRPr="00143D29">
        <w:rPr>
          <w:lang w:val="pt-BR"/>
        </w:rPr>
        <w:t>prueba</w:t>
      </w:r>
      <w:proofErr w:type="spellEnd"/>
      <w:r w:rsidRPr="00143D29">
        <w:rPr>
          <w:lang w:val="pt-BR"/>
        </w:rPr>
        <w:t>, folio 6714).</w:t>
      </w:r>
    </w:p>
  </w:footnote>
  <w:footnote w:id="476">
    <w:p w14:paraId="64D183B8" w14:textId="77777777" w:rsidR="00D4299B" w:rsidRPr="00143D29" w:rsidRDefault="00D4299B" w:rsidP="00D761C7">
      <w:pPr>
        <w:pStyle w:val="Textonotapie"/>
        <w:tabs>
          <w:tab w:val="clear" w:pos="4419"/>
          <w:tab w:val="clear" w:pos="8838"/>
          <w:tab w:val="right" w:pos="0"/>
        </w:tabs>
        <w:spacing w:after="20"/>
        <w:rPr>
          <w:lang w:val="pt-BR"/>
        </w:rPr>
      </w:pPr>
      <w:r w:rsidRPr="00143D29">
        <w:rPr>
          <w:rStyle w:val="Refdenotaalpie"/>
          <w:szCs w:val="16"/>
        </w:rPr>
        <w:footnoteRef/>
      </w:r>
      <w:r w:rsidRPr="00143D29">
        <w:rPr>
          <w:lang w:val="pt-BR"/>
        </w:rPr>
        <w:t xml:space="preserve"> OIT – Brasil. </w:t>
      </w:r>
      <w:r w:rsidRPr="00143D29">
        <w:rPr>
          <w:i/>
          <w:lang w:val="pt-BR"/>
        </w:rPr>
        <w:t>Combatendo o trabalho Escravo Contemporâneo: o exemplo do Brasil</w:t>
      </w:r>
      <w:r w:rsidRPr="00143D29">
        <w:rPr>
          <w:lang w:val="pt-BR"/>
        </w:rPr>
        <w:t xml:space="preserve">, 2010, pág. 2010 (expediente de </w:t>
      </w:r>
      <w:proofErr w:type="spellStart"/>
      <w:r w:rsidRPr="00143D29">
        <w:rPr>
          <w:lang w:val="pt-BR"/>
        </w:rPr>
        <w:t>prueba</w:t>
      </w:r>
      <w:proofErr w:type="spellEnd"/>
      <w:r w:rsidRPr="00143D29">
        <w:rPr>
          <w:lang w:val="pt-BR"/>
        </w:rPr>
        <w:t>, folio 8529).</w:t>
      </w:r>
    </w:p>
  </w:footnote>
  <w:footnote w:id="477">
    <w:p w14:paraId="54B722C7"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bCs/>
          <w:lang w:val="es-ES"/>
        </w:rPr>
        <w:t>Artículo 8.  Garantías Judiciales.</w:t>
      </w:r>
      <w:r w:rsidRPr="00143D29">
        <w:rPr>
          <w:b/>
          <w:bCs/>
          <w:lang w:val="es-ES"/>
        </w:rPr>
        <w:t xml:space="preserve"> </w:t>
      </w:r>
      <w:r w:rsidRPr="00143D29">
        <w:rPr>
          <w:lang w:val="es-ES"/>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10BE0C94"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2. Toda persona inculpada de delito tiene derecho a que se presuma su inocencia mientras no se establezca legalmente su culpabilidad.  Durante el proceso, toda persona tiene derecho, en plena igualdad, a las siguientes garantías mínimas:</w:t>
      </w:r>
    </w:p>
    <w:p w14:paraId="65F54CE6"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a) derecho del inculpado de ser asistido gratuitamente por el traductor o intérprete, si no comprende o no habla el idioma del juzgado o tribunal;</w:t>
      </w:r>
    </w:p>
    <w:p w14:paraId="0E940A2B"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b) comunicación previa y detallada al inculpado de la acusación formulada;</w:t>
      </w:r>
    </w:p>
    <w:p w14:paraId="6056DBB3"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c) concesión al inculpado del tiempo y de los medios adecuados para la preparación de su defensa;</w:t>
      </w:r>
    </w:p>
    <w:p w14:paraId="7F375830"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d) derecho del inculpado de defenderse personalmente o de ser asistido por un defensor de su elección y de comunicarse libre y privadamente con su defensor;</w:t>
      </w:r>
    </w:p>
    <w:p w14:paraId="093F1470"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e) derecho irrenunciable de ser asistido por un defensor proporcionado por el Estado, remunerado o no según la legislación interna, si el inculpado no se defendiere por sí mismo ni nombrare defensor dentro del plazo establecido por la ley;</w:t>
      </w:r>
    </w:p>
    <w:p w14:paraId="53FFCED9"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f) derecho de la defensa de interrogar a los testigos presentes en el tribunal y de obtener la comparecencia, como testigos o peritos, de otras personas que puedan arrojar luz sobre los hechos;</w:t>
      </w:r>
    </w:p>
    <w:p w14:paraId="17AF4396"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g) derecho a no ser obligado a declarar contra sí mismo ni a declararse culpable, y</w:t>
      </w:r>
    </w:p>
    <w:p w14:paraId="39C0826C"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h) derecho de recurrir del fallo ante juez o tribunal superior.</w:t>
      </w:r>
    </w:p>
    <w:p w14:paraId="2958342A"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3. La confesión del inculpado solamente es válida si es hecha sin coacción de ninguna naturaleza.</w:t>
      </w:r>
    </w:p>
    <w:p w14:paraId="37D5FB50"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4. El inculpado absuelto por una sentencia firme no podrá ser sometido a nuevo juicio por los mismos hechos.</w:t>
      </w:r>
    </w:p>
    <w:p w14:paraId="2716ED8D"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5. El proceso penal debe ser público, salvo en lo que sea necesario para preservar los intereses de la justicia.</w:t>
      </w:r>
    </w:p>
  </w:footnote>
  <w:footnote w:id="478">
    <w:p w14:paraId="35A40A9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bCs/>
          <w:lang w:val="es-ES"/>
        </w:rPr>
        <w:t xml:space="preserve">Artículo 25.  Protección Judicial. </w:t>
      </w:r>
      <w:r w:rsidRPr="00143D29">
        <w:rPr>
          <w:lang w:val="es-E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71384BC7"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2. Los Estados Partes se comprometen:</w:t>
      </w:r>
    </w:p>
    <w:p w14:paraId="17BFFF37"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a) a garantizar que la autoridad competente prevista por el sistema legal del Estado decidirá sobre los derechos de toda persona que interponga tal recurso;</w:t>
      </w:r>
    </w:p>
    <w:p w14:paraId="3BAEA671"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b) a desarrollar las posibilidades de recurso judicial, y</w:t>
      </w:r>
    </w:p>
    <w:p w14:paraId="3633FF23" w14:textId="77777777" w:rsidR="00D4299B" w:rsidRPr="00143D29" w:rsidRDefault="00D4299B" w:rsidP="00D761C7">
      <w:pPr>
        <w:pStyle w:val="Textonotapie"/>
        <w:tabs>
          <w:tab w:val="clear" w:pos="4419"/>
          <w:tab w:val="clear" w:pos="8838"/>
          <w:tab w:val="right" w:pos="0"/>
        </w:tabs>
        <w:spacing w:after="20"/>
        <w:rPr>
          <w:lang w:val="es-ES"/>
        </w:rPr>
      </w:pPr>
      <w:r w:rsidRPr="00143D29">
        <w:rPr>
          <w:lang w:val="es-ES"/>
        </w:rPr>
        <w:t> c) a garantizar el cumplimiento, por las autoridades competentes, de toda decisión en que se haya estimado procedente el recurso.</w:t>
      </w:r>
    </w:p>
  </w:footnote>
  <w:footnote w:id="479">
    <w:p w14:paraId="03CFC380"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w:t>
      </w:r>
      <w:r w:rsidRPr="00143D29">
        <w:rPr>
          <w:i/>
          <w:lang w:val="es-ES"/>
        </w:rPr>
        <w:t>Caso Masacres de Río Negro</w:t>
      </w:r>
      <w:r w:rsidRPr="00143D29">
        <w:rPr>
          <w:lang w:val="es-ES"/>
        </w:rPr>
        <w:t>, párr. 225.</w:t>
      </w:r>
    </w:p>
  </w:footnote>
  <w:footnote w:id="480">
    <w:p w14:paraId="548BBA8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CR"/>
        </w:rPr>
        <w:t xml:space="preserve"> </w:t>
      </w:r>
      <w:r w:rsidRPr="00143D29">
        <w:rPr>
          <w:i/>
          <w:lang w:val="es-CR"/>
        </w:rPr>
        <w:t xml:space="preserve">Cfr. Caso Gonzales </w:t>
      </w:r>
      <w:proofErr w:type="spellStart"/>
      <w:r w:rsidRPr="00143D29">
        <w:rPr>
          <w:i/>
          <w:lang w:val="es-CR"/>
        </w:rPr>
        <w:t>Lluy</w:t>
      </w:r>
      <w:proofErr w:type="spellEnd"/>
      <w:r w:rsidRPr="00143D29">
        <w:rPr>
          <w:i/>
          <w:lang w:val="es-CR"/>
        </w:rPr>
        <w:t xml:space="preserve"> y otros</w:t>
      </w:r>
      <w:r w:rsidRPr="00143D29">
        <w:rPr>
          <w:lang w:val="es-CR"/>
        </w:rPr>
        <w:t>, párr. 311.</w:t>
      </w:r>
    </w:p>
  </w:footnote>
  <w:footnote w:id="481">
    <w:p w14:paraId="0F807DC8"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lang w:val="es-ES"/>
        </w:rPr>
        <w:t xml:space="preserve"> </w:t>
      </w:r>
      <w:r w:rsidRPr="00143D29">
        <w:rPr>
          <w:sz w:val="16"/>
          <w:szCs w:val="16"/>
          <w:lang w:val="es-CL"/>
        </w:rPr>
        <w:t xml:space="preserve">TEDH, </w:t>
      </w:r>
      <w:r w:rsidRPr="00143D29">
        <w:rPr>
          <w:i/>
          <w:sz w:val="16"/>
          <w:szCs w:val="16"/>
          <w:lang w:val="es-CL"/>
        </w:rPr>
        <w:t>Caso</w:t>
      </w:r>
      <w:r w:rsidRPr="00143D29">
        <w:rPr>
          <w:sz w:val="16"/>
          <w:szCs w:val="16"/>
          <w:lang w:val="es-CL"/>
        </w:rPr>
        <w:t xml:space="preserve"> </w:t>
      </w:r>
      <w:proofErr w:type="spellStart"/>
      <w:r w:rsidRPr="00143D29">
        <w:rPr>
          <w:i/>
          <w:sz w:val="16"/>
          <w:szCs w:val="16"/>
        </w:rPr>
        <w:t>Siliadin</w:t>
      </w:r>
      <w:proofErr w:type="spellEnd"/>
      <w:r w:rsidRPr="00143D29">
        <w:rPr>
          <w:i/>
          <w:sz w:val="16"/>
          <w:szCs w:val="16"/>
        </w:rPr>
        <w:t xml:space="preserve"> Vs. Francia. </w:t>
      </w:r>
      <w:r w:rsidRPr="00143D29">
        <w:rPr>
          <w:sz w:val="16"/>
          <w:szCs w:val="16"/>
        </w:rPr>
        <w:t>No. 73316/01. Sentencia de 26 de julio de 2005, párr. 112, y</w:t>
      </w:r>
      <w:r w:rsidRPr="00143D29">
        <w:rPr>
          <w:i/>
          <w:sz w:val="16"/>
          <w:szCs w:val="16"/>
        </w:rPr>
        <w:t xml:space="preserve"> Caso </w:t>
      </w:r>
      <w:proofErr w:type="spellStart"/>
      <w:r w:rsidRPr="00143D29">
        <w:rPr>
          <w:i/>
          <w:sz w:val="16"/>
          <w:szCs w:val="16"/>
        </w:rPr>
        <w:t>Rantsev</w:t>
      </w:r>
      <w:proofErr w:type="spellEnd"/>
      <w:r w:rsidRPr="00143D29">
        <w:rPr>
          <w:i/>
          <w:sz w:val="16"/>
          <w:szCs w:val="16"/>
        </w:rPr>
        <w:t xml:space="preserve"> Vs. Chipre y Rusia. </w:t>
      </w:r>
      <w:r w:rsidRPr="00143D29">
        <w:rPr>
          <w:sz w:val="16"/>
          <w:szCs w:val="16"/>
        </w:rPr>
        <w:t>No. 25965/04. Sentencia de 7 de enero de 2010, párr. 285</w:t>
      </w:r>
      <w:r w:rsidRPr="00143D29">
        <w:rPr>
          <w:sz w:val="16"/>
          <w:szCs w:val="16"/>
          <w:lang w:val="es-CO"/>
        </w:rPr>
        <w:t>.</w:t>
      </w:r>
    </w:p>
  </w:footnote>
  <w:footnote w:id="482">
    <w:p w14:paraId="4F660ADE"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rPr>
        <w:t xml:space="preserve"> </w:t>
      </w:r>
      <w:r w:rsidRPr="00143D29">
        <w:rPr>
          <w:sz w:val="16"/>
          <w:szCs w:val="16"/>
          <w:lang w:val="es-CL"/>
        </w:rPr>
        <w:t xml:space="preserve">TEDH, </w:t>
      </w:r>
      <w:proofErr w:type="spellStart"/>
      <w:r w:rsidRPr="00143D29">
        <w:rPr>
          <w:i/>
          <w:sz w:val="16"/>
          <w:szCs w:val="16"/>
        </w:rPr>
        <w:t>Rantsev</w:t>
      </w:r>
      <w:proofErr w:type="spellEnd"/>
      <w:r w:rsidRPr="00143D29">
        <w:rPr>
          <w:i/>
          <w:sz w:val="16"/>
          <w:szCs w:val="16"/>
        </w:rPr>
        <w:t xml:space="preserve"> Vs. Chipre y Rusia. </w:t>
      </w:r>
      <w:r w:rsidRPr="00143D29">
        <w:rPr>
          <w:sz w:val="16"/>
          <w:szCs w:val="16"/>
        </w:rPr>
        <w:t xml:space="preserve">No. 25965/04. Sentencia de 7 de enero de 2010, párr. 288, y </w:t>
      </w:r>
      <w:r w:rsidRPr="00143D29">
        <w:rPr>
          <w:i/>
          <w:sz w:val="16"/>
          <w:szCs w:val="16"/>
        </w:rPr>
        <w:t>C.N. Vs. Reino Unido.</w:t>
      </w:r>
      <w:r w:rsidRPr="00143D29">
        <w:rPr>
          <w:sz w:val="16"/>
          <w:szCs w:val="16"/>
        </w:rPr>
        <w:t xml:space="preserve"> No. 4239/08. Sentencia de 13 de noviembre de 2012, párr. 69. </w:t>
      </w:r>
    </w:p>
  </w:footnote>
  <w:footnote w:id="483">
    <w:p w14:paraId="18BBBCBE"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bCs/>
          <w:i/>
          <w:lang w:val="es-ES"/>
        </w:rPr>
        <w:t xml:space="preserve">Caso Suárez Rosero Vs. Ecuador. </w:t>
      </w:r>
      <w:r w:rsidRPr="00143D29">
        <w:rPr>
          <w:i/>
          <w:lang w:val="es-ES"/>
        </w:rPr>
        <w:t>Fondo</w:t>
      </w:r>
      <w:r w:rsidRPr="00143D29">
        <w:rPr>
          <w:lang w:val="es-ES"/>
        </w:rPr>
        <w:t xml:space="preserve">. Sentencia de 12 de noviembre de 1997. Serie C No. 35, párr. 71, y </w:t>
      </w:r>
      <w:r w:rsidRPr="00143D29">
        <w:rPr>
          <w:i/>
          <w:lang w:val="es-ES"/>
        </w:rPr>
        <w:t xml:space="preserve">Caso </w:t>
      </w:r>
      <w:proofErr w:type="spellStart"/>
      <w:r w:rsidRPr="00143D29">
        <w:rPr>
          <w:i/>
          <w:lang w:val="es-ES"/>
        </w:rPr>
        <w:t>Quispialaya</w:t>
      </w:r>
      <w:proofErr w:type="spellEnd"/>
      <w:r w:rsidRPr="00143D29">
        <w:rPr>
          <w:i/>
          <w:lang w:val="es-ES"/>
        </w:rPr>
        <w:t xml:space="preserve"> Vilcapoma, </w:t>
      </w:r>
      <w:r w:rsidRPr="00143D29">
        <w:rPr>
          <w:lang w:val="es-ES"/>
        </w:rPr>
        <w:t>párr. 176.</w:t>
      </w:r>
    </w:p>
  </w:footnote>
  <w:footnote w:id="484">
    <w:p w14:paraId="7544938C" w14:textId="77777777" w:rsidR="00D4299B" w:rsidRPr="00143D29" w:rsidRDefault="00D4299B" w:rsidP="00D761C7">
      <w:pPr>
        <w:tabs>
          <w:tab w:val="clear" w:pos="4419"/>
          <w:tab w:val="clear" w:pos="8838"/>
          <w:tab w:val="right" w:pos="0"/>
        </w:tabs>
        <w:spacing w:after="20"/>
        <w:ind w:right="4"/>
        <w:jc w:val="both"/>
        <w:rPr>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bCs/>
          <w:i/>
          <w:sz w:val="16"/>
          <w:szCs w:val="16"/>
        </w:rPr>
        <w:t xml:space="preserve">Caso Suárez Rosero Vs. Ecuador. </w:t>
      </w:r>
      <w:r w:rsidRPr="00143D29">
        <w:rPr>
          <w:i/>
          <w:sz w:val="16"/>
          <w:szCs w:val="16"/>
        </w:rPr>
        <w:t xml:space="preserve">Fondo, </w:t>
      </w:r>
      <w:r w:rsidRPr="00143D29">
        <w:rPr>
          <w:sz w:val="16"/>
          <w:szCs w:val="16"/>
        </w:rPr>
        <w:t xml:space="preserve">párr. 71, y </w:t>
      </w:r>
      <w:proofErr w:type="spellStart"/>
      <w:r w:rsidRPr="00143D29">
        <w:rPr>
          <w:i/>
          <w:sz w:val="16"/>
          <w:lang w:val="es-ES"/>
        </w:rPr>
        <w:t>Quispialaya</w:t>
      </w:r>
      <w:proofErr w:type="spellEnd"/>
      <w:r w:rsidRPr="00143D29">
        <w:rPr>
          <w:i/>
          <w:sz w:val="16"/>
          <w:lang w:val="es-ES"/>
        </w:rPr>
        <w:t xml:space="preserve"> Vilcapoma</w:t>
      </w:r>
      <w:r w:rsidRPr="00143D29">
        <w:rPr>
          <w:i/>
          <w:sz w:val="16"/>
          <w:szCs w:val="16"/>
        </w:rPr>
        <w:t xml:space="preserve">, </w:t>
      </w:r>
      <w:r w:rsidRPr="00143D29">
        <w:rPr>
          <w:sz w:val="16"/>
          <w:szCs w:val="16"/>
        </w:rPr>
        <w:t>párr. 176.</w:t>
      </w:r>
    </w:p>
  </w:footnote>
  <w:footnote w:id="485">
    <w:p w14:paraId="62DD497C" w14:textId="77777777" w:rsidR="00D4299B" w:rsidRPr="00143D29" w:rsidRDefault="00D4299B" w:rsidP="00D761C7">
      <w:pPr>
        <w:spacing w:after="20"/>
        <w:jc w:val="both"/>
        <w:rPr>
          <w:b/>
          <w:sz w:val="2"/>
          <w:lang w:val="es-ES"/>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bCs/>
          <w:i/>
          <w:sz w:val="16"/>
          <w:szCs w:val="16"/>
        </w:rPr>
        <w:t xml:space="preserve">Caso Hilaire, </w:t>
      </w:r>
      <w:proofErr w:type="spellStart"/>
      <w:r w:rsidRPr="00143D29">
        <w:rPr>
          <w:bCs/>
          <w:i/>
          <w:sz w:val="16"/>
          <w:szCs w:val="16"/>
        </w:rPr>
        <w:t>Constantine</w:t>
      </w:r>
      <w:proofErr w:type="spellEnd"/>
      <w:r w:rsidRPr="00143D29">
        <w:rPr>
          <w:bCs/>
          <w:i/>
          <w:sz w:val="16"/>
          <w:szCs w:val="16"/>
        </w:rPr>
        <w:t xml:space="preserve"> y </w:t>
      </w:r>
      <w:proofErr w:type="spellStart"/>
      <w:r w:rsidRPr="00143D29">
        <w:rPr>
          <w:bCs/>
          <w:i/>
          <w:sz w:val="16"/>
          <w:szCs w:val="16"/>
        </w:rPr>
        <w:t>Benjamin</w:t>
      </w:r>
      <w:proofErr w:type="spellEnd"/>
      <w:r w:rsidRPr="00143D29">
        <w:rPr>
          <w:bCs/>
          <w:i/>
          <w:sz w:val="16"/>
          <w:szCs w:val="16"/>
        </w:rPr>
        <w:t xml:space="preserve"> y otros Vs. Trinidad y Tobago. </w:t>
      </w:r>
      <w:r w:rsidRPr="00143D29">
        <w:rPr>
          <w:rStyle w:val="Textoennegrita"/>
          <w:b w:val="0"/>
          <w:i/>
          <w:color w:val="000000"/>
          <w:sz w:val="16"/>
          <w:shd w:val="clear" w:color="auto" w:fill="FFFFFF"/>
          <w:lang w:val="es-ES"/>
        </w:rPr>
        <w:t>Fondo, Reparaciones y Costas</w:t>
      </w:r>
      <w:r w:rsidRPr="00143D29">
        <w:rPr>
          <w:rStyle w:val="Textoennegrita"/>
          <w:b w:val="0"/>
          <w:color w:val="000000"/>
          <w:sz w:val="16"/>
          <w:shd w:val="clear" w:color="auto" w:fill="FFFFFF"/>
          <w:lang w:val="es-ES"/>
        </w:rPr>
        <w:t xml:space="preserve">. Sentencia de 21 de junio de 2002. </w:t>
      </w:r>
      <w:r w:rsidRPr="00143D29">
        <w:rPr>
          <w:rStyle w:val="Textoennegrita"/>
          <w:b w:val="0"/>
          <w:color w:val="000000"/>
          <w:sz w:val="16"/>
          <w:shd w:val="clear" w:color="auto" w:fill="FFFFFF"/>
        </w:rPr>
        <w:t>Serie C No. 94</w:t>
      </w:r>
      <w:r w:rsidRPr="00143D29">
        <w:rPr>
          <w:bCs/>
          <w:i/>
          <w:sz w:val="16"/>
          <w:szCs w:val="16"/>
        </w:rPr>
        <w:t xml:space="preserve">, </w:t>
      </w:r>
      <w:r w:rsidRPr="00143D29">
        <w:rPr>
          <w:sz w:val="16"/>
          <w:szCs w:val="16"/>
        </w:rPr>
        <w:t xml:space="preserve">párr. 145, y </w:t>
      </w:r>
      <w:r w:rsidRPr="00143D29">
        <w:rPr>
          <w:i/>
          <w:sz w:val="16"/>
          <w:szCs w:val="16"/>
        </w:rPr>
        <w:t xml:space="preserve">Caso Tenorio Roca, </w:t>
      </w:r>
      <w:r w:rsidRPr="00143D29">
        <w:rPr>
          <w:sz w:val="16"/>
          <w:szCs w:val="16"/>
        </w:rPr>
        <w:t xml:space="preserve">párr. 237. </w:t>
      </w:r>
    </w:p>
  </w:footnote>
  <w:footnote w:id="486">
    <w:p w14:paraId="5E58FBFA"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i/>
          <w:lang w:val="es-CR"/>
        </w:rPr>
        <w:t xml:space="preserve">Caso Valle Jaramillo y otros Vs. Colombia. Fondo, Reparaciones y Costas. </w:t>
      </w:r>
      <w:r w:rsidRPr="00143D29">
        <w:rPr>
          <w:lang w:val="es-CR"/>
        </w:rPr>
        <w:t xml:space="preserve">Sentencia de 27 de noviembre de 2008. Serie C No. 192, párr. 155, y </w:t>
      </w:r>
      <w:r w:rsidRPr="00143D29">
        <w:rPr>
          <w:i/>
          <w:lang w:val="es-CR"/>
        </w:rPr>
        <w:t>Caso Tenorio Roca</w:t>
      </w:r>
      <w:r w:rsidRPr="00143D29">
        <w:rPr>
          <w:lang w:val="es-CR"/>
        </w:rPr>
        <w:t>, párr. 238.</w:t>
      </w:r>
      <w:r w:rsidRPr="00143D29">
        <w:rPr>
          <w:i/>
          <w:lang w:val="es-CR"/>
        </w:rPr>
        <w:t xml:space="preserve"> </w:t>
      </w:r>
    </w:p>
  </w:footnote>
  <w:footnote w:id="487">
    <w:p w14:paraId="16C78F2C" w14:textId="77777777" w:rsidR="00D4299B" w:rsidRPr="00143D29" w:rsidRDefault="00D4299B" w:rsidP="00D761C7">
      <w:pPr>
        <w:pStyle w:val="Textonotapie"/>
        <w:tabs>
          <w:tab w:val="clear" w:pos="4419"/>
          <w:tab w:val="clear" w:pos="8838"/>
          <w:tab w:val="right" w:pos="0"/>
        </w:tabs>
        <w:spacing w:after="20"/>
        <w:rPr>
          <w:lang w:val="es-CO"/>
        </w:rPr>
      </w:pPr>
      <w:r w:rsidRPr="00143D29">
        <w:rPr>
          <w:rStyle w:val="Refdenotaalpie"/>
          <w:szCs w:val="16"/>
        </w:rPr>
        <w:footnoteRef/>
      </w:r>
      <w:r w:rsidRPr="00143D29">
        <w:rPr>
          <w:lang w:val="es-ES"/>
        </w:rPr>
        <w:t xml:space="preserve"> </w:t>
      </w:r>
      <w:r w:rsidRPr="00143D29">
        <w:rPr>
          <w:i/>
          <w:lang w:val="es-ES"/>
        </w:rPr>
        <w:t xml:space="preserve">Cfr. </w:t>
      </w:r>
      <w:r w:rsidRPr="00143D29">
        <w:rPr>
          <w:rStyle w:val="Textoennegrita"/>
          <w:b w:val="0"/>
          <w:i/>
          <w:lang w:val="es-ES"/>
        </w:rPr>
        <w:t xml:space="preserve">Caso </w:t>
      </w:r>
      <w:proofErr w:type="spellStart"/>
      <w:r w:rsidRPr="00143D29">
        <w:rPr>
          <w:rStyle w:val="Textoennegrita"/>
          <w:b w:val="0"/>
          <w:i/>
          <w:lang w:val="es-ES"/>
        </w:rPr>
        <w:t>Anzualdo</w:t>
      </w:r>
      <w:proofErr w:type="spellEnd"/>
      <w:r w:rsidRPr="00143D29">
        <w:rPr>
          <w:rStyle w:val="Textoennegrita"/>
          <w:b w:val="0"/>
          <w:i/>
          <w:lang w:val="es-ES"/>
        </w:rPr>
        <w:t xml:space="preserve"> Castro Vs. Perú. Excepción Preliminar, Fondo, Reparaciones y Costas. </w:t>
      </w:r>
      <w:r w:rsidRPr="00143D29">
        <w:rPr>
          <w:rStyle w:val="Textoennegrita"/>
          <w:b w:val="0"/>
          <w:lang w:val="es-ES"/>
        </w:rPr>
        <w:t xml:space="preserve">Sentencia de 22 de septiembre de 2009. Serie C No. 202, párr. 156, y </w:t>
      </w:r>
      <w:r w:rsidRPr="00143D29">
        <w:rPr>
          <w:i/>
          <w:lang w:val="es-CR"/>
        </w:rPr>
        <w:t xml:space="preserve">Caso </w:t>
      </w:r>
      <w:proofErr w:type="spellStart"/>
      <w:r w:rsidRPr="00143D29">
        <w:rPr>
          <w:i/>
          <w:lang w:val="es-CR"/>
        </w:rPr>
        <w:t>Quispialaya</w:t>
      </w:r>
      <w:proofErr w:type="spellEnd"/>
      <w:r w:rsidRPr="00143D29">
        <w:rPr>
          <w:i/>
          <w:lang w:val="es-CR"/>
        </w:rPr>
        <w:t xml:space="preserve"> Vilcapoma</w:t>
      </w:r>
      <w:r w:rsidRPr="00143D29">
        <w:rPr>
          <w:lang w:val="es-CR"/>
        </w:rPr>
        <w:t>, párr. 178.</w:t>
      </w:r>
    </w:p>
  </w:footnote>
  <w:footnote w:id="488">
    <w:p w14:paraId="00CC4D4D"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inter </w:t>
      </w:r>
      <w:proofErr w:type="spellStart"/>
      <w:r w:rsidRPr="00143D29">
        <w:rPr>
          <w:i/>
          <w:sz w:val="16"/>
          <w:szCs w:val="16"/>
        </w:rPr>
        <w:t>alia</w:t>
      </w:r>
      <w:proofErr w:type="spellEnd"/>
      <w:r w:rsidRPr="00143D29">
        <w:rPr>
          <w:i/>
          <w:sz w:val="16"/>
          <w:szCs w:val="16"/>
        </w:rPr>
        <w:t xml:space="preserve">, Caso Genie Lacayo Vs. Nicaragua. Excepciones Preliminares. </w:t>
      </w:r>
      <w:r w:rsidRPr="00143D29">
        <w:rPr>
          <w:sz w:val="16"/>
          <w:szCs w:val="16"/>
        </w:rPr>
        <w:t xml:space="preserve">Sentencia de 27 de enero de 1995. Serie C No. 21, párr. 78, y </w:t>
      </w:r>
      <w:r w:rsidRPr="00143D29">
        <w:rPr>
          <w:i/>
          <w:sz w:val="16"/>
          <w:szCs w:val="16"/>
        </w:rPr>
        <w:t xml:space="preserve">Caso </w:t>
      </w:r>
      <w:proofErr w:type="spellStart"/>
      <w:r w:rsidRPr="00143D29">
        <w:rPr>
          <w:i/>
          <w:sz w:val="16"/>
        </w:rPr>
        <w:t>Quispialaya</w:t>
      </w:r>
      <w:proofErr w:type="spellEnd"/>
      <w:r w:rsidRPr="00143D29">
        <w:rPr>
          <w:i/>
          <w:sz w:val="16"/>
        </w:rPr>
        <w:t xml:space="preserve"> Vilcapoma</w:t>
      </w:r>
      <w:r w:rsidRPr="00143D29">
        <w:rPr>
          <w:sz w:val="16"/>
          <w:szCs w:val="16"/>
        </w:rPr>
        <w:t>, párr. 179.</w:t>
      </w:r>
    </w:p>
  </w:footnote>
  <w:footnote w:id="489">
    <w:p w14:paraId="38BE2CEF" w14:textId="77777777" w:rsidR="00D4299B" w:rsidRPr="00143D29" w:rsidRDefault="00D4299B" w:rsidP="00D761C7">
      <w:pPr>
        <w:pStyle w:val="Textonotapie"/>
        <w:tabs>
          <w:tab w:val="clear" w:pos="4419"/>
          <w:tab w:val="clear" w:pos="8838"/>
          <w:tab w:val="right" w:pos="0"/>
        </w:tabs>
        <w:spacing w:after="20"/>
        <w:rPr>
          <w:rFonts w:cs="Tahoma"/>
          <w:color w:val="000000"/>
          <w:lang w:val="es-ES"/>
        </w:rPr>
      </w:pPr>
      <w:r w:rsidRPr="00143D29">
        <w:rPr>
          <w:rStyle w:val="Refdenotaalpie"/>
          <w:rFonts w:cs="Tahoma"/>
          <w:szCs w:val="16"/>
        </w:rPr>
        <w:footnoteRef/>
      </w:r>
      <w:r w:rsidRPr="00143D29">
        <w:rPr>
          <w:rFonts w:cs="Tahoma"/>
          <w:lang w:val="es-ES"/>
        </w:rPr>
        <w:t xml:space="preserve"> </w:t>
      </w:r>
      <w:r w:rsidRPr="00143D29">
        <w:rPr>
          <w:rFonts w:cs="Tahoma"/>
          <w:i/>
          <w:lang w:val="es-ES"/>
        </w:rPr>
        <w:t>Cfr. Garantías judiciales en Estados de Emergencia (arts. 27.2, 25 y 8 Convención Americana sobre Derechos Humanos). Opinión Consultiva</w:t>
      </w:r>
      <w:r w:rsidRPr="00143D29">
        <w:rPr>
          <w:rFonts w:cs="Tahoma"/>
          <w:lang w:val="es-ES"/>
        </w:rPr>
        <w:t xml:space="preserve"> OC-9/87 del 6 de octubre de 1987. Serie A No. 9, párr. 28, y </w:t>
      </w:r>
      <w:r w:rsidRPr="00143D29">
        <w:rPr>
          <w:rFonts w:cs="Tahoma"/>
          <w:i/>
          <w:lang w:val="es-ES"/>
        </w:rPr>
        <w:t>Caso J</w:t>
      </w:r>
      <w:r w:rsidRPr="00143D29">
        <w:rPr>
          <w:rFonts w:cs="Tahoma"/>
          <w:lang w:val="es-ES"/>
        </w:rPr>
        <w:t xml:space="preserve">, párr. 258. </w:t>
      </w:r>
    </w:p>
  </w:footnote>
  <w:footnote w:id="490">
    <w:p w14:paraId="72CE9BDF"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Caso de los “Niños de la Calle” (Villagrán Morales y otros) Vs. Guatemala. Fondo, </w:t>
      </w:r>
      <w:r w:rsidRPr="00143D29">
        <w:rPr>
          <w:lang w:val="es-ES"/>
        </w:rPr>
        <w:t xml:space="preserve">párr. 246, y </w:t>
      </w:r>
      <w:r w:rsidRPr="00143D29">
        <w:rPr>
          <w:i/>
          <w:lang w:val="es-ES"/>
        </w:rPr>
        <w:t xml:space="preserve">Caso Masacres de Río Negro, </w:t>
      </w:r>
      <w:r w:rsidRPr="00143D29">
        <w:rPr>
          <w:lang w:val="es-ES"/>
        </w:rPr>
        <w:t>párr. 193.</w:t>
      </w:r>
    </w:p>
  </w:footnote>
  <w:footnote w:id="491">
    <w:p w14:paraId="7B3EB783" w14:textId="77777777" w:rsidR="00D4299B" w:rsidRPr="00143D29" w:rsidRDefault="00D4299B" w:rsidP="00D761C7">
      <w:pPr>
        <w:tabs>
          <w:tab w:val="clear" w:pos="4419"/>
          <w:tab w:val="clear" w:pos="8838"/>
          <w:tab w:val="right" w:pos="0"/>
        </w:tabs>
        <w:autoSpaceDE w:val="0"/>
        <w:autoSpaceDN w:val="0"/>
        <w:spacing w:after="20"/>
        <w:jc w:val="both"/>
        <w:rPr>
          <w:sz w:val="16"/>
          <w:szCs w:val="16"/>
        </w:rPr>
      </w:pPr>
      <w:r w:rsidRPr="00143D29">
        <w:rPr>
          <w:rStyle w:val="Refdenotaalpie"/>
          <w:sz w:val="16"/>
          <w:szCs w:val="16"/>
        </w:rPr>
        <w:footnoteRef/>
      </w:r>
      <w:r w:rsidRPr="00143D29">
        <w:rPr>
          <w:sz w:val="16"/>
          <w:szCs w:val="16"/>
        </w:rPr>
        <w:t xml:space="preserve"> </w:t>
      </w:r>
      <w:r w:rsidRPr="00143D29">
        <w:rPr>
          <w:rFonts w:eastAsia="Calibri" w:cs="Verdana"/>
          <w:i/>
          <w:iCs/>
          <w:sz w:val="16"/>
          <w:szCs w:val="16"/>
        </w:rPr>
        <w:t xml:space="preserve">Cfr. Caso Valle Jaramillo y otros, </w:t>
      </w:r>
      <w:r w:rsidRPr="00143D29">
        <w:rPr>
          <w:rFonts w:eastAsia="Calibri" w:cs="Verdana"/>
          <w:sz w:val="16"/>
          <w:szCs w:val="16"/>
        </w:rPr>
        <w:t xml:space="preserve">párr. 233, y </w:t>
      </w:r>
      <w:r w:rsidRPr="00143D29">
        <w:rPr>
          <w:bCs/>
          <w:i/>
          <w:sz w:val="16"/>
          <w:szCs w:val="16"/>
        </w:rPr>
        <w:t xml:space="preserve">Caso Masacres de Río Negro, </w:t>
      </w:r>
      <w:r w:rsidRPr="00143D29">
        <w:rPr>
          <w:bCs/>
          <w:sz w:val="16"/>
          <w:szCs w:val="16"/>
        </w:rPr>
        <w:t>párr. 193.</w:t>
      </w:r>
    </w:p>
  </w:footnote>
  <w:footnote w:id="492">
    <w:p w14:paraId="30132662"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rFonts w:eastAsia="Calibri" w:cs="Verdana"/>
          <w:i/>
          <w:iCs/>
          <w:lang w:val="es-ES"/>
        </w:rPr>
        <w:t>Cfr. Caso Velásquez Rodríguez Vs. Honduras</w:t>
      </w:r>
      <w:r w:rsidRPr="00143D29">
        <w:rPr>
          <w:rFonts w:eastAsia="Calibri" w:cs="Verdana"/>
          <w:i/>
          <w:lang w:val="es-ES"/>
        </w:rPr>
        <w:t xml:space="preserve">. </w:t>
      </w:r>
      <w:r w:rsidRPr="00143D29">
        <w:rPr>
          <w:rFonts w:eastAsia="Calibri" w:cs="Verdana"/>
          <w:i/>
          <w:iCs/>
          <w:lang w:val="es-ES"/>
        </w:rPr>
        <w:t xml:space="preserve">Fondo, </w:t>
      </w:r>
      <w:r w:rsidRPr="00143D29">
        <w:rPr>
          <w:rFonts w:eastAsia="Calibri" w:cs="Verdana"/>
          <w:lang w:val="es-ES"/>
        </w:rPr>
        <w:t xml:space="preserve">párr. 177, y </w:t>
      </w:r>
      <w:r w:rsidRPr="00143D29">
        <w:rPr>
          <w:bCs/>
          <w:i/>
          <w:lang w:val="es-ES"/>
        </w:rPr>
        <w:t>Caso Masacres de</w:t>
      </w:r>
      <w:r w:rsidRPr="00143D29">
        <w:rPr>
          <w:lang w:val="es-ES"/>
        </w:rPr>
        <w:t xml:space="preserve"> </w:t>
      </w:r>
      <w:r w:rsidRPr="00143D29">
        <w:rPr>
          <w:i/>
          <w:lang w:val="es-ES"/>
        </w:rPr>
        <w:t>Río Negro</w:t>
      </w:r>
      <w:r w:rsidRPr="00143D29">
        <w:rPr>
          <w:lang w:val="es-ES"/>
        </w:rPr>
        <w:t>, párr. 193.</w:t>
      </w:r>
    </w:p>
  </w:footnote>
  <w:footnote w:id="493">
    <w:p w14:paraId="69B458F0" w14:textId="77777777" w:rsidR="00D4299B" w:rsidRPr="00143D29" w:rsidRDefault="00D4299B" w:rsidP="00D761C7">
      <w:pPr>
        <w:pStyle w:val="Textonotapie"/>
        <w:tabs>
          <w:tab w:val="clear" w:pos="4419"/>
          <w:tab w:val="clear" w:pos="8838"/>
          <w:tab w:val="right" w:pos="0"/>
        </w:tabs>
        <w:spacing w:after="20"/>
        <w:rPr>
          <w:lang w:val="es-CR"/>
        </w:rPr>
      </w:pPr>
      <w:r w:rsidRPr="00143D29">
        <w:rPr>
          <w:rStyle w:val="Refdenotaalpie"/>
          <w:szCs w:val="16"/>
        </w:rPr>
        <w:footnoteRef/>
      </w:r>
      <w:r w:rsidRPr="00143D29">
        <w:rPr>
          <w:lang w:val="es-CR"/>
        </w:rPr>
        <w:t xml:space="preserve"> </w:t>
      </w:r>
      <w:r w:rsidRPr="00143D29">
        <w:rPr>
          <w:i/>
          <w:lang w:val="es-CR"/>
        </w:rPr>
        <w:t xml:space="preserve">Cfr. </w:t>
      </w:r>
      <w:r w:rsidRPr="00143D29">
        <w:rPr>
          <w:i/>
          <w:lang w:val="es-ES"/>
        </w:rPr>
        <w:t xml:space="preserve">Caso </w:t>
      </w:r>
      <w:proofErr w:type="spellStart"/>
      <w:r w:rsidRPr="00143D29">
        <w:rPr>
          <w:i/>
          <w:lang w:val="es-ES"/>
        </w:rPr>
        <w:t>Ximenes</w:t>
      </w:r>
      <w:proofErr w:type="spellEnd"/>
      <w:r w:rsidRPr="00143D29">
        <w:rPr>
          <w:i/>
          <w:lang w:val="es-ES"/>
        </w:rPr>
        <w:t xml:space="preserve"> </w:t>
      </w:r>
      <w:proofErr w:type="spellStart"/>
      <w:r w:rsidRPr="00143D29">
        <w:rPr>
          <w:i/>
          <w:lang w:val="es-ES"/>
        </w:rPr>
        <w:t>Lópes</w:t>
      </w:r>
      <w:proofErr w:type="spellEnd"/>
      <w:r w:rsidRPr="00143D29">
        <w:rPr>
          <w:lang w:val="es-ES"/>
        </w:rPr>
        <w:t xml:space="preserve">, párr. 199, y </w:t>
      </w:r>
      <w:r w:rsidRPr="00143D29">
        <w:rPr>
          <w:rStyle w:val="Textoennegrita"/>
          <w:b w:val="0"/>
          <w:i/>
          <w:shd w:val="clear" w:color="auto" w:fill="FFFFFF"/>
          <w:lang w:val="es-ES"/>
        </w:rPr>
        <w:t xml:space="preserve">Caso Gonzales </w:t>
      </w:r>
      <w:proofErr w:type="spellStart"/>
      <w:r w:rsidRPr="00143D29">
        <w:rPr>
          <w:rStyle w:val="Textoennegrita"/>
          <w:b w:val="0"/>
          <w:i/>
          <w:shd w:val="clear" w:color="auto" w:fill="FFFFFF"/>
          <w:lang w:val="es-ES"/>
        </w:rPr>
        <w:t>Lluy</w:t>
      </w:r>
      <w:proofErr w:type="spellEnd"/>
      <w:r w:rsidRPr="00143D29">
        <w:rPr>
          <w:rStyle w:val="Textoennegrita"/>
          <w:b w:val="0"/>
          <w:i/>
          <w:shd w:val="clear" w:color="auto" w:fill="FFFFFF"/>
          <w:lang w:val="es-ES"/>
        </w:rPr>
        <w:t xml:space="preserve"> y otros</w:t>
      </w:r>
      <w:r w:rsidRPr="00143D29">
        <w:rPr>
          <w:rStyle w:val="Textoennegrita"/>
          <w:b w:val="0"/>
          <w:shd w:val="clear" w:color="auto" w:fill="FFFFFF"/>
          <w:lang w:val="es-ES"/>
        </w:rPr>
        <w:t>, párr. 306.</w:t>
      </w:r>
      <w:r w:rsidRPr="00143D29">
        <w:rPr>
          <w:lang w:val="es-ES"/>
        </w:rPr>
        <w:t xml:space="preserve"> </w:t>
      </w:r>
    </w:p>
  </w:footnote>
  <w:footnote w:id="494">
    <w:p w14:paraId="46C4D923" w14:textId="77777777" w:rsidR="00D4299B" w:rsidRPr="00143D29" w:rsidRDefault="00D4299B" w:rsidP="00D761C7">
      <w:pPr>
        <w:tabs>
          <w:tab w:val="clear" w:pos="4419"/>
          <w:tab w:val="clear" w:pos="8838"/>
          <w:tab w:val="right" w:pos="0"/>
        </w:tabs>
        <w:spacing w:after="20"/>
        <w:jc w:val="both"/>
        <w:rPr>
          <w:sz w:val="16"/>
          <w:szCs w:val="16"/>
        </w:rPr>
      </w:pPr>
      <w:r w:rsidRPr="00143D29">
        <w:rPr>
          <w:rStyle w:val="Refdenotaalpie"/>
          <w:sz w:val="16"/>
          <w:szCs w:val="16"/>
        </w:rPr>
        <w:footnoteRef/>
      </w:r>
      <w:r w:rsidRPr="00143D29">
        <w:rPr>
          <w:sz w:val="16"/>
          <w:szCs w:val="16"/>
          <w:lang w:val="es-CL"/>
        </w:rPr>
        <w:t xml:space="preserve"> </w:t>
      </w:r>
      <w:r w:rsidRPr="00143D29">
        <w:rPr>
          <w:i/>
          <w:sz w:val="16"/>
          <w:szCs w:val="16"/>
        </w:rPr>
        <w:t xml:space="preserve">Cfr. </w:t>
      </w:r>
      <w:r w:rsidRPr="00143D29">
        <w:rPr>
          <w:bCs/>
          <w:i/>
          <w:iCs/>
          <w:sz w:val="16"/>
          <w:szCs w:val="16"/>
        </w:rPr>
        <w:t>Caso Valle Jaramillo y otros</w:t>
      </w:r>
      <w:r w:rsidRPr="00143D29">
        <w:rPr>
          <w:sz w:val="16"/>
          <w:szCs w:val="16"/>
        </w:rPr>
        <w:t xml:space="preserve">, párr. 155, y </w:t>
      </w:r>
      <w:r w:rsidRPr="00143D29">
        <w:rPr>
          <w:i/>
          <w:sz w:val="16"/>
          <w:szCs w:val="16"/>
        </w:rPr>
        <w:t xml:space="preserve">Caso Gonzales </w:t>
      </w:r>
      <w:proofErr w:type="spellStart"/>
      <w:r w:rsidRPr="00143D29">
        <w:rPr>
          <w:i/>
          <w:sz w:val="16"/>
          <w:szCs w:val="16"/>
        </w:rPr>
        <w:t>Lluy</w:t>
      </w:r>
      <w:proofErr w:type="spellEnd"/>
      <w:r w:rsidRPr="00143D29">
        <w:rPr>
          <w:i/>
          <w:sz w:val="16"/>
          <w:szCs w:val="16"/>
        </w:rPr>
        <w:t xml:space="preserve"> y otros</w:t>
      </w:r>
      <w:r w:rsidRPr="00143D29">
        <w:rPr>
          <w:sz w:val="16"/>
          <w:szCs w:val="16"/>
        </w:rPr>
        <w:t>, párr. 309</w:t>
      </w:r>
      <w:r w:rsidRPr="00143D29">
        <w:rPr>
          <w:rFonts w:cs="Verdana"/>
          <w:sz w:val="16"/>
          <w:szCs w:val="16"/>
        </w:rPr>
        <w:t>.</w:t>
      </w:r>
    </w:p>
  </w:footnote>
  <w:footnote w:id="495">
    <w:p w14:paraId="08CAE76A"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Sitio web de la Justicia Federal de Pará: </w:t>
      </w:r>
      <w:hyperlink r:id="rId10" w:history="1">
        <w:r w:rsidRPr="00143D29">
          <w:rPr>
            <w:rStyle w:val="Hipervnculo"/>
            <w:lang w:val="es-ES"/>
          </w:rPr>
          <w:t>https://processual.trf1.jus.br/consultaProcessual/processo.php?proc=200139010002700&amp;secao=MBA&amp;pg=1&amp;trf1_captcha_id=2dc48777b78e795a538b3aa440996f7b&amp;trf1_captcha=f4gj&amp;enviar=Pesquisar</w:t>
        </w:r>
      </w:hyperlink>
      <w:r w:rsidRPr="00143D29">
        <w:rPr>
          <w:lang w:val="es-ES"/>
        </w:rPr>
        <w:t>, consultada el 10 de octubre de 2016.</w:t>
      </w:r>
    </w:p>
  </w:footnote>
  <w:footnote w:id="496">
    <w:p w14:paraId="6B1C7CD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Cfr.</w:t>
      </w:r>
      <w:r w:rsidRPr="00143D29">
        <w:rPr>
          <w:lang w:val="es-ES"/>
        </w:rPr>
        <w:t xml:space="preserve"> </w:t>
      </w:r>
      <w:r w:rsidRPr="00143D29">
        <w:rPr>
          <w:i/>
          <w:lang w:val="es-ES"/>
        </w:rPr>
        <w:t>Caso Velásquez Rodríguez Vs. Honduras. Excepciones Preliminares</w:t>
      </w:r>
      <w:r w:rsidRPr="00143D29">
        <w:rPr>
          <w:lang w:val="es-ES"/>
        </w:rPr>
        <w:t xml:space="preserve">, párr. 91, y </w:t>
      </w:r>
      <w:r w:rsidRPr="00143D29">
        <w:rPr>
          <w:rStyle w:val="Textoennegrita"/>
          <w:b w:val="0"/>
          <w:i/>
          <w:color w:val="000000"/>
          <w:shd w:val="clear" w:color="auto" w:fill="FFFFFF"/>
          <w:lang w:val="es-ES"/>
        </w:rPr>
        <w:t>Caso Maldonado Ordoñez</w:t>
      </w:r>
      <w:r w:rsidRPr="00143D29">
        <w:rPr>
          <w:lang w:val="es-ES"/>
        </w:rPr>
        <w:t>, párr. 108.</w:t>
      </w:r>
    </w:p>
  </w:footnote>
  <w:footnote w:id="497">
    <w:p w14:paraId="3EEEFC55"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Cfr. Caso</w:t>
      </w:r>
      <w:r w:rsidRPr="00143D29">
        <w:rPr>
          <w:lang w:val="es-ES"/>
        </w:rPr>
        <w:t xml:space="preserve"> </w:t>
      </w:r>
      <w:r w:rsidRPr="00143D29">
        <w:rPr>
          <w:i/>
          <w:lang w:val="es-ES"/>
        </w:rPr>
        <w:t>López Álvarez Vs. Honduras. Fondo, Reparaciones y Costas</w:t>
      </w:r>
      <w:r w:rsidRPr="00143D29">
        <w:rPr>
          <w:lang w:val="es-ES"/>
        </w:rPr>
        <w:t>. Sentencia de 1 de febrero de 2006. Serie C No. 141, párr. 96, y</w:t>
      </w:r>
      <w:r w:rsidRPr="00143D29">
        <w:rPr>
          <w:i/>
          <w:lang w:val="es-ES"/>
        </w:rPr>
        <w:t xml:space="preserve"> </w:t>
      </w:r>
      <w:r w:rsidRPr="00143D29">
        <w:rPr>
          <w:rStyle w:val="Textoennegrita"/>
          <w:b w:val="0"/>
          <w:i/>
          <w:color w:val="000000"/>
          <w:shd w:val="clear" w:color="auto" w:fill="FFFFFF"/>
          <w:lang w:val="es-ES"/>
        </w:rPr>
        <w:t>Caso Maldonado Ordoñez</w:t>
      </w:r>
      <w:r w:rsidRPr="00143D29">
        <w:rPr>
          <w:color w:val="000000"/>
          <w:lang w:val="es-ES"/>
        </w:rPr>
        <w:t xml:space="preserve">, </w:t>
      </w:r>
      <w:r w:rsidRPr="00143D29">
        <w:rPr>
          <w:lang w:val="es-ES"/>
        </w:rPr>
        <w:t>párr. 109.</w:t>
      </w:r>
    </w:p>
  </w:footnote>
  <w:footnote w:id="498">
    <w:p w14:paraId="71531ED2" w14:textId="77777777" w:rsidR="00D4299B" w:rsidRPr="00143D29" w:rsidRDefault="00D4299B" w:rsidP="00D761C7">
      <w:pPr>
        <w:tabs>
          <w:tab w:val="clear" w:pos="4419"/>
          <w:tab w:val="clear" w:pos="8838"/>
          <w:tab w:val="right" w:pos="0"/>
          <w:tab w:val="left" w:pos="567"/>
        </w:tabs>
        <w:spacing w:after="20"/>
        <w:jc w:val="both"/>
        <w:rPr>
          <w:sz w:val="16"/>
          <w:szCs w:val="16"/>
          <w:lang w:val="es-ES"/>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rFonts w:cs="Verdana"/>
          <w:i/>
          <w:sz w:val="16"/>
          <w:szCs w:val="16"/>
          <w:lang w:bidi="en-US"/>
        </w:rPr>
        <w:t xml:space="preserve">Caso </w:t>
      </w:r>
      <w:proofErr w:type="spellStart"/>
      <w:r w:rsidRPr="00143D29">
        <w:rPr>
          <w:rFonts w:cs="Verdana"/>
          <w:i/>
          <w:sz w:val="16"/>
          <w:szCs w:val="16"/>
          <w:lang w:bidi="en-US"/>
        </w:rPr>
        <w:t>Ivcher</w:t>
      </w:r>
      <w:proofErr w:type="spellEnd"/>
      <w:r w:rsidRPr="00143D29">
        <w:rPr>
          <w:rFonts w:cs="Verdana"/>
          <w:i/>
          <w:sz w:val="16"/>
          <w:szCs w:val="16"/>
          <w:lang w:bidi="en-US"/>
        </w:rPr>
        <w:t xml:space="preserve"> </w:t>
      </w:r>
      <w:proofErr w:type="spellStart"/>
      <w:r w:rsidRPr="00143D29">
        <w:rPr>
          <w:rFonts w:cs="Verdana"/>
          <w:i/>
          <w:sz w:val="16"/>
          <w:szCs w:val="16"/>
          <w:lang w:bidi="en-US"/>
        </w:rPr>
        <w:t>Bronstein</w:t>
      </w:r>
      <w:proofErr w:type="spellEnd"/>
      <w:r w:rsidRPr="00143D29">
        <w:rPr>
          <w:rFonts w:cs="Verdana"/>
          <w:i/>
          <w:sz w:val="16"/>
          <w:szCs w:val="16"/>
          <w:lang w:bidi="en-US"/>
        </w:rPr>
        <w:t xml:space="preserve"> Vs. Perú. Fondo, Reparaciones y Costas.</w:t>
      </w:r>
      <w:r w:rsidRPr="00143D29">
        <w:rPr>
          <w:rFonts w:cs="Verdana"/>
          <w:sz w:val="16"/>
          <w:szCs w:val="16"/>
          <w:lang w:bidi="en-US"/>
        </w:rPr>
        <w:t xml:space="preserve"> Sentencia de 6 de febrero de 2001. Serie C No. 7, párr. 137, y </w:t>
      </w:r>
      <w:r w:rsidRPr="00143D29">
        <w:rPr>
          <w:rStyle w:val="Textoennegrita"/>
          <w:b w:val="0"/>
          <w:i/>
          <w:color w:val="000000"/>
          <w:sz w:val="16"/>
          <w:szCs w:val="16"/>
          <w:shd w:val="clear" w:color="auto" w:fill="FFFFFF"/>
          <w:lang w:val="es-ES"/>
        </w:rPr>
        <w:t xml:space="preserve">Caso </w:t>
      </w:r>
      <w:r w:rsidRPr="00143D29">
        <w:rPr>
          <w:rStyle w:val="Textoennegrita"/>
          <w:b w:val="0"/>
          <w:i/>
          <w:color w:val="000000"/>
          <w:sz w:val="16"/>
          <w:shd w:val="clear" w:color="auto" w:fill="FFFFFF"/>
          <w:lang w:val="es-ES"/>
        </w:rPr>
        <w:t>Maldonado Ordoñez</w:t>
      </w:r>
      <w:r w:rsidRPr="00143D29">
        <w:rPr>
          <w:color w:val="000000"/>
          <w:sz w:val="16"/>
          <w:szCs w:val="16"/>
        </w:rPr>
        <w:t xml:space="preserve">, </w:t>
      </w:r>
      <w:r w:rsidRPr="00143D29">
        <w:rPr>
          <w:sz w:val="16"/>
          <w:szCs w:val="16"/>
        </w:rPr>
        <w:t>párr. 109.</w:t>
      </w:r>
    </w:p>
  </w:footnote>
  <w:footnote w:id="499">
    <w:p w14:paraId="1CD2453E" w14:textId="77777777" w:rsidR="00D4299B" w:rsidRPr="00143D29" w:rsidRDefault="00D4299B" w:rsidP="00D761C7">
      <w:pPr>
        <w:tabs>
          <w:tab w:val="clear" w:pos="4419"/>
          <w:tab w:val="clear" w:pos="8838"/>
          <w:tab w:val="right" w:pos="0"/>
          <w:tab w:val="left" w:pos="567"/>
        </w:tabs>
        <w:spacing w:after="20"/>
        <w:jc w:val="both"/>
        <w:rPr>
          <w:sz w:val="16"/>
          <w:szCs w:val="16"/>
        </w:rPr>
      </w:pPr>
      <w:r w:rsidRPr="00143D29">
        <w:rPr>
          <w:rStyle w:val="Refdenotaalpie1"/>
          <w:sz w:val="16"/>
          <w:szCs w:val="16"/>
        </w:rPr>
        <w:footnoteRef/>
      </w:r>
      <w:r w:rsidRPr="00143D29">
        <w:rPr>
          <w:sz w:val="16"/>
          <w:szCs w:val="16"/>
        </w:rPr>
        <w:t xml:space="preserve"> </w:t>
      </w:r>
      <w:r w:rsidRPr="00143D29">
        <w:rPr>
          <w:i/>
          <w:sz w:val="16"/>
          <w:szCs w:val="16"/>
        </w:rPr>
        <w:t>Cfr. Caso Las Palmeras Vs. Colombia. Reparaciones y Costas.</w:t>
      </w:r>
      <w:r w:rsidRPr="00143D29">
        <w:rPr>
          <w:sz w:val="16"/>
          <w:szCs w:val="16"/>
        </w:rPr>
        <w:t xml:space="preserve"> Sentencia de 26 Noviembre de 2002. Serie C No. 96, párr. 58, y </w:t>
      </w:r>
      <w:r w:rsidRPr="00143D29">
        <w:rPr>
          <w:rStyle w:val="Textoennegrita"/>
          <w:b w:val="0"/>
          <w:i/>
          <w:color w:val="000000"/>
          <w:sz w:val="16"/>
          <w:szCs w:val="16"/>
          <w:shd w:val="clear" w:color="auto" w:fill="FFFFFF"/>
          <w:lang w:val="es-ES"/>
        </w:rPr>
        <w:t xml:space="preserve">Caso </w:t>
      </w:r>
      <w:r w:rsidRPr="00143D29">
        <w:rPr>
          <w:rStyle w:val="Textoennegrita"/>
          <w:b w:val="0"/>
          <w:i/>
          <w:color w:val="000000"/>
          <w:sz w:val="16"/>
          <w:shd w:val="clear" w:color="auto" w:fill="FFFFFF"/>
          <w:lang w:val="es-ES"/>
        </w:rPr>
        <w:t>Maldonado Ordoñez</w:t>
      </w:r>
      <w:r w:rsidRPr="00143D29">
        <w:rPr>
          <w:rStyle w:val="Textoennegrita"/>
          <w:b w:val="0"/>
          <w:color w:val="000000"/>
          <w:sz w:val="16"/>
          <w:szCs w:val="16"/>
          <w:shd w:val="clear" w:color="auto" w:fill="FFFFFF"/>
        </w:rPr>
        <w:t>, párr. 109</w:t>
      </w:r>
      <w:r w:rsidRPr="00143D29">
        <w:rPr>
          <w:rFonts w:cs="Verdana"/>
          <w:sz w:val="16"/>
          <w:szCs w:val="16"/>
          <w:lang w:bidi="en-US"/>
        </w:rPr>
        <w:t>.</w:t>
      </w:r>
    </w:p>
  </w:footnote>
  <w:footnote w:id="500">
    <w:p w14:paraId="49B7252D" w14:textId="77777777" w:rsidR="00D4299B" w:rsidRPr="00143D29" w:rsidRDefault="00D4299B" w:rsidP="00D761C7">
      <w:pPr>
        <w:pStyle w:val="Textonotapie"/>
        <w:tabs>
          <w:tab w:val="clear" w:pos="4419"/>
          <w:tab w:val="clear" w:pos="8838"/>
          <w:tab w:val="right" w:pos="0"/>
          <w:tab w:val="left" w:pos="567"/>
        </w:tabs>
        <w:spacing w:after="20"/>
        <w:rPr>
          <w:i/>
          <w:lang w:val="es-ES"/>
        </w:rPr>
      </w:pPr>
      <w:r w:rsidRPr="00143D29">
        <w:rPr>
          <w:rStyle w:val="Refdenotaalpie"/>
          <w:szCs w:val="16"/>
        </w:rPr>
        <w:footnoteRef/>
      </w:r>
      <w:r w:rsidRPr="00143D29">
        <w:rPr>
          <w:lang w:val="es-ES"/>
        </w:rPr>
        <w:t xml:space="preserve"> </w:t>
      </w:r>
      <w:r w:rsidRPr="00143D29">
        <w:rPr>
          <w:i/>
          <w:lang w:val="es-ES"/>
        </w:rPr>
        <w:t xml:space="preserve">Cfr. Caso Baena Ricardo y otros Vs. Panamá. Competencia. </w:t>
      </w:r>
      <w:r w:rsidRPr="00143D29">
        <w:rPr>
          <w:lang w:val="es-ES"/>
        </w:rPr>
        <w:t xml:space="preserve">Sentencia de 28 de noviembre de 2003. Serie C No. 104, párr. 73, y </w:t>
      </w:r>
      <w:r w:rsidRPr="00143D29">
        <w:rPr>
          <w:rStyle w:val="Textoennegrita"/>
          <w:b w:val="0"/>
          <w:i/>
          <w:color w:val="000000"/>
          <w:shd w:val="clear" w:color="auto" w:fill="FFFFFF"/>
          <w:lang w:val="es-ES"/>
        </w:rPr>
        <w:t>Caso Maldonado Ordoñez</w:t>
      </w:r>
      <w:r w:rsidRPr="00143D29">
        <w:rPr>
          <w:lang w:val="es-ES"/>
        </w:rPr>
        <w:t>, párr. 109</w:t>
      </w:r>
      <w:r w:rsidRPr="00143D29">
        <w:rPr>
          <w:rFonts w:cs="Verdana"/>
          <w:lang w:val="es-ES" w:bidi="en-US"/>
        </w:rPr>
        <w:t>.</w:t>
      </w:r>
    </w:p>
  </w:footnote>
  <w:footnote w:id="501">
    <w:p w14:paraId="121A1E65" w14:textId="77777777" w:rsidR="00D4299B" w:rsidRPr="00143D29" w:rsidRDefault="00D4299B" w:rsidP="00D761C7">
      <w:pPr>
        <w:tabs>
          <w:tab w:val="clear" w:pos="4419"/>
          <w:tab w:val="clear" w:pos="8838"/>
          <w:tab w:val="right" w:pos="0"/>
        </w:tabs>
        <w:spacing w:after="20"/>
        <w:jc w:val="both"/>
        <w:rPr>
          <w:bCs/>
          <w:color w:val="000000"/>
          <w:sz w:val="16"/>
          <w:szCs w:val="16"/>
          <w:shd w:val="clear" w:color="auto" w:fill="FFFFFF"/>
        </w:rPr>
      </w:pPr>
      <w:r w:rsidRPr="00143D29">
        <w:rPr>
          <w:rStyle w:val="Refdenotaalpie"/>
          <w:sz w:val="16"/>
          <w:szCs w:val="16"/>
        </w:rPr>
        <w:footnoteRef/>
      </w:r>
      <w:r w:rsidRPr="00143D29">
        <w:rPr>
          <w:sz w:val="16"/>
          <w:szCs w:val="16"/>
        </w:rPr>
        <w:t xml:space="preserve"> </w:t>
      </w:r>
      <w:r w:rsidRPr="00143D29">
        <w:rPr>
          <w:i/>
          <w:sz w:val="16"/>
          <w:szCs w:val="16"/>
        </w:rPr>
        <w:t>Cfr. Caso de los “Niños de la Calle” (Villagrán Morales y otros) Vs. Guatemala. Fondo</w:t>
      </w:r>
      <w:r w:rsidRPr="00143D29">
        <w:rPr>
          <w:sz w:val="16"/>
          <w:szCs w:val="16"/>
        </w:rPr>
        <w:t xml:space="preserve">, párr. 237, y </w:t>
      </w:r>
      <w:r w:rsidRPr="00143D29">
        <w:rPr>
          <w:rStyle w:val="Textoennegrita"/>
          <w:b w:val="0"/>
          <w:i/>
          <w:color w:val="000000"/>
          <w:sz w:val="16"/>
          <w:szCs w:val="16"/>
          <w:shd w:val="clear" w:color="auto" w:fill="FFFFFF"/>
          <w:lang w:val="es-ES"/>
        </w:rPr>
        <w:t xml:space="preserve">Caso </w:t>
      </w:r>
      <w:r w:rsidRPr="00143D29">
        <w:rPr>
          <w:rStyle w:val="Textoennegrita"/>
          <w:b w:val="0"/>
          <w:i/>
          <w:color w:val="000000"/>
          <w:sz w:val="16"/>
          <w:shd w:val="clear" w:color="auto" w:fill="FFFFFF"/>
          <w:lang w:val="es-ES"/>
        </w:rPr>
        <w:t>Maldonado Ordoñez</w:t>
      </w:r>
      <w:r w:rsidRPr="00143D29">
        <w:rPr>
          <w:rStyle w:val="Textoennegrita"/>
          <w:b w:val="0"/>
          <w:color w:val="000000"/>
          <w:sz w:val="16"/>
          <w:szCs w:val="16"/>
          <w:shd w:val="clear" w:color="auto" w:fill="FFFFFF"/>
        </w:rPr>
        <w:t>, párr. 110</w:t>
      </w:r>
      <w:r w:rsidRPr="00143D29">
        <w:rPr>
          <w:sz w:val="16"/>
          <w:szCs w:val="16"/>
        </w:rPr>
        <w:t>.</w:t>
      </w:r>
    </w:p>
  </w:footnote>
  <w:footnote w:id="502">
    <w:p w14:paraId="0F0CC383" w14:textId="77777777" w:rsidR="00D4299B" w:rsidRPr="00143D29" w:rsidRDefault="00D4299B" w:rsidP="00D761C7">
      <w:pPr>
        <w:tabs>
          <w:tab w:val="clear" w:pos="4419"/>
          <w:tab w:val="clear" w:pos="8838"/>
          <w:tab w:val="right" w:pos="0"/>
        </w:tabs>
        <w:spacing w:after="20"/>
        <w:jc w:val="both"/>
        <w:rPr>
          <w:bCs/>
          <w:color w:val="000000"/>
          <w:sz w:val="16"/>
          <w:szCs w:val="16"/>
          <w:shd w:val="clear" w:color="auto" w:fill="FFFFFF"/>
        </w:rPr>
      </w:pPr>
      <w:r w:rsidRPr="00143D29">
        <w:rPr>
          <w:rStyle w:val="Refdenotaalpie"/>
          <w:sz w:val="16"/>
          <w:szCs w:val="16"/>
        </w:rPr>
        <w:footnoteRef/>
      </w:r>
      <w:r w:rsidRPr="00143D29">
        <w:rPr>
          <w:sz w:val="16"/>
          <w:szCs w:val="16"/>
        </w:rPr>
        <w:t xml:space="preserve"> </w:t>
      </w:r>
      <w:r w:rsidRPr="00143D29">
        <w:rPr>
          <w:i/>
          <w:sz w:val="16"/>
          <w:szCs w:val="16"/>
        </w:rPr>
        <w:t>Cfr. Caso Castillo Páez Vs. Perú. Fondo.</w:t>
      </w:r>
      <w:r w:rsidRPr="00143D29">
        <w:rPr>
          <w:sz w:val="16"/>
          <w:szCs w:val="16"/>
        </w:rPr>
        <w:t xml:space="preserve"> Sentencia de 3 de noviembre de 1997. Serie C No. 34, párr. 83, y </w:t>
      </w:r>
      <w:r w:rsidRPr="00143D29">
        <w:rPr>
          <w:rStyle w:val="Textoennegrita"/>
          <w:b w:val="0"/>
          <w:i/>
          <w:color w:val="000000"/>
          <w:sz w:val="16"/>
          <w:szCs w:val="16"/>
          <w:shd w:val="clear" w:color="auto" w:fill="FFFFFF"/>
          <w:lang w:val="es-ES"/>
        </w:rPr>
        <w:t xml:space="preserve">Caso </w:t>
      </w:r>
      <w:r w:rsidRPr="00143D29">
        <w:rPr>
          <w:rStyle w:val="Textoennegrita"/>
          <w:b w:val="0"/>
          <w:i/>
          <w:color w:val="000000"/>
          <w:sz w:val="16"/>
          <w:shd w:val="clear" w:color="auto" w:fill="FFFFFF"/>
          <w:lang w:val="es-ES"/>
        </w:rPr>
        <w:t>Maldonado Ordoñez</w:t>
      </w:r>
      <w:r w:rsidRPr="00143D29">
        <w:rPr>
          <w:rStyle w:val="Textoennegrita"/>
          <w:b w:val="0"/>
          <w:color w:val="000000"/>
          <w:sz w:val="16"/>
          <w:szCs w:val="16"/>
          <w:shd w:val="clear" w:color="auto" w:fill="FFFFFF"/>
        </w:rPr>
        <w:t>, párr. 110.</w:t>
      </w:r>
    </w:p>
  </w:footnote>
  <w:footnote w:id="503">
    <w:p w14:paraId="77B5429E" w14:textId="77777777" w:rsidR="00D4299B" w:rsidRPr="00143D29" w:rsidRDefault="00D4299B" w:rsidP="00D761C7">
      <w:pPr>
        <w:pStyle w:val="Textonotapie"/>
        <w:tabs>
          <w:tab w:val="clear" w:pos="4419"/>
          <w:tab w:val="clear" w:pos="8838"/>
          <w:tab w:val="right" w:pos="0"/>
          <w:tab w:val="left" w:pos="567"/>
        </w:tabs>
        <w:spacing w:after="20"/>
        <w:rPr>
          <w:lang w:val="es-ES"/>
        </w:rPr>
      </w:pPr>
      <w:r w:rsidRPr="00143D29">
        <w:rPr>
          <w:rStyle w:val="Refdenotaalpie"/>
          <w:szCs w:val="16"/>
        </w:rPr>
        <w:footnoteRef/>
      </w:r>
      <w:r w:rsidRPr="00143D29">
        <w:rPr>
          <w:lang w:val="es-ES"/>
        </w:rPr>
        <w:t xml:space="preserve"> </w:t>
      </w:r>
      <w:r w:rsidRPr="00143D29">
        <w:rPr>
          <w:i/>
          <w:lang w:val="es-ES"/>
        </w:rPr>
        <w:t>Cfr. Caso de los “Niños de la Calle” (Villagrán Morales y otros) Vs. Guatemala. Fondo</w:t>
      </w:r>
      <w:r w:rsidRPr="00143D29">
        <w:rPr>
          <w:lang w:val="es-ES"/>
        </w:rPr>
        <w:t xml:space="preserve">, párr. 237, y </w:t>
      </w:r>
      <w:r w:rsidRPr="00143D29">
        <w:rPr>
          <w:rStyle w:val="Textoennegrita"/>
          <w:b w:val="0"/>
          <w:i/>
          <w:color w:val="000000"/>
          <w:shd w:val="clear" w:color="auto" w:fill="FFFFFF"/>
          <w:lang w:val="es-ES"/>
        </w:rPr>
        <w:t>Caso Maldonado Ordoñez</w:t>
      </w:r>
      <w:r w:rsidRPr="00143D29">
        <w:rPr>
          <w:color w:val="000000"/>
          <w:lang w:val="es-ES"/>
        </w:rPr>
        <w:t xml:space="preserve">, </w:t>
      </w:r>
      <w:r w:rsidRPr="00143D29">
        <w:rPr>
          <w:lang w:val="es-ES"/>
        </w:rPr>
        <w:t>párr. 110.</w:t>
      </w:r>
    </w:p>
  </w:footnote>
  <w:footnote w:id="504">
    <w:p w14:paraId="7FC992EB" w14:textId="77777777" w:rsidR="00D4299B" w:rsidRPr="00143D29" w:rsidRDefault="00D4299B" w:rsidP="00D761C7">
      <w:pPr>
        <w:pStyle w:val="Textonotapie"/>
        <w:spacing w:after="20"/>
        <w:rPr>
          <w:lang w:val="es-ES"/>
        </w:rPr>
      </w:pPr>
      <w:r w:rsidRPr="00143D29">
        <w:rPr>
          <w:rStyle w:val="Refdenotaalpie"/>
        </w:rPr>
        <w:footnoteRef/>
      </w:r>
      <w:r w:rsidRPr="00143D29">
        <w:rPr>
          <w:lang w:val="es-ES"/>
        </w:rPr>
        <w:t xml:space="preserve"> Sentencia de 10 de julio de 2008 (expediente de prueba, folio 5622).</w:t>
      </w:r>
    </w:p>
  </w:footnote>
  <w:footnote w:id="505">
    <w:p w14:paraId="73163462" w14:textId="77777777" w:rsidR="00D4299B" w:rsidRPr="00143D29" w:rsidRDefault="00D4299B" w:rsidP="00D761C7">
      <w:pPr>
        <w:spacing w:after="20"/>
        <w:jc w:val="both"/>
        <w:rPr>
          <w:bCs/>
          <w:i/>
          <w:color w:val="000000"/>
          <w:shd w:val="clear" w:color="auto" w:fill="FFFFFF"/>
          <w:lang w:val="es-ES"/>
        </w:rPr>
      </w:pPr>
      <w:r w:rsidRPr="00143D29">
        <w:rPr>
          <w:rStyle w:val="Refdenotaalpie"/>
          <w:sz w:val="16"/>
          <w:szCs w:val="16"/>
        </w:rPr>
        <w:footnoteRef/>
      </w:r>
      <w:r w:rsidRPr="00143D29">
        <w:rPr>
          <w:sz w:val="16"/>
          <w:szCs w:val="16"/>
          <w:lang w:val="es-ES"/>
        </w:rPr>
        <w:t xml:space="preserve">  </w:t>
      </w:r>
      <w:r w:rsidRPr="00143D29">
        <w:rPr>
          <w:i/>
          <w:sz w:val="16"/>
          <w:szCs w:val="16"/>
          <w:lang w:val="es-ES"/>
        </w:rPr>
        <w:t xml:space="preserve">Cfr. </w:t>
      </w:r>
      <w:r w:rsidRPr="00143D29">
        <w:rPr>
          <w:rStyle w:val="Textoennegrita"/>
          <w:b w:val="0"/>
          <w:i/>
          <w:color w:val="000000"/>
          <w:sz w:val="16"/>
          <w:szCs w:val="16"/>
          <w:shd w:val="clear" w:color="auto" w:fill="FFFFFF"/>
          <w:lang w:val="es-ES"/>
        </w:rPr>
        <w:t xml:space="preserve">Caso </w:t>
      </w:r>
      <w:proofErr w:type="spellStart"/>
      <w:r w:rsidRPr="00143D29">
        <w:rPr>
          <w:rStyle w:val="Textoennegrita"/>
          <w:b w:val="0"/>
          <w:i/>
          <w:color w:val="000000"/>
          <w:sz w:val="16"/>
          <w:szCs w:val="16"/>
          <w:shd w:val="clear" w:color="auto" w:fill="FFFFFF"/>
          <w:lang w:val="es-ES"/>
        </w:rPr>
        <w:t>Fornerón</w:t>
      </w:r>
      <w:proofErr w:type="spellEnd"/>
      <w:r w:rsidRPr="00143D29">
        <w:rPr>
          <w:rStyle w:val="Textoennegrita"/>
          <w:b w:val="0"/>
          <w:i/>
          <w:color w:val="000000"/>
          <w:sz w:val="16"/>
          <w:szCs w:val="16"/>
          <w:shd w:val="clear" w:color="auto" w:fill="FFFFFF"/>
          <w:lang w:val="es-ES"/>
        </w:rPr>
        <w:t xml:space="preserve"> e hija Vs. Argentina. Fondo, Reparaciones y Costas</w:t>
      </w:r>
      <w:r w:rsidRPr="00143D29">
        <w:rPr>
          <w:rStyle w:val="Textoennegrita"/>
          <w:b w:val="0"/>
          <w:color w:val="000000"/>
          <w:sz w:val="16"/>
          <w:szCs w:val="16"/>
          <w:shd w:val="clear" w:color="auto" w:fill="FFFFFF"/>
          <w:lang w:val="es-ES"/>
        </w:rPr>
        <w:t xml:space="preserve">. </w:t>
      </w:r>
      <w:r w:rsidRPr="00143D29">
        <w:rPr>
          <w:rStyle w:val="Textoennegrita"/>
          <w:b w:val="0"/>
          <w:color w:val="000000"/>
          <w:sz w:val="16"/>
          <w:szCs w:val="16"/>
          <w:shd w:val="clear" w:color="auto" w:fill="FFFFFF"/>
        </w:rPr>
        <w:t xml:space="preserve">Sentencia de 27 de abril de 2012. Serie C No. 242, párr. 44, y </w:t>
      </w:r>
      <w:r w:rsidRPr="00143D29">
        <w:rPr>
          <w:rStyle w:val="Textoennegrita"/>
          <w:b w:val="0"/>
          <w:i/>
          <w:color w:val="000000"/>
          <w:sz w:val="16"/>
          <w:shd w:val="clear" w:color="auto" w:fill="FFFFFF"/>
          <w:lang w:val="es-ES"/>
        </w:rPr>
        <w:t>Caso Comunidad Campesina de Santa Bárbara</w:t>
      </w:r>
      <w:r w:rsidRPr="00143D29">
        <w:rPr>
          <w:sz w:val="16"/>
          <w:szCs w:val="16"/>
          <w:lang w:val="es-ES"/>
        </w:rPr>
        <w:t xml:space="preserve">, párr. </w:t>
      </w:r>
      <w:proofErr w:type="gramStart"/>
      <w:r w:rsidRPr="00143D29">
        <w:rPr>
          <w:sz w:val="16"/>
          <w:szCs w:val="16"/>
          <w:lang w:val="es-ES"/>
        </w:rPr>
        <w:t>491</w:t>
      </w:r>
      <w:r w:rsidRPr="00143D29" w:rsidDel="009E6E31">
        <w:rPr>
          <w:i/>
          <w:sz w:val="16"/>
          <w:szCs w:val="16"/>
          <w:lang w:val="es-ES"/>
        </w:rPr>
        <w:t xml:space="preserve"> </w:t>
      </w:r>
      <w:r w:rsidRPr="00143D29">
        <w:rPr>
          <w:sz w:val="16"/>
          <w:szCs w:val="16"/>
          <w:lang w:val="es-ES"/>
        </w:rPr>
        <w:t>.</w:t>
      </w:r>
      <w:proofErr w:type="gramEnd"/>
    </w:p>
  </w:footnote>
  <w:footnote w:id="506">
    <w:p w14:paraId="35E48CE9" w14:textId="77777777" w:rsidR="00D4299B" w:rsidRPr="00143D29" w:rsidRDefault="00D4299B" w:rsidP="00D761C7">
      <w:pPr>
        <w:tabs>
          <w:tab w:val="clear" w:pos="4419"/>
          <w:tab w:val="clear" w:pos="8838"/>
          <w:tab w:val="right" w:pos="0"/>
          <w:tab w:val="left" w:pos="567"/>
          <w:tab w:val="left" w:pos="709"/>
        </w:tabs>
        <w:autoSpaceDE w:val="0"/>
        <w:autoSpaceDN w:val="0"/>
        <w:adjustRightInd w:val="0"/>
        <w:spacing w:after="20"/>
        <w:jc w:val="both"/>
        <w:rPr>
          <w:rFonts w:cs="Verdana"/>
          <w:sz w:val="16"/>
          <w:szCs w:val="16"/>
        </w:rPr>
      </w:pPr>
      <w:r w:rsidRPr="00143D29">
        <w:rPr>
          <w:rStyle w:val="Refdenotaalpie"/>
          <w:sz w:val="16"/>
          <w:szCs w:val="16"/>
        </w:rPr>
        <w:footnoteRef/>
      </w:r>
      <w:r w:rsidRPr="00143D29">
        <w:rPr>
          <w:sz w:val="16"/>
          <w:szCs w:val="16"/>
        </w:rPr>
        <w:t xml:space="preserve"> </w:t>
      </w:r>
      <w:r w:rsidRPr="00143D29">
        <w:rPr>
          <w:i/>
          <w:sz w:val="16"/>
          <w:szCs w:val="16"/>
        </w:rPr>
        <w:t xml:space="preserve">Cfr. </w:t>
      </w:r>
      <w:r w:rsidRPr="00143D29">
        <w:rPr>
          <w:i/>
          <w:sz w:val="16"/>
          <w:szCs w:val="16"/>
          <w:lang w:val="es-ES_tradnl"/>
        </w:rPr>
        <w:t xml:space="preserve">Caso Almonacid Arellano y otros Vs. Chile. Excepciones Preliminares, Fondo, Reparaciones y Costas. </w:t>
      </w:r>
      <w:r w:rsidRPr="00143D29">
        <w:rPr>
          <w:sz w:val="16"/>
          <w:szCs w:val="16"/>
          <w:lang w:val="es-ES_tradnl"/>
        </w:rPr>
        <w:t>Sentencia de 26 de septiembre de 2006. Serie C No. 154</w:t>
      </w:r>
      <w:r w:rsidRPr="00143D29">
        <w:rPr>
          <w:sz w:val="16"/>
          <w:szCs w:val="16"/>
        </w:rPr>
        <w:t xml:space="preserve">, párr. 124, y </w:t>
      </w:r>
      <w:r w:rsidRPr="00143D29">
        <w:rPr>
          <w:i/>
          <w:sz w:val="16"/>
          <w:szCs w:val="16"/>
        </w:rPr>
        <w:t>Caso</w:t>
      </w:r>
      <w:r w:rsidRPr="00143D29">
        <w:rPr>
          <w:sz w:val="16"/>
          <w:szCs w:val="16"/>
        </w:rPr>
        <w:t xml:space="preserve"> </w:t>
      </w:r>
      <w:r w:rsidRPr="00143D29">
        <w:rPr>
          <w:rStyle w:val="Textoennegrita"/>
          <w:b w:val="0"/>
          <w:i/>
          <w:color w:val="000000"/>
          <w:sz w:val="16"/>
          <w:szCs w:val="16"/>
          <w:shd w:val="clear" w:color="auto" w:fill="FFFFFF"/>
          <w:lang w:val="es-ES"/>
        </w:rPr>
        <w:t>Comunidad Garífuna de Punta Piedra y sus Miembros Vs. Honduras. Excepciones Preliminares, Fondo, Reparaciones y Costas</w:t>
      </w:r>
      <w:r w:rsidRPr="00143D29">
        <w:rPr>
          <w:rStyle w:val="Textoennegrita"/>
          <w:b w:val="0"/>
          <w:color w:val="000000"/>
          <w:sz w:val="16"/>
          <w:szCs w:val="16"/>
          <w:shd w:val="clear" w:color="auto" w:fill="FFFFFF"/>
          <w:lang w:val="es-ES"/>
        </w:rPr>
        <w:t>. Sentencia de 08 de octubre de 2015. Serie C No. 304</w:t>
      </w:r>
      <w:r w:rsidRPr="00143D29">
        <w:rPr>
          <w:bCs/>
          <w:i/>
          <w:sz w:val="16"/>
          <w:szCs w:val="16"/>
        </w:rPr>
        <w:t xml:space="preserve">, </w:t>
      </w:r>
      <w:r w:rsidRPr="00143D29">
        <w:rPr>
          <w:sz w:val="16"/>
          <w:szCs w:val="16"/>
        </w:rPr>
        <w:t>párr. 346.</w:t>
      </w:r>
    </w:p>
  </w:footnote>
  <w:footnote w:id="507">
    <w:p w14:paraId="1BFEA37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cs="Verdana"/>
          <w:i/>
          <w:iCs/>
          <w:lang w:val="es-ES"/>
        </w:rPr>
        <w:t>Caso Garrido y Baigorria. Reparaciones y Costas</w:t>
      </w:r>
      <w:r w:rsidRPr="00143D29">
        <w:rPr>
          <w:rFonts w:cs="Verdana"/>
          <w:lang w:val="es-ES"/>
        </w:rPr>
        <w:t xml:space="preserve">. </w:t>
      </w:r>
      <w:r w:rsidRPr="00143D29">
        <w:rPr>
          <w:rFonts w:cs="Arial"/>
          <w:lang w:val="es-ES"/>
        </w:rPr>
        <w:t xml:space="preserve">Sentencia de 27 de agosto de 1998. Serie C No. 39, párr. 68, </w:t>
      </w:r>
      <w:r w:rsidRPr="00143D29">
        <w:rPr>
          <w:lang w:val="es-ES"/>
        </w:rPr>
        <w:t xml:space="preserve">y </w:t>
      </w:r>
      <w:r w:rsidRPr="00143D29">
        <w:rPr>
          <w:rStyle w:val="Textoennegrita"/>
          <w:b w:val="0"/>
          <w:i/>
          <w:color w:val="000000"/>
          <w:shd w:val="clear" w:color="auto" w:fill="FFFFFF"/>
          <w:lang w:val="es-ES"/>
        </w:rPr>
        <w:t>Caso Maldonado Ordoñez</w:t>
      </w:r>
      <w:r w:rsidRPr="00143D29">
        <w:rPr>
          <w:rStyle w:val="Textoennegrita"/>
          <w:b w:val="0"/>
          <w:color w:val="000000"/>
          <w:shd w:val="clear" w:color="auto" w:fill="FFFFFF"/>
          <w:lang w:val="es-ES"/>
        </w:rPr>
        <w:t>, párr. 111.</w:t>
      </w:r>
    </w:p>
  </w:footnote>
  <w:footnote w:id="508">
    <w:p w14:paraId="12D2818C" w14:textId="77777777" w:rsidR="00D4299B" w:rsidRPr="00143D29" w:rsidRDefault="00D4299B" w:rsidP="00D761C7">
      <w:pPr>
        <w:pStyle w:val="Textonotapie"/>
        <w:tabs>
          <w:tab w:val="clear" w:pos="4419"/>
          <w:tab w:val="clear" w:pos="8838"/>
          <w:tab w:val="right" w:pos="0"/>
        </w:tabs>
        <w:spacing w:after="20"/>
        <w:rPr>
          <w:rFonts w:eastAsia="MS Mincho" w:cs="Arial"/>
          <w:lang w:val="es-ES"/>
        </w:rPr>
      </w:pPr>
      <w:r w:rsidRPr="00143D29">
        <w:rPr>
          <w:rStyle w:val="Refdenotaalpie"/>
          <w:szCs w:val="16"/>
        </w:rPr>
        <w:footnoteRef/>
      </w:r>
      <w:r w:rsidRPr="00143D29">
        <w:rPr>
          <w:lang w:val="es-ES"/>
        </w:rPr>
        <w:t xml:space="preserve"> </w:t>
      </w:r>
      <w:r w:rsidRPr="00143D29">
        <w:rPr>
          <w:i/>
          <w:lang w:val="es-ES"/>
        </w:rPr>
        <w:t>Cfr. Caso Garrido y Baigorria. Reparaciones y Costas</w:t>
      </w:r>
      <w:r w:rsidRPr="00143D29">
        <w:rPr>
          <w:lang w:val="es-ES"/>
        </w:rPr>
        <w:t>, párr. 68</w:t>
      </w:r>
      <w:r w:rsidRPr="00143D29">
        <w:rPr>
          <w:i/>
          <w:lang w:val="es-ES"/>
        </w:rPr>
        <w:t xml:space="preserve"> </w:t>
      </w:r>
      <w:r w:rsidRPr="00143D29">
        <w:rPr>
          <w:lang w:val="es-ES"/>
        </w:rPr>
        <w:t>y</w:t>
      </w:r>
      <w:r w:rsidRPr="00143D29">
        <w:rPr>
          <w:i/>
          <w:lang w:val="es-ES"/>
        </w:rPr>
        <w:t xml:space="preserve"> </w:t>
      </w:r>
      <w:r w:rsidRPr="00143D29">
        <w:rPr>
          <w:rStyle w:val="Textoennegrita"/>
          <w:b w:val="0"/>
          <w:i/>
          <w:color w:val="000000"/>
          <w:shd w:val="clear" w:color="auto" w:fill="FFFFFF"/>
          <w:lang w:val="es-ES"/>
        </w:rPr>
        <w:t>Caso Maldonado Ordoñez</w:t>
      </w:r>
      <w:r w:rsidRPr="00143D29">
        <w:rPr>
          <w:rStyle w:val="Textoennegrita"/>
          <w:b w:val="0"/>
          <w:color w:val="000000"/>
          <w:shd w:val="clear" w:color="auto" w:fill="FFFFFF"/>
          <w:lang w:val="es-ES"/>
        </w:rPr>
        <w:t>, párr. 111.</w:t>
      </w:r>
    </w:p>
  </w:footnote>
  <w:footnote w:id="509">
    <w:p w14:paraId="30C0A5DC"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w:t>
      </w:r>
      <w:r w:rsidRPr="00143D29">
        <w:rPr>
          <w:rFonts w:cs="Arial"/>
          <w:i/>
          <w:lang w:val="es-ES"/>
        </w:rPr>
        <w:t xml:space="preserve">Caso </w:t>
      </w:r>
      <w:proofErr w:type="spellStart"/>
      <w:r w:rsidRPr="00143D29">
        <w:rPr>
          <w:i/>
          <w:lang w:val="es-ES"/>
        </w:rPr>
        <w:t>Ivcher</w:t>
      </w:r>
      <w:proofErr w:type="spellEnd"/>
      <w:r w:rsidRPr="00143D29">
        <w:rPr>
          <w:i/>
          <w:lang w:val="es-ES"/>
        </w:rPr>
        <w:t xml:space="preserve"> </w:t>
      </w:r>
      <w:proofErr w:type="spellStart"/>
      <w:r w:rsidRPr="00143D29">
        <w:rPr>
          <w:i/>
          <w:lang w:val="es-ES"/>
        </w:rPr>
        <w:t>Bronstein</w:t>
      </w:r>
      <w:proofErr w:type="spellEnd"/>
      <w:r w:rsidRPr="00143D29">
        <w:rPr>
          <w:i/>
          <w:lang w:val="es-ES"/>
        </w:rPr>
        <w:t>.</w:t>
      </w:r>
      <w:r w:rsidRPr="00143D29">
        <w:rPr>
          <w:lang w:val="es-ES"/>
        </w:rPr>
        <w:t xml:space="preserve"> </w:t>
      </w:r>
      <w:r w:rsidRPr="00143D29">
        <w:rPr>
          <w:i/>
          <w:lang w:val="es-ES"/>
        </w:rPr>
        <w:t>Competencia.</w:t>
      </w:r>
      <w:r w:rsidRPr="00143D29">
        <w:rPr>
          <w:lang w:val="es-ES"/>
        </w:rPr>
        <w:t xml:space="preserve"> Sentencia de 24 de </w:t>
      </w:r>
      <w:proofErr w:type="gramStart"/>
      <w:r w:rsidRPr="00143D29">
        <w:rPr>
          <w:lang w:val="es-ES"/>
        </w:rPr>
        <w:t>Septiembre</w:t>
      </w:r>
      <w:proofErr w:type="gramEnd"/>
      <w:r w:rsidRPr="00143D29">
        <w:rPr>
          <w:lang w:val="es-ES"/>
        </w:rPr>
        <w:t xml:space="preserve"> de 1999. Serie C No. 54, párr. 37, y </w:t>
      </w:r>
      <w:r w:rsidRPr="00143D29">
        <w:rPr>
          <w:rStyle w:val="Textoennegrita"/>
          <w:b w:val="0"/>
          <w:i/>
          <w:color w:val="000000"/>
          <w:shd w:val="clear" w:color="auto" w:fill="FFFFFF"/>
          <w:lang w:val="es-ES"/>
        </w:rPr>
        <w:t>Caso Maldonado Ordoñez</w:t>
      </w:r>
      <w:r w:rsidRPr="00143D29">
        <w:rPr>
          <w:rStyle w:val="Textoennegrita"/>
          <w:b w:val="0"/>
          <w:color w:val="000000"/>
          <w:shd w:val="clear" w:color="auto" w:fill="FFFFFF"/>
          <w:lang w:val="es-ES"/>
        </w:rPr>
        <w:t>, párr. 111.</w:t>
      </w:r>
    </w:p>
  </w:footnote>
  <w:footnote w:id="510">
    <w:p w14:paraId="69A7C62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i/>
          <w:lang w:val="es-ES"/>
        </w:rPr>
        <w:t xml:space="preserve">Cfr. Caso Zambrano Vélez y otros Vs. Ecuador. </w:t>
      </w:r>
      <w:r w:rsidRPr="00143D29">
        <w:rPr>
          <w:rStyle w:val="Textoennegrita"/>
          <w:b w:val="0"/>
          <w:i/>
          <w:lang w:val="es-ES"/>
        </w:rPr>
        <w:t>Fondo, Reparaciones y Costas</w:t>
      </w:r>
      <w:r w:rsidRPr="00143D29">
        <w:rPr>
          <w:rStyle w:val="Textoennegrita"/>
          <w:b w:val="0"/>
          <w:lang w:val="es-ES"/>
        </w:rPr>
        <w:t>. Sentencia de 4 de julio de 2007. Serie C No. 166</w:t>
      </w:r>
      <w:r w:rsidRPr="00143D29">
        <w:rPr>
          <w:rStyle w:val="Textoennegrita"/>
          <w:b w:val="0"/>
          <w:i/>
          <w:lang w:val="es-ES"/>
        </w:rPr>
        <w:t>,</w:t>
      </w:r>
      <w:r w:rsidRPr="00143D29">
        <w:rPr>
          <w:i/>
          <w:lang w:val="es-ES"/>
        </w:rPr>
        <w:t xml:space="preserve"> </w:t>
      </w:r>
      <w:r w:rsidRPr="00143D29">
        <w:rPr>
          <w:lang w:val="es-ES"/>
        </w:rPr>
        <w:t>párr. 56</w:t>
      </w:r>
      <w:r w:rsidRPr="00143D29">
        <w:rPr>
          <w:rFonts w:cs="Arial"/>
          <w:lang w:val="es-ES"/>
        </w:rPr>
        <w:t xml:space="preserve">, y </w:t>
      </w:r>
      <w:r w:rsidRPr="00143D29">
        <w:rPr>
          <w:rStyle w:val="Textoennegrita"/>
          <w:b w:val="0"/>
          <w:i/>
          <w:color w:val="000000"/>
          <w:shd w:val="clear" w:color="auto" w:fill="FFFFFF"/>
          <w:lang w:val="es-ES"/>
        </w:rPr>
        <w:t>Caso Maldonado Ordoñez</w:t>
      </w:r>
      <w:r w:rsidRPr="00143D29">
        <w:rPr>
          <w:rStyle w:val="Textoennegrita"/>
          <w:b w:val="0"/>
          <w:color w:val="000000"/>
          <w:shd w:val="clear" w:color="auto" w:fill="FFFFFF"/>
          <w:lang w:val="es-ES"/>
        </w:rPr>
        <w:t>, párr. 111.</w:t>
      </w:r>
    </w:p>
  </w:footnote>
  <w:footnote w:id="511">
    <w:p w14:paraId="6468DEB1" w14:textId="77777777" w:rsidR="00D4299B" w:rsidRPr="00143D29" w:rsidRDefault="00D4299B" w:rsidP="00D761C7">
      <w:pPr>
        <w:pStyle w:val="Textonotapie"/>
        <w:tabs>
          <w:tab w:val="clear" w:pos="4419"/>
          <w:tab w:val="clear" w:pos="8838"/>
          <w:tab w:val="right" w:pos="0"/>
        </w:tabs>
        <w:spacing w:after="20"/>
        <w:rPr>
          <w:rFonts w:eastAsia="MS Mincho" w:cs="Arial"/>
          <w:lang w:val="es-ES"/>
        </w:rPr>
      </w:pPr>
      <w:r w:rsidRPr="00143D29">
        <w:rPr>
          <w:rStyle w:val="Refdenotaalpie"/>
          <w:szCs w:val="16"/>
        </w:rPr>
        <w:footnoteRef/>
      </w:r>
      <w:r w:rsidRPr="00143D29">
        <w:rPr>
          <w:lang w:val="es-ES"/>
        </w:rPr>
        <w:t xml:space="preserve"> </w:t>
      </w:r>
      <w:r w:rsidRPr="00143D29">
        <w:rPr>
          <w:i/>
          <w:lang w:val="es-ES"/>
        </w:rPr>
        <w:t>Cfr. Caso Zambrano Vélez y otros</w:t>
      </w:r>
      <w:r w:rsidRPr="00143D29">
        <w:rPr>
          <w:rStyle w:val="Textoennegrita"/>
          <w:b w:val="0"/>
          <w:i/>
          <w:lang w:val="es-ES"/>
        </w:rPr>
        <w:t>,</w:t>
      </w:r>
      <w:r w:rsidRPr="00143D29">
        <w:rPr>
          <w:i/>
          <w:lang w:val="es-ES"/>
        </w:rPr>
        <w:t xml:space="preserve"> </w:t>
      </w:r>
      <w:r w:rsidRPr="00143D29">
        <w:rPr>
          <w:lang w:val="es-ES"/>
        </w:rPr>
        <w:t>párr. 56,</w:t>
      </w:r>
      <w:r w:rsidRPr="00143D29">
        <w:rPr>
          <w:i/>
          <w:lang w:val="es-ES"/>
        </w:rPr>
        <w:t xml:space="preserve"> y </w:t>
      </w:r>
      <w:r w:rsidRPr="00143D29">
        <w:rPr>
          <w:rStyle w:val="Textoennegrita"/>
          <w:b w:val="0"/>
          <w:i/>
          <w:color w:val="000000"/>
          <w:shd w:val="clear" w:color="auto" w:fill="FFFFFF"/>
          <w:lang w:val="es-ES"/>
        </w:rPr>
        <w:t>Caso Maldonado Ordoñez</w:t>
      </w:r>
      <w:r w:rsidRPr="00143D29">
        <w:rPr>
          <w:rStyle w:val="Textoennegrita"/>
          <w:b w:val="0"/>
          <w:color w:val="000000"/>
          <w:shd w:val="clear" w:color="auto" w:fill="FFFFFF"/>
          <w:lang w:val="es-ES"/>
        </w:rPr>
        <w:t>, párr. 111</w:t>
      </w:r>
      <w:r w:rsidRPr="00143D29">
        <w:rPr>
          <w:i/>
          <w:lang w:val="es-ES"/>
        </w:rPr>
        <w:t>.</w:t>
      </w:r>
    </w:p>
  </w:footnote>
  <w:footnote w:id="512">
    <w:p w14:paraId="26340C10" w14:textId="77777777" w:rsidR="00D4299B" w:rsidRPr="00143D29" w:rsidRDefault="00D4299B" w:rsidP="00D761C7">
      <w:pPr>
        <w:tabs>
          <w:tab w:val="clear" w:pos="4419"/>
          <w:tab w:val="clear" w:pos="8838"/>
          <w:tab w:val="right" w:pos="0"/>
        </w:tabs>
        <w:autoSpaceDE w:val="0"/>
        <w:autoSpaceDN w:val="0"/>
        <w:adjustRightInd w:val="0"/>
        <w:spacing w:after="20"/>
        <w:jc w:val="both"/>
        <w:rPr>
          <w:rFonts w:cs="Arial"/>
          <w:sz w:val="16"/>
          <w:szCs w:val="16"/>
          <w:lang w:val="es-ES"/>
        </w:rPr>
      </w:pPr>
      <w:r w:rsidRPr="00143D29">
        <w:rPr>
          <w:rStyle w:val="Refdenotaalpie"/>
          <w:sz w:val="16"/>
          <w:szCs w:val="16"/>
        </w:rPr>
        <w:footnoteRef/>
      </w:r>
      <w:r w:rsidRPr="00143D29">
        <w:rPr>
          <w:sz w:val="16"/>
          <w:szCs w:val="16"/>
        </w:rPr>
        <w:t xml:space="preserve"> </w:t>
      </w:r>
      <w:r w:rsidRPr="00143D29">
        <w:rPr>
          <w:i/>
          <w:sz w:val="16"/>
          <w:szCs w:val="16"/>
        </w:rPr>
        <w:t>Cfr.</w:t>
      </w:r>
      <w:r w:rsidRPr="00143D29">
        <w:rPr>
          <w:sz w:val="16"/>
          <w:szCs w:val="16"/>
        </w:rPr>
        <w:t xml:space="preserve"> </w:t>
      </w:r>
      <w:r w:rsidRPr="00143D29">
        <w:rPr>
          <w:rFonts w:cs="Arial"/>
          <w:i/>
          <w:iCs/>
          <w:sz w:val="16"/>
          <w:szCs w:val="16"/>
          <w:lang w:val="es-ES"/>
        </w:rPr>
        <w:t xml:space="preserve">Caso Barrios Altos Vs. Perú. Fondo. </w:t>
      </w:r>
      <w:r w:rsidRPr="00143D29">
        <w:rPr>
          <w:rFonts w:cs="Arial"/>
          <w:sz w:val="16"/>
          <w:szCs w:val="16"/>
          <w:lang w:val="es-ES"/>
        </w:rPr>
        <w:t xml:space="preserve">Sentencia de 14 de marzo de 2001. Serie C No. 75, párr. 41; </w:t>
      </w:r>
      <w:r w:rsidRPr="00143D29">
        <w:rPr>
          <w:rFonts w:cs="Arial"/>
          <w:i/>
          <w:iCs/>
          <w:sz w:val="16"/>
          <w:szCs w:val="16"/>
          <w:lang w:val="es-ES"/>
        </w:rPr>
        <w:t>Caso Almonacid Arellano</w:t>
      </w:r>
      <w:r w:rsidRPr="00143D29">
        <w:rPr>
          <w:rFonts w:cs="Arial"/>
          <w:sz w:val="16"/>
          <w:szCs w:val="16"/>
          <w:lang w:val="es-ES"/>
        </w:rPr>
        <w:t>, párr. 110.</w:t>
      </w:r>
    </w:p>
  </w:footnote>
  <w:footnote w:id="513">
    <w:p w14:paraId="35BF7A89"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rStyle w:val="Textoennegrita"/>
          <w:b w:val="0"/>
          <w:i/>
          <w:color w:val="000000"/>
          <w:shd w:val="clear" w:color="auto" w:fill="FFFFFF"/>
          <w:lang w:val="es-ES"/>
        </w:rPr>
        <w:t>Caso de la Masacre de La Rochela Vs. Colombia. Fondo, Reparaciones y Costas</w:t>
      </w:r>
      <w:r w:rsidRPr="00143D29">
        <w:rPr>
          <w:rStyle w:val="Textoennegrita"/>
          <w:b w:val="0"/>
          <w:color w:val="000000"/>
          <w:shd w:val="clear" w:color="auto" w:fill="FFFFFF"/>
          <w:lang w:val="es-ES"/>
        </w:rPr>
        <w:t>. Sentencia de 11 de mayo de 2007. Serie C No. 163, párr. 193.</w:t>
      </w:r>
    </w:p>
  </w:footnote>
  <w:footnote w:id="514">
    <w:p w14:paraId="0DCCA08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rFonts w:cs="Arial"/>
          <w:bCs/>
          <w:i/>
          <w:lang w:val="es-CR"/>
        </w:rPr>
        <w:t>Condición jurídica y derechos de los migrantes indocumentados</w:t>
      </w:r>
      <w:r w:rsidRPr="00143D29">
        <w:rPr>
          <w:rFonts w:cs="Arial"/>
          <w:i/>
          <w:iCs/>
          <w:lang w:val="es-ES"/>
        </w:rPr>
        <w:t xml:space="preserve">, </w:t>
      </w:r>
      <w:r w:rsidRPr="00143D29">
        <w:rPr>
          <w:rFonts w:cs="Arial"/>
          <w:lang w:val="es-ES"/>
        </w:rPr>
        <w:t xml:space="preserve">párr. 85; </w:t>
      </w:r>
      <w:r w:rsidRPr="00143D29">
        <w:rPr>
          <w:lang w:val="es-ES"/>
        </w:rPr>
        <w:t xml:space="preserve">y </w:t>
      </w:r>
      <w:r w:rsidRPr="00143D29">
        <w:rPr>
          <w:i/>
          <w:lang w:val="es-ES"/>
        </w:rPr>
        <w:t>Caso Duque,</w:t>
      </w:r>
      <w:r w:rsidRPr="00143D29">
        <w:rPr>
          <w:lang w:val="es-ES"/>
        </w:rPr>
        <w:t xml:space="preserve"> párr. 93.</w:t>
      </w:r>
    </w:p>
  </w:footnote>
  <w:footnote w:id="515">
    <w:p w14:paraId="7E363A51" w14:textId="77777777" w:rsidR="00D4299B" w:rsidRPr="00143D29" w:rsidRDefault="00D4299B" w:rsidP="00D761C7">
      <w:pPr>
        <w:pStyle w:val="Textonotapie"/>
        <w:tabs>
          <w:tab w:val="clear" w:pos="4419"/>
          <w:tab w:val="clear" w:pos="8838"/>
          <w:tab w:val="right" w:pos="0"/>
        </w:tabs>
        <w:spacing w:after="20"/>
        <w:rPr>
          <w:lang w:val="es-ES"/>
        </w:rPr>
      </w:pPr>
      <w:r w:rsidRPr="00143D29">
        <w:rPr>
          <w:rStyle w:val="Refdenotaalpie"/>
          <w:szCs w:val="16"/>
        </w:rPr>
        <w:footnoteRef/>
      </w:r>
      <w:r w:rsidRPr="00143D29">
        <w:rPr>
          <w:lang w:val="es-ES"/>
        </w:rPr>
        <w:t xml:space="preserve"> </w:t>
      </w:r>
      <w:r w:rsidRPr="00143D29">
        <w:rPr>
          <w:rFonts w:cs="Arial"/>
          <w:bCs/>
          <w:i/>
          <w:lang w:val="es-CR"/>
        </w:rPr>
        <w:t>Condición jurídica y derechos de los migrantes indocumentados</w:t>
      </w:r>
      <w:r w:rsidRPr="00143D29">
        <w:rPr>
          <w:rFonts w:cs="Arial"/>
          <w:i/>
          <w:iCs/>
          <w:lang w:val="es-ES"/>
        </w:rPr>
        <w:t xml:space="preserve">, </w:t>
      </w:r>
      <w:r w:rsidRPr="00143D29">
        <w:rPr>
          <w:rFonts w:cs="Arial"/>
          <w:lang w:val="es-ES"/>
        </w:rPr>
        <w:t xml:space="preserve">párr. 101; </w:t>
      </w:r>
      <w:r w:rsidRPr="00143D29">
        <w:rPr>
          <w:lang w:val="es-ES"/>
        </w:rPr>
        <w:t xml:space="preserve">y </w:t>
      </w:r>
      <w:r w:rsidRPr="00143D29">
        <w:rPr>
          <w:i/>
          <w:lang w:val="es-ES"/>
        </w:rPr>
        <w:t>Caso Duque,</w:t>
      </w:r>
      <w:r w:rsidRPr="00143D29">
        <w:rPr>
          <w:lang w:val="es-ES"/>
        </w:rPr>
        <w:t xml:space="preserve"> párr. 91.</w:t>
      </w:r>
    </w:p>
  </w:footnote>
  <w:footnote w:id="516">
    <w:p w14:paraId="0168443E" w14:textId="77777777" w:rsidR="00D4299B" w:rsidRPr="00143D29" w:rsidRDefault="00D4299B" w:rsidP="00D761C7">
      <w:pPr>
        <w:spacing w:after="20"/>
        <w:jc w:val="both"/>
        <w:rPr>
          <w:b/>
          <w:lang w:val="es-ES"/>
        </w:rPr>
      </w:pPr>
      <w:r w:rsidRPr="00143D29">
        <w:rPr>
          <w:rStyle w:val="Refdenotaalpie"/>
          <w:sz w:val="16"/>
          <w:szCs w:val="16"/>
          <w:lang w:val="es-PR"/>
        </w:rPr>
        <w:footnoteRef/>
      </w:r>
      <w:r w:rsidRPr="00143D29">
        <w:rPr>
          <w:sz w:val="16"/>
          <w:szCs w:val="16"/>
          <w:lang w:val="es-PR"/>
        </w:rPr>
        <w:t xml:space="preserve"> </w:t>
      </w:r>
      <w:r w:rsidRPr="00143D29">
        <w:rPr>
          <w:i/>
          <w:sz w:val="16"/>
          <w:szCs w:val="16"/>
        </w:rPr>
        <w:t xml:space="preserve">Cfr. Caso Radilla Pacheco Vs. México. </w:t>
      </w:r>
      <w:r w:rsidRPr="00143D29">
        <w:rPr>
          <w:rStyle w:val="Textoennegrita"/>
          <w:b w:val="0"/>
          <w:i/>
          <w:color w:val="000000"/>
          <w:sz w:val="16"/>
          <w:szCs w:val="16"/>
          <w:shd w:val="clear" w:color="auto" w:fill="FFFFFF"/>
          <w:lang w:val="es-ES"/>
        </w:rPr>
        <w:t>Excepciones Preliminares, Fondo, Reparaciones y Costas</w:t>
      </w:r>
      <w:r w:rsidRPr="00143D29">
        <w:rPr>
          <w:rStyle w:val="Textoennegrita"/>
          <w:b w:val="0"/>
          <w:color w:val="000000"/>
          <w:sz w:val="16"/>
          <w:szCs w:val="16"/>
          <w:shd w:val="clear" w:color="auto" w:fill="FFFFFF"/>
          <w:lang w:val="es-ES"/>
        </w:rPr>
        <w:t xml:space="preserve">. </w:t>
      </w:r>
      <w:r w:rsidRPr="00143D29">
        <w:rPr>
          <w:rStyle w:val="Textoennegrita"/>
          <w:b w:val="0"/>
          <w:color w:val="000000"/>
          <w:sz w:val="16"/>
          <w:szCs w:val="16"/>
          <w:shd w:val="clear" w:color="auto" w:fill="FFFFFF"/>
        </w:rPr>
        <w:t>Sentencia de 23 de noviembre de 2009. Serie C No. 209</w:t>
      </w:r>
      <w:r w:rsidRPr="00143D29">
        <w:rPr>
          <w:i/>
          <w:sz w:val="16"/>
          <w:szCs w:val="16"/>
        </w:rPr>
        <w:t xml:space="preserve">, </w:t>
      </w:r>
      <w:r w:rsidRPr="00143D29">
        <w:rPr>
          <w:sz w:val="16"/>
          <w:szCs w:val="16"/>
        </w:rPr>
        <w:t>párr. 145, y</w:t>
      </w:r>
      <w:r w:rsidRPr="00143D29">
        <w:rPr>
          <w:rStyle w:val="Textoennegrita"/>
          <w:color w:val="000000"/>
          <w:sz w:val="16"/>
          <w:szCs w:val="16"/>
          <w:shd w:val="clear" w:color="auto" w:fill="FFFFFF"/>
          <w:lang w:val="es-PR"/>
        </w:rPr>
        <w:t xml:space="preserve"> </w:t>
      </w:r>
      <w:r w:rsidRPr="00143D29">
        <w:rPr>
          <w:i/>
          <w:sz w:val="16"/>
          <w:szCs w:val="16"/>
        </w:rPr>
        <w:t xml:space="preserve">Caso Comunidad Campesina de Santa Bárbara, </w:t>
      </w:r>
      <w:r w:rsidRPr="00143D29">
        <w:rPr>
          <w:sz w:val="16"/>
          <w:szCs w:val="16"/>
        </w:rPr>
        <w:t>párr. 161.</w:t>
      </w:r>
    </w:p>
  </w:footnote>
  <w:footnote w:id="517">
    <w:p w14:paraId="180EBA18" w14:textId="77777777" w:rsidR="00D4299B" w:rsidRPr="00143D29" w:rsidRDefault="00D4299B" w:rsidP="00D761C7">
      <w:pPr>
        <w:spacing w:after="20"/>
        <w:jc w:val="both"/>
        <w:rPr>
          <w:b/>
          <w:lang w:val="es-ES"/>
        </w:rPr>
      </w:pPr>
      <w:r w:rsidRPr="00143D29">
        <w:rPr>
          <w:rStyle w:val="Refdenotaalpie"/>
          <w:sz w:val="16"/>
          <w:szCs w:val="16"/>
        </w:rPr>
        <w:footnoteRef/>
      </w:r>
      <w:r w:rsidRPr="00143D29">
        <w:rPr>
          <w:sz w:val="16"/>
          <w:szCs w:val="16"/>
        </w:rPr>
        <w:t xml:space="preserve"> </w:t>
      </w:r>
      <w:r w:rsidRPr="00143D29">
        <w:rPr>
          <w:i/>
          <w:sz w:val="16"/>
          <w:szCs w:val="16"/>
        </w:rPr>
        <w:t xml:space="preserve">Cfr. Caso González y otras (“Campo Algodonero”) Vs. México. </w:t>
      </w:r>
      <w:r w:rsidRPr="00143D29">
        <w:rPr>
          <w:rStyle w:val="Textoennegrita"/>
          <w:b w:val="0"/>
          <w:i/>
          <w:color w:val="000000"/>
          <w:sz w:val="16"/>
          <w:szCs w:val="16"/>
          <w:shd w:val="clear" w:color="auto" w:fill="FFFFFF"/>
          <w:lang w:val="es-ES"/>
        </w:rPr>
        <w:t>Excepción Preliminar, Fondo, Reparaciones y Costas</w:t>
      </w:r>
      <w:r w:rsidRPr="00143D29">
        <w:rPr>
          <w:rStyle w:val="Textoennegrita"/>
          <w:b w:val="0"/>
          <w:color w:val="000000"/>
          <w:sz w:val="16"/>
          <w:szCs w:val="16"/>
          <w:shd w:val="clear" w:color="auto" w:fill="FFFFFF"/>
          <w:lang w:val="es-ES"/>
        </w:rPr>
        <w:t>. Sentencia de 16 de noviembre de 2009. Serie C No. 205</w:t>
      </w:r>
      <w:r w:rsidRPr="00143D29">
        <w:rPr>
          <w:i/>
          <w:sz w:val="16"/>
          <w:szCs w:val="16"/>
        </w:rPr>
        <w:t xml:space="preserve">, </w:t>
      </w:r>
      <w:r w:rsidRPr="00143D29">
        <w:rPr>
          <w:sz w:val="16"/>
          <w:szCs w:val="16"/>
        </w:rPr>
        <w:t xml:space="preserve">párr. 283, y </w:t>
      </w:r>
      <w:r w:rsidRPr="00143D29">
        <w:rPr>
          <w:i/>
          <w:sz w:val="16"/>
          <w:szCs w:val="16"/>
        </w:rPr>
        <w:t xml:space="preserve">Caso Velásquez Paiz y otros, </w:t>
      </w:r>
      <w:r w:rsidRPr="00143D29">
        <w:rPr>
          <w:sz w:val="16"/>
          <w:szCs w:val="16"/>
        </w:rPr>
        <w:t>párr. 122.</w:t>
      </w:r>
    </w:p>
  </w:footnote>
  <w:footnote w:id="518">
    <w:p w14:paraId="0805EDB6" w14:textId="77777777" w:rsidR="00D4299B" w:rsidRPr="00143D29" w:rsidRDefault="00D4299B" w:rsidP="00D761C7">
      <w:pPr>
        <w:pStyle w:val="Textonotapie"/>
        <w:spacing w:after="20"/>
        <w:rPr>
          <w:lang w:val="es-CR"/>
        </w:rPr>
      </w:pPr>
      <w:r w:rsidRPr="00143D29">
        <w:rPr>
          <w:rStyle w:val="Refdenotaalpie"/>
          <w:rFonts w:eastAsia="Calibri"/>
          <w:szCs w:val="16"/>
        </w:rPr>
        <w:footnoteRef/>
      </w:r>
      <w:r w:rsidRPr="00143D29">
        <w:rPr>
          <w:lang w:val="es-ES"/>
        </w:rPr>
        <w:t xml:space="preserve"> </w:t>
      </w:r>
      <w:r w:rsidRPr="00143D29">
        <w:rPr>
          <w:lang w:val="es-CR"/>
        </w:rPr>
        <w:t>El artículo 63.1 de la Convención Americana establece que: “[c]</w:t>
      </w:r>
      <w:proofErr w:type="spellStart"/>
      <w:r w:rsidRPr="00143D29">
        <w:rPr>
          <w:lang w:val="es-CR"/>
        </w:rPr>
        <w:t>uando</w:t>
      </w:r>
      <w:proofErr w:type="spellEnd"/>
      <w:r w:rsidRPr="00143D29">
        <w:rPr>
          <w:lang w:val="es-CR"/>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519">
    <w:p w14:paraId="667D0691" w14:textId="77777777" w:rsidR="00D4299B" w:rsidRPr="00143D29" w:rsidRDefault="00D4299B" w:rsidP="00D761C7">
      <w:pPr>
        <w:pStyle w:val="Textonotapie"/>
        <w:spacing w:after="20"/>
        <w:rPr>
          <w:lang w:val="es-ES"/>
        </w:rPr>
      </w:pPr>
      <w:r w:rsidRPr="00143D29">
        <w:rPr>
          <w:rStyle w:val="Refdenotaalpie"/>
          <w:rFonts w:eastAsia="Calibri"/>
          <w:szCs w:val="16"/>
        </w:rPr>
        <w:footnoteRef/>
      </w:r>
      <w:r w:rsidRPr="00143D29">
        <w:rPr>
          <w:lang w:val="es-ES"/>
        </w:rPr>
        <w:t xml:space="preserve"> </w:t>
      </w:r>
      <w:r w:rsidRPr="00143D29">
        <w:rPr>
          <w:i/>
          <w:lang w:val="es-ES"/>
        </w:rPr>
        <w:t>Cfr. Caso Velásquez Rodríguez Vs. Hondur</w:t>
      </w:r>
      <w:r w:rsidRPr="00143D29">
        <w:rPr>
          <w:lang w:val="es-ES"/>
        </w:rPr>
        <w:t xml:space="preserve">as. </w:t>
      </w:r>
      <w:r w:rsidRPr="00143D29">
        <w:rPr>
          <w:i/>
          <w:lang w:val="es-ES"/>
        </w:rPr>
        <w:t>Reparaciones y Costas</w:t>
      </w:r>
      <w:r w:rsidRPr="00143D29">
        <w:rPr>
          <w:lang w:val="es-ES"/>
        </w:rPr>
        <w:t xml:space="preserve">. Sentencia de 21 de julio de 1989. Serie C No. </w:t>
      </w:r>
      <w:proofErr w:type="gramStart"/>
      <w:r w:rsidRPr="00143D29">
        <w:rPr>
          <w:lang w:val="es-ES"/>
        </w:rPr>
        <w:t>7,  párr.</w:t>
      </w:r>
      <w:proofErr w:type="gramEnd"/>
      <w:r w:rsidRPr="00143D29">
        <w:rPr>
          <w:lang w:val="es-ES"/>
        </w:rPr>
        <w:t xml:space="preserve"> 25, y </w:t>
      </w:r>
      <w:r w:rsidRPr="00143D29">
        <w:rPr>
          <w:rStyle w:val="Textoennegrita"/>
          <w:b w:val="0"/>
          <w:i/>
          <w:color w:val="000000"/>
          <w:shd w:val="clear" w:color="auto" w:fill="FFFFFF"/>
          <w:lang w:val="es-ES"/>
        </w:rPr>
        <w:t>Caso Herrera Espinoza y otros</w:t>
      </w:r>
      <w:r w:rsidRPr="00143D29">
        <w:rPr>
          <w:color w:val="000000"/>
          <w:lang w:val="es-ES"/>
        </w:rPr>
        <w:t xml:space="preserve">, </w:t>
      </w:r>
      <w:r w:rsidRPr="00143D29">
        <w:rPr>
          <w:lang w:val="es-ES"/>
        </w:rPr>
        <w:t>párr. 210.</w:t>
      </w:r>
    </w:p>
  </w:footnote>
  <w:footnote w:id="520">
    <w:p w14:paraId="6571C7A5" w14:textId="77777777" w:rsidR="00D4299B" w:rsidRPr="00143D29" w:rsidRDefault="00D4299B" w:rsidP="00D761C7">
      <w:pPr>
        <w:pStyle w:val="Textonotapie"/>
        <w:spacing w:after="20"/>
        <w:rPr>
          <w:lang w:val="es-ES"/>
        </w:rPr>
      </w:pPr>
      <w:r w:rsidRPr="00143D29">
        <w:rPr>
          <w:rStyle w:val="Refdenotaalpie"/>
          <w:rFonts w:eastAsia="Calibri"/>
          <w:szCs w:val="16"/>
        </w:rPr>
        <w:footnoteRef/>
      </w:r>
      <w:r w:rsidRPr="00143D29">
        <w:rPr>
          <w:lang w:val="es-ES"/>
        </w:rPr>
        <w:t xml:space="preserve"> </w:t>
      </w:r>
      <w:r w:rsidRPr="00143D29">
        <w:rPr>
          <w:i/>
          <w:lang w:val="es-ES"/>
        </w:rPr>
        <w:t>Cfr. Caso Velásquez Rodríguez Vs. Honduras. Reparaciones y Costas</w:t>
      </w:r>
      <w:r w:rsidRPr="00143D29">
        <w:rPr>
          <w:lang w:val="es-ES"/>
        </w:rPr>
        <w:t xml:space="preserve">, párr. 25, y </w:t>
      </w:r>
      <w:r w:rsidRPr="00143D29">
        <w:rPr>
          <w:rStyle w:val="Textoennegrita"/>
          <w:b w:val="0"/>
          <w:i/>
          <w:color w:val="000000"/>
          <w:shd w:val="clear" w:color="auto" w:fill="FFFFFF"/>
          <w:lang w:val="es-ES"/>
        </w:rPr>
        <w:t>Caso Herrera Espinoza y otros</w:t>
      </w:r>
      <w:r w:rsidRPr="00143D29">
        <w:rPr>
          <w:color w:val="000000"/>
          <w:lang w:val="es-ES"/>
        </w:rPr>
        <w:t xml:space="preserve">, </w:t>
      </w:r>
      <w:r w:rsidRPr="00143D29">
        <w:rPr>
          <w:lang w:val="es-ES"/>
        </w:rPr>
        <w:t>párr. 210.</w:t>
      </w:r>
    </w:p>
  </w:footnote>
  <w:footnote w:id="521">
    <w:p w14:paraId="5904FABA" w14:textId="77777777" w:rsidR="00D4299B" w:rsidRPr="00143D29" w:rsidRDefault="00D4299B" w:rsidP="00D761C7">
      <w:pPr>
        <w:tabs>
          <w:tab w:val="left" w:pos="567"/>
        </w:tabs>
        <w:spacing w:after="20"/>
        <w:ind w:right="-90"/>
        <w:jc w:val="both"/>
        <w:rPr>
          <w:sz w:val="16"/>
          <w:szCs w:val="16"/>
        </w:rPr>
      </w:pPr>
      <w:r w:rsidRPr="00143D29">
        <w:rPr>
          <w:rStyle w:val="Refdenotaalpie"/>
          <w:rFonts w:eastAsia="MS Mincho"/>
          <w:sz w:val="16"/>
          <w:szCs w:val="16"/>
        </w:rPr>
        <w:footnoteRef/>
      </w:r>
      <w:r w:rsidRPr="00143D29">
        <w:rPr>
          <w:sz w:val="16"/>
          <w:szCs w:val="16"/>
        </w:rPr>
        <w:t xml:space="preserve"> </w:t>
      </w:r>
      <w:r w:rsidRPr="00143D29">
        <w:rPr>
          <w:i/>
          <w:iCs/>
          <w:sz w:val="16"/>
          <w:szCs w:val="16"/>
          <w:lang w:val="es-ES"/>
        </w:rPr>
        <w:t xml:space="preserve">Cfr. Caso Velásquez Rodríguez Vs. Honduras. </w:t>
      </w:r>
      <w:r w:rsidRPr="00143D29">
        <w:rPr>
          <w:i/>
          <w:iCs/>
          <w:sz w:val="16"/>
          <w:szCs w:val="16"/>
        </w:rPr>
        <w:t xml:space="preserve">Reparaciones y Costas, </w:t>
      </w:r>
      <w:r w:rsidRPr="00143D29">
        <w:rPr>
          <w:iCs/>
          <w:sz w:val="16"/>
          <w:szCs w:val="16"/>
          <w:lang w:val="es-ES"/>
        </w:rPr>
        <w:t>párr. 26</w:t>
      </w:r>
      <w:r w:rsidRPr="00143D29">
        <w:rPr>
          <w:rFonts w:cs="Calibri"/>
          <w:sz w:val="16"/>
          <w:szCs w:val="16"/>
          <w:lang w:val="es-ES"/>
        </w:rPr>
        <w:t xml:space="preserve">, y </w:t>
      </w:r>
      <w:r w:rsidRPr="00143D29">
        <w:rPr>
          <w:rStyle w:val="Textoennegrita"/>
          <w:b w:val="0"/>
          <w:i/>
          <w:color w:val="000000"/>
          <w:sz w:val="16"/>
          <w:szCs w:val="16"/>
          <w:shd w:val="clear" w:color="auto" w:fill="FFFFFF"/>
          <w:lang w:val="es-ES"/>
        </w:rPr>
        <w:t>Caso Herrera Espinoza y otros</w:t>
      </w:r>
      <w:r w:rsidRPr="00143D29">
        <w:rPr>
          <w:color w:val="000000"/>
          <w:sz w:val="16"/>
          <w:szCs w:val="16"/>
        </w:rPr>
        <w:t>,</w:t>
      </w:r>
      <w:r w:rsidRPr="00143D29">
        <w:rPr>
          <w:b/>
          <w:color w:val="000000"/>
          <w:sz w:val="16"/>
          <w:szCs w:val="16"/>
        </w:rPr>
        <w:t xml:space="preserve"> </w:t>
      </w:r>
      <w:r w:rsidRPr="00143D29">
        <w:rPr>
          <w:sz w:val="16"/>
          <w:szCs w:val="16"/>
        </w:rPr>
        <w:t>párr. 210</w:t>
      </w:r>
      <w:r w:rsidRPr="00143D29">
        <w:rPr>
          <w:rFonts w:cs="Calibri"/>
          <w:sz w:val="16"/>
          <w:szCs w:val="16"/>
          <w:lang w:val="es-ES"/>
        </w:rPr>
        <w:t>.</w:t>
      </w:r>
    </w:p>
  </w:footnote>
  <w:footnote w:id="522">
    <w:p w14:paraId="2F13A017" w14:textId="77777777" w:rsidR="00D4299B" w:rsidRPr="00143D29" w:rsidRDefault="00D4299B" w:rsidP="00D761C7">
      <w:pPr>
        <w:pStyle w:val="Textonotapie"/>
        <w:tabs>
          <w:tab w:val="left" w:pos="720"/>
        </w:tabs>
        <w:spacing w:after="20"/>
        <w:ind w:right="-90"/>
        <w:rPr>
          <w:bCs/>
          <w:i/>
          <w:lang w:val="es-ES"/>
        </w:rPr>
      </w:pPr>
      <w:r w:rsidRPr="00143D29">
        <w:rPr>
          <w:rStyle w:val="Refdenotaalpie"/>
          <w:rFonts w:eastAsia="Calibri"/>
          <w:szCs w:val="16"/>
        </w:rPr>
        <w:footnoteRef/>
      </w:r>
      <w:r w:rsidRPr="00143D29">
        <w:rPr>
          <w:i/>
          <w:lang w:val="es-ES"/>
        </w:rPr>
        <w:t xml:space="preserve"> </w:t>
      </w:r>
      <w:r w:rsidRPr="00143D29">
        <w:rPr>
          <w:rFonts w:cs="Calibri"/>
          <w:i/>
          <w:lang w:val="es-ES"/>
        </w:rPr>
        <w:t xml:space="preserve">Cfr. </w:t>
      </w:r>
      <w:r w:rsidRPr="00143D29">
        <w:rPr>
          <w:rFonts w:eastAsia="Calibri" w:cs="Calibri"/>
          <w:i/>
          <w:lang w:val="es-ES"/>
        </w:rPr>
        <w:t>Caso Ticona Estrada y otros</w:t>
      </w:r>
      <w:r w:rsidRPr="00143D29">
        <w:rPr>
          <w:rFonts w:eastAsia="Calibri" w:cs="Calibri"/>
          <w:lang w:val="es-ES"/>
        </w:rPr>
        <w:t xml:space="preserve">, párr. 110, y </w:t>
      </w:r>
      <w:r w:rsidRPr="00143D29">
        <w:rPr>
          <w:bCs/>
          <w:i/>
          <w:color w:val="000000"/>
          <w:shd w:val="clear" w:color="auto" w:fill="FFFFFF"/>
          <w:lang w:val="es-CR"/>
        </w:rPr>
        <w:t>Caso Herrera Espinoza y otros</w:t>
      </w:r>
      <w:r w:rsidRPr="00143D29">
        <w:rPr>
          <w:color w:val="000000"/>
          <w:lang w:val="es-ES"/>
        </w:rPr>
        <w:t xml:space="preserve">, </w:t>
      </w:r>
      <w:r w:rsidRPr="00143D29">
        <w:rPr>
          <w:lang w:val="es-ES"/>
        </w:rPr>
        <w:t>párr. 211.</w:t>
      </w:r>
    </w:p>
  </w:footnote>
  <w:footnote w:id="523">
    <w:p w14:paraId="1EF16920" w14:textId="77777777" w:rsidR="00D4299B" w:rsidRPr="00143D29" w:rsidRDefault="00D4299B" w:rsidP="00D761C7">
      <w:pPr>
        <w:pStyle w:val="Textonotapie"/>
        <w:tabs>
          <w:tab w:val="left" w:pos="720"/>
        </w:tabs>
        <w:spacing w:after="20"/>
        <w:ind w:right="-90"/>
        <w:rPr>
          <w:lang w:val="es-ES"/>
        </w:rPr>
      </w:pPr>
      <w:r w:rsidRPr="00143D29">
        <w:rPr>
          <w:rStyle w:val="Refdenotaalpie"/>
          <w:rFonts w:eastAsia="Calibri"/>
          <w:szCs w:val="16"/>
        </w:rPr>
        <w:footnoteRef/>
      </w:r>
      <w:r w:rsidRPr="00143D29">
        <w:rPr>
          <w:lang w:val="es-ES"/>
        </w:rPr>
        <w:t xml:space="preserve"> </w:t>
      </w:r>
      <w:r w:rsidRPr="00143D29">
        <w:rPr>
          <w:i/>
          <w:iCs/>
          <w:lang w:val="es-ES"/>
        </w:rPr>
        <w:t xml:space="preserve">Cfr. </w:t>
      </w:r>
      <w:r w:rsidRPr="00143D29">
        <w:rPr>
          <w:rFonts w:cs="Calibri"/>
          <w:i/>
          <w:lang w:val="es-ES"/>
        </w:rPr>
        <w:t>Caso Velásquez Rodríguez Vs. Honduras. Reparaciones y Costas</w:t>
      </w:r>
      <w:r w:rsidRPr="00143D29">
        <w:rPr>
          <w:rFonts w:cs="Calibri"/>
          <w:lang w:val="es-ES"/>
        </w:rPr>
        <w:t xml:space="preserve">, </w:t>
      </w:r>
      <w:proofErr w:type="spellStart"/>
      <w:r w:rsidRPr="00143D29">
        <w:rPr>
          <w:rFonts w:cs="Calibri"/>
          <w:lang w:val="es-ES"/>
        </w:rPr>
        <w:t>párrs</w:t>
      </w:r>
      <w:proofErr w:type="spellEnd"/>
      <w:r w:rsidRPr="00143D29">
        <w:rPr>
          <w:rFonts w:cs="Calibri"/>
          <w:lang w:val="es-ES"/>
        </w:rPr>
        <w:t>. 25 a 27</w:t>
      </w:r>
      <w:r w:rsidRPr="00143D29">
        <w:rPr>
          <w:iCs/>
          <w:lang w:val="es-ES"/>
        </w:rPr>
        <w:t xml:space="preserve">, </w:t>
      </w:r>
      <w:r w:rsidRPr="00143D29">
        <w:rPr>
          <w:rFonts w:eastAsia="Calibri" w:cs="Calibri"/>
          <w:lang w:val="es-ES"/>
        </w:rPr>
        <w:t xml:space="preserve">y </w:t>
      </w:r>
      <w:r w:rsidRPr="00143D29">
        <w:rPr>
          <w:rStyle w:val="Textoennegrita"/>
          <w:b w:val="0"/>
          <w:i/>
          <w:color w:val="000000"/>
          <w:shd w:val="clear" w:color="auto" w:fill="FFFFFF"/>
          <w:lang w:val="es-ES"/>
        </w:rPr>
        <w:t xml:space="preserve">Caso Flor Freire Vs. Ecuador. Excepción Preliminar, Fondo, Reparaciones y Costas. </w:t>
      </w:r>
      <w:r w:rsidRPr="00143D29">
        <w:rPr>
          <w:rStyle w:val="Textoennegrita"/>
          <w:b w:val="0"/>
          <w:color w:val="000000"/>
          <w:shd w:val="clear" w:color="auto" w:fill="FFFFFF"/>
          <w:lang w:val="es-ES"/>
        </w:rPr>
        <w:t>Sentencia de 31 de agosto de 2016. Serie C No. 315</w:t>
      </w:r>
      <w:r w:rsidRPr="00143D29">
        <w:rPr>
          <w:color w:val="000000"/>
          <w:lang w:val="es-ES"/>
        </w:rPr>
        <w:t xml:space="preserve">, </w:t>
      </w:r>
      <w:r w:rsidRPr="00143D29">
        <w:rPr>
          <w:lang w:val="es-ES"/>
        </w:rPr>
        <w:t>párr. 215</w:t>
      </w:r>
      <w:r w:rsidRPr="00143D29">
        <w:rPr>
          <w:iCs/>
          <w:lang w:val="es-ES"/>
        </w:rPr>
        <w:t>.</w:t>
      </w:r>
    </w:p>
  </w:footnote>
  <w:footnote w:id="524">
    <w:p w14:paraId="2E5AB124" w14:textId="77777777" w:rsidR="00D4299B" w:rsidRPr="00143D29" w:rsidRDefault="00D4299B" w:rsidP="00D761C7">
      <w:pPr>
        <w:pStyle w:val="Textonotapie"/>
        <w:spacing w:after="20"/>
        <w:rPr>
          <w:lang w:val="es-CR"/>
        </w:rPr>
      </w:pPr>
      <w:r w:rsidRPr="00143D29">
        <w:rPr>
          <w:rStyle w:val="Refdenotaalpie"/>
          <w:rFonts w:eastAsia="Calibri"/>
          <w:szCs w:val="16"/>
        </w:rPr>
        <w:footnoteRef/>
      </w:r>
      <w:r w:rsidRPr="00143D29">
        <w:rPr>
          <w:i/>
          <w:lang w:val="es-CR"/>
        </w:rPr>
        <w:t xml:space="preserve"> Cfr. Caso de la Masacre de la Rochela</w:t>
      </w:r>
      <w:r w:rsidRPr="00143D29">
        <w:rPr>
          <w:lang w:val="es-CR"/>
        </w:rPr>
        <w:t xml:space="preserve">, párr. 233, y </w:t>
      </w:r>
      <w:r w:rsidRPr="00143D29">
        <w:rPr>
          <w:bCs/>
          <w:i/>
          <w:color w:val="000000"/>
          <w:shd w:val="clear" w:color="auto" w:fill="FFFFFF"/>
          <w:lang w:val="es-CR"/>
        </w:rPr>
        <w:t>Caso Herrera Espinoza y otros</w:t>
      </w:r>
      <w:r w:rsidRPr="00143D29">
        <w:rPr>
          <w:color w:val="000000"/>
          <w:lang w:val="es-ES"/>
        </w:rPr>
        <w:t xml:space="preserve">, </w:t>
      </w:r>
      <w:r w:rsidRPr="00143D29">
        <w:rPr>
          <w:lang w:val="es-ES"/>
        </w:rPr>
        <w:t>párr. 212.</w:t>
      </w:r>
    </w:p>
  </w:footnote>
  <w:footnote w:id="525">
    <w:p w14:paraId="684A749D"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Entre otros, </w:t>
      </w:r>
      <w:r w:rsidRPr="00143D29">
        <w:rPr>
          <w:i/>
          <w:lang w:val="es-ES"/>
        </w:rPr>
        <w:t xml:space="preserve">Caso </w:t>
      </w:r>
      <w:proofErr w:type="spellStart"/>
      <w:r w:rsidRPr="00143D29">
        <w:rPr>
          <w:i/>
          <w:lang w:val="es-CL"/>
        </w:rPr>
        <w:t>Quispialaya</w:t>
      </w:r>
      <w:proofErr w:type="spellEnd"/>
      <w:r w:rsidRPr="00143D29">
        <w:rPr>
          <w:i/>
          <w:lang w:val="es-CL"/>
        </w:rPr>
        <w:t xml:space="preserve"> Vilcapoma</w:t>
      </w:r>
      <w:r w:rsidRPr="00143D29">
        <w:rPr>
          <w:lang w:val="es-CL"/>
        </w:rPr>
        <w:t>, párr. 262,</w:t>
      </w:r>
      <w:r w:rsidRPr="00143D29">
        <w:rPr>
          <w:i/>
          <w:lang w:val="es-CL"/>
        </w:rPr>
        <w:t xml:space="preserve"> y Caso Tenorio Roca y otros, </w:t>
      </w:r>
      <w:r w:rsidRPr="00143D29">
        <w:rPr>
          <w:lang w:val="es-CL"/>
        </w:rPr>
        <w:t xml:space="preserve">párr. 268. </w:t>
      </w:r>
    </w:p>
  </w:footnote>
  <w:footnote w:id="526">
    <w:p w14:paraId="0B68904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 Caso Del Caracazo Vs. Venezuela. Reparaciones y Costas</w:t>
      </w:r>
      <w:r w:rsidRPr="00143D29">
        <w:rPr>
          <w:lang w:val="es-ES"/>
        </w:rPr>
        <w:t xml:space="preserve">. Sentencia de 29 de agosto de 2002. Serie C No. 95, párr. 118, y </w:t>
      </w:r>
      <w:r w:rsidRPr="00143D29">
        <w:rPr>
          <w:i/>
          <w:lang w:val="es-CL"/>
        </w:rPr>
        <w:t>Caso Tenorio Roca y otros</w:t>
      </w:r>
      <w:r w:rsidRPr="00143D29">
        <w:rPr>
          <w:bCs/>
          <w:lang w:val="es-ES" w:bidi="en-US"/>
        </w:rPr>
        <w:t>,</w:t>
      </w:r>
      <w:r w:rsidRPr="00143D29">
        <w:rPr>
          <w:lang w:val="es-ES" w:bidi="en-US"/>
        </w:rPr>
        <w:t xml:space="preserve"> párr. 269.</w:t>
      </w:r>
    </w:p>
  </w:footnote>
  <w:footnote w:id="527">
    <w:p w14:paraId="45734364"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 Caso Cabrera García y Montiel Flores Vs. México</w:t>
      </w:r>
      <w:r w:rsidRPr="00143D29">
        <w:rPr>
          <w:lang w:val="es-ES"/>
        </w:rPr>
        <w:t xml:space="preserve">, párr. 215, y </w:t>
      </w:r>
      <w:r w:rsidRPr="00143D29">
        <w:rPr>
          <w:i/>
          <w:lang w:val="es-ES"/>
        </w:rPr>
        <w:t>Caso</w:t>
      </w:r>
      <w:r w:rsidRPr="00143D29">
        <w:rPr>
          <w:lang w:val="es-ES"/>
        </w:rPr>
        <w:t xml:space="preserve"> </w:t>
      </w:r>
      <w:r w:rsidRPr="00143D29">
        <w:rPr>
          <w:i/>
          <w:lang w:val="es-CL"/>
        </w:rPr>
        <w:t>Velásquez Paiz</w:t>
      </w:r>
      <w:r w:rsidRPr="00143D29">
        <w:rPr>
          <w:lang w:val="es-CL"/>
        </w:rPr>
        <w:t xml:space="preserve">, párr. 230. </w:t>
      </w:r>
    </w:p>
  </w:footnote>
  <w:footnote w:id="528">
    <w:p w14:paraId="71ED2020"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 Caso de los “Niños de la Calle” (Villagrán Morales y otros) Vs. Guatemala. Reparaciones y Costas</w:t>
      </w:r>
      <w:r w:rsidRPr="00143D29">
        <w:rPr>
          <w:lang w:val="es-ES"/>
        </w:rPr>
        <w:t xml:space="preserve">. Sentencia de 26 de mayo de 2001. Serie C No. 77, párr. 84, y </w:t>
      </w:r>
      <w:r w:rsidRPr="00143D29">
        <w:rPr>
          <w:i/>
          <w:lang w:val="es-ES"/>
        </w:rPr>
        <w:t xml:space="preserve">Caso Herrera Espinoza y otros, </w:t>
      </w:r>
      <w:r w:rsidRPr="00143D29">
        <w:rPr>
          <w:lang w:val="es-ES"/>
        </w:rPr>
        <w:t xml:space="preserve">párr. 220. </w:t>
      </w:r>
    </w:p>
  </w:footnote>
  <w:footnote w:id="529">
    <w:p w14:paraId="30F672CC"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
          <w:lang w:val="es-ES"/>
        </w:rPr>
        <w:t>Cfr. Caso Neira Alegría y otros Vs. Perú. Reparaciones y Costas</w:t>
      </w:r>
      <w:r w:rsidRPr="00143D29">
        <w:rPr>
          <w:lang w:val="es-ES"/>
        </w:rPr>
        <w:t xml:space="preserve">. Sentencia de 19 de septiembre de 1996. Serie C No. 29, párr. 56, y </w:t>
      </w:r>
      <w:r w:rsidRPr="00143D29">
        <w:rPr>
          <w:i/>
          <w:lang w:val="es-ES"/>
        </w:rPr>
        <w:t xml:space="preserve">Caso Herrera Espinoza y otros, </w:t>
      </w:r>
      <w:r w:rsidRPr="00143D29">
        <w:rPr>
          <w:lang w:val="es-ES"/>
        </w:rPr>
        <w:t>párr. 220.</w:t>
      </w:r>
    </w:p>
  </w:footnote>
  <w:footnote w:id="530">
    <w:p w14:paraId="799EC9A8" w14:textId="77777777" w:rsidR="00D4299B" w:rsidRPr="00143D29" w:rsidRDefault="00D4299B" w:rsidP="00D761C7">
      <w:pPr>
        <w:pStyle w:val="Textonotapie"/>
        <w:tabs>
          <w:tab w:val="left" w:pos="720"/>
        </w:tabs>
        <w:spacing w:after="20"/>
        <w:rPr>
          <w:lang w:val="es-ES"/>
        </w:rPr>
      </w:pPr>
      <w:r w:rsidRPr="00143D29">
        <w:rPr>
          <w:rStyle w:val="Refdenotaalpie"/>
          <w:szCs w:val="16"/>
          <w:lang w:val="es-ES"/>
        </w:rPr>
        <w:footnoteRef/>
      </w:r>
      <w:r w:rsidRPr="00143D29">
        <w:rPr>
          <w:lang w:val="es-ES"/>
        </w:rPr>
        <w:t xml:space="preserve"> </w:t>
      </w:r>
      <w:r w:rsidRPr="00143D29">
        <w:rPr>
          <w:i/>
          <w:iCs/>
          <w:lang w:val="es-ES"/>
        </w:rPr>
        <w:t xml:space="preserve">Cfr. </w:t>
      </w:r>
      <w:r w:rsidRPr="00143D29">
        <w:rPr>
          <w:bCs/>
          <w:i/>
          <w:lang w:val="es-ES"/>
        </w:rPr>
        <w:t xml:space="preserve">Caso Cantoral Benavides Vs. Perú. </w:t>
      </w:r>
      <w:r w:rsidRPr="00143D29">
        <w:rPr>
          <w:i/>
          <w:lang w:val="es-ES"/>
        </w:rPr>
        <w:t>Reparaciones y Costas</w:t>
      </w:r>
      <w:r w:rsidRPr="00143D29">
        <w:rPr>
          <w:lang w:val="es-ES"/>
        </w:rPr>
        <w:t>. Sentencia de 3 de diciembre de 2001. Serie C No. 88</w:t>
      </w:r>
      <w:r w:rsidRPr="00143D29">
        <w:rPr>
          <w:i/>
          <w:lang w:val="es-ES"/>
        </w:rPr>
        <w:t xml:space="preserve">, </w:t>
      </w:r>
      <w:r w:rsidRPr="00143D29">
        <w:rPr>
          <w:lang w:val="es-ES"/>
        </w:rPr>
        <w:t>párr. 79, y</w:t>
      </w:r>
      <w:r w:rsidRPr="00143D29">
        <w:rPr>
          <w:rFonts w:cs="Verdana"/>
          <w:bCs/>
          <w:lang w:val="es-ES"/>
        </w:rPr>
        <w:t xml:space="preserve"> </w:t>
      </w:r>
      <w:r w:rsidRPr="00143D29">
        <w:rPr>
          <w:bCs/>
          <w:i/>
          <w:color w:val="000000"/>
          <w:lang w:val="es-ES"/>
        </w:rPr>
        <w:t xml:space="preserve">Caso Herrera Espinoza y otros, </w:t>
      </w:r>
      <w:r w:rsidRPr="00143D29">
        <w:rPr>
          <w:color w:val="000000"/>
          <w:lang w:val="es-ES"/>
        </w:rPr>
        <w:t>párr. 227</w:t>
      </w:r>
      <w:r w:rsidRPr="00143D29">
        <w:rPr>
          <w:lang w:val="es-ES"/>
        </w:rPr>
        <w:t>.</w:t>
      </w:r>
    </w:p>
  </w:footnote>
  <w:footnote w:id="531">
    <w:p w14:paraId="5BAB3228"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w:t>
      </w:r>
      <w:r w:rsidRPr="00143D29">
        <w:rPr>
          <w:lang w:val="es-CL"/>
        </w:rPr>
        <w:t xml:space="preserve">Ver, entre otros, </w:t>
      </w:r>
      <w:r w:rsidRPr="00143D29">
        <w:rPr>
          <w:i/>
          <w:lang w:val="es-CL"/>
        </w:rPr>
        <w:t>Caso Barrios Altos Vs. Perú. Fondo</w:t>
      </w:r>
      <w:r w:rsidRPr="00143D29">
        <w:rPr>
          <w:lang w:val="es-CL"/>
        </w:rPr>
        <w:t xml:space="preserve">, párr. 41; </w:t>
      </w:r>
      <w:r w:rsidRPr="00143D29">
        <w:rPr>
          <w:i/>
          <w:lang w:val="es-CL"/>
        </w:rPr>
        <w:t xml:space="preserve">Caso Trujillo </w:t>
      </w:r>
      <w:proofErr w:type="spellStart"/>
      <w:r w:rsidRPr="00143D29">
        <w:rPr>
          <w:i/>
          <w:lang w:val="es-CL"/>
        </w:rPr>
        <w:t>Oroza</w:t>
      </w:r>
      <w:proofErr w:type="spellEnd"/>
      <w:r w:rsidRPr="00143D29">
        <w:rPr>
          <w:i/>
          <w:lang w:val="es-CL"/>
        </w:rPr>
        <w:t xml:space="preserve"> Vs. Bolivia,</w:t>
      </w:r>
      <w:r w:rsidRPr="00143D29">
        <w:rPr>
          <w:bCs/>
          <w:i/>
          <w:lang w:val="es-CR"/>
        </w:rPr>
        <w:t xml:space="preserve">Reparaciones y Costas. </w:t>
      </w:r>
      <w:r w:rsidRPr="00143D29">
        <w:rPr>
          <w:bCs/>
          <w:lang w:val="es-CR"/>
        </w:rPr>
        <w:t>Sentencia de 27 de febrero de 2002. Serie C No. 92</w:t>
      </w:r>
      <w:r w:rsidRPr="00143D29">
        <w:rPr>
          <w:lang w:val="es-CL"/>
        </w:rPr>
        <w:t xml:space="preserve">, párr. 106; </w:t>
      </w:r>
      <w:r w:rsidRPr="00143D29">
        <w:rPr>
          <w:i/>
          <w:lang w:val="es-CL"/>
        </w:rPr>
        <w:t>Caso Almonacid Arellano y otros</w:t>
      </w:r>
      <w:r w:rsidRPr="00143D29">
        <w:rPr>
          <w:lang w:val="es-CL"/>
        </w:rPr>
        <w:t xml:space="preserve">, párr. 112, y </w:t>
      </w:r>
      <w:r w:rsidRPr="00143D29">
        <w:rPr>
          <w:i/>
          <w:lang w:val="es-CL"/>
        </w:rPr>
        <w:t>Caso Albán Cornejo y otros Vs. Ecuador</w:t>
      </w:r>
      <w:r w:rsidRPr="00143D29">
        <w:rPr>
          <w:lang w:val="es-CL"/>
        </w:rPr>
        <w:t xml:space="preserve">. </w:t>
      </w:r>
      <w:r w:rsidRPr="00143D29">
        <w:rPr>
          <w:i/>
          <w:lang w:val="es-CL"/>
        </w:rPr>
        <w:t>Fondo, Reparaciones y Costas</w:t>
      </w:r>
      <w:r w:rsidRPr="00143D29">
        <w:rPr>
          <w:lang w:val="es-CL"/>
        </w:rPr>
        <w:t xml:space="preserve">. Sentencia de 22 de noviembre de 2007. Serie C No. 171, párr. 111. </w:t>
      </w:r>
    </w:p>
  </w:footnote>
  <w:footnote w:id="532">
    <w:p w14:paraId="51B019BF" w14:textId="77777777" w:rsidR="00D4299B" w:rsidRPr="00143D29" w:rsidRDefault="00D4299B" w:rsidP="00D761C7">
      <w:pPr>
        <w:pStyle w:val="Textonotapie"/>
        <w:spacing w:after="20"/>
        <w:rPr>
          <w:lang w:val="es-ES"/>
        </w:rPr>
      </w:pPr>
      <w:r w:rsidRPr="00143D29">
        <w:rPr>
          <w:rStyle w:val="Refdenotaalpie"/>
          <w:szCs w:val="16"/>
        </w:rPr>
        <w:footnoteRef/>
      </w:r>
      <w:r w:rsidRPr="00143D29">
        <w:rPr>
          <w:lang w:val="es-ES"/>
        </w:rPr>
        <w:t xml:space="preserve"> </w:t>
      </w:r>
      <w:r w:rsidRPr="00143D29">
        <w:rPr>
          <w:iCs/>
          <w:lang w:val="es-CL"/>
        </w:rPr>
        <w:t xml:space="preserve">En ese sentido, a modo de ejemplo, la Corte recuerda que no declaró que el homicidio era un delito imprescriptible en Chile bajo todos los supuestos en el caso </w:t>
      </w:r>
      <w:r w:rsidRPr="00143D29">
        <w:rPr>
          <w:i/>
          <w:iCs/>
          <w:lang w:val="es-CL"/>
        </w:rPr>
        <w:t>Almonacid Arellano</w:t>
      </w:r>
      <w:r w:rsidRPr="00143D29">
        <w:rPr>
          <w:iCs/>
          <w:lang w:val="es-CL"/>
        </w:rPr>
        <w:t>.</w:t>
      </w:r>
    </w:p>
  </w:footnote>
  <w:footnote w:id="533">
    <w:p w14:paraId="6BD89FD5"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w:t>
      </w:r>
      <w:r w:rsidRPr="00143D29">
        <w:rPr>
          <w:i/>
          <w:lang w:val="es-ES"/>
        </w:rPr>
        <w:t xml:space="preserve">Cfr. Caso Bámaca Velásquez Vs. Guatemala. Reparaciones y Costas. </w:t>
      </w:r>
      <w:r w:rsidRPr="00143D29">
        <w:rPr>
          <w:lang w:val="es-ES"/>
        </w:rPr>
        <w:t xml:space="preserve">Sentencia de 22 de febrero de 2002. Serie C No. 91, párr. 43, y </w:t>
      </w:r>
      <w:r w:rsidRPr="00143D29">
        <w:rPr>
          <w:i/>
          <w:lang w:val="es-ES"/>
        </w:rPr>
        <w:t>Caso Flor Freire</w:t>
      </w:r>
      <w:r w:rsidRPr="00143D29">
        <w:rPr>
          <w:lang w:val="es-ES"/>
        </w:rPr>
        <w:t>, párr. 251.</w:t>
      </w:r>
    </w:p>
  </w:footnote>
  <w:footnote w:id="534">
    <w:p w14:paraId="70789A59"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w:t>
      </w:r>
      <w:r w:rsidRPr="00143D29">
        <w:rPr>
          <w:i/>
          <w:lang w:val="es-ES"/>
        </w:rPr>
        <w:t>Cfr. Caso de los “Niños de la Calle” (Villagrán Morales y otros) Vs. Guatemala. Reparaciones y Costas</w:t>
      </w:r>
      <w:r w:rsidRPr="00143D29">
        <w:rPr>
          <w:lang w:val="es-ES"/>
        </w:rPr>
        <w:t xml:space="preserve">, párr. 84, y </w:t>
      </w:r>
      <w:r w:rsidRPr="00143D29">
        <w:rPr>
          <w:i/>
          <w:lang w:val="es-ES"/>
        </w:rPr>
        <w:t>Caso Herrera Espinoza y otros</w:t>
      </w:r>
      <w:r w:rsidRPr="00143D29">
        <w:rPr>
          <w:lang w:val="es-ES"/>
        </w:rPr>
        <w:t>, párr. 241.</w:t>
      </w:r>
    </w:p>
  </w:footnote>
  <w:footnote w:id="535">
    <w:p w14:paraId="5DC63ECB"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w:t>
      </w:r>
      <w:r w:rsidRPr="00143D29">
        <w:rPr>
          <w:i/>
          <w:lang w:val="es-ES"/>
        </w:rPr>
        <w:t>Cfr. Caso Cantoral Benavides Vs. Perú. Reparaciones y Costas</w:t>
      </w:r>
      <w:r w:rsidRPr="00143D29">
        <w:rPr>
          <w:lang w:val="es-ES"/>
        </w:rPr>
        <w:t xml:space="preserve">. párr. 53, y </w:t>
      </w:r>
      <w:r w:rsidRPr="00143D29">
        <w:rPr>
          <w:i/>
          <w:lang w:val="es-ES"/>
        </w:rPr>
        <w:t>Caso Chinchilla Sandoval</w:t>
      </w:r>
      <w:r w:rsidRPr="00143D29">
        <w:rPr>
          <w:lang w:val="es-ES"/>
        </w:rPr>
        <w:t>, párr. 308.</w:t>
      </w:r>
    </w:p>
  </w:footnote>
  <w:footnote w:id="536">
    <w:p w14:paraId="1963D255"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w:t>
      </w:r>
      <w:r w:rsidRPr="00143D29">
        <w:rPr>
          <w:i/>
          <w:lang w:val="es-ES"/>
        </w:rPr>
        <w:t>Cfr. Caso Garrido y Baigorria Vs. Argentina. Reparaciones y Costas</w:t>
      </w:r>
      <w:r w:rsidRPr="00143D29">
        <w:rPr>
          <w:lang w:val="es-ES"/>
        </w:rPr>
        <w:t xml:space="preserve">. Sentencia de 27 de agosto de 1998. Serie C No. 39, párr. 82, y </w:t>
      </w:r>
      <w:r w:rsidRPr="00143D29">
        <w:rPr>
          <w:i/>
          <w:lang w:val="es-ES"/>
        </w:rPr>
        <w:t>Caso Flor Freire,</w:t>
      </w:r>
      <w:r w:rsidRPr="00143D29">
        <w:rPr>
          <w:lang w:val="es-ES"/>
        </w:rPr>
        <w:t xml:space="preserve"> párr. 261 y 262.</w:t>
      </w:r>
    </w:p>
  </w:footnote>
  <w:footnote w:id="537">
    <w:p w14:paraId="2588BF87" w14:textId="77777777" w:rsidR="00D4299B" w:rsidRPr="00143D29" w:rsidRDefault="00D4299B" w:rsidP="00D761C7">
      <w:pPr>
        <w:pStyle w:val="Textonotapie"/>
        <w:spacing w:after="20"/>
        <w:rPr>
          <w:lang w:val="es-CL"/>
        </w:rPr>
      </w:pPr>
      <w:r w:rsidRPr="00143D29">
        <w:rPr>
          <w:rStyle w:val="Refdenotaalpie"/>
          <w:szCs w:val="16"/>
        </w:rPr>
        <w:footnoteRef/>
      </w:r>
      <w:r w:rsidRPr="00143D29">
        <w:rPr>
          <w:lang w:val="es-ES"/>
        </w:rPr>
        <w:t xml:space="preserve"> </w:t>
      </w:r>
      <w:r w:rsidRPr="00143D29">
        <w:rPr>
          <w:i/>
          <w:lang w:val="es-ES"/>
        </w:rPr>
        <w:t>Cfr. Caso Chaparro Álvarez y Lapo Íñiguez. Vs. Ecuador. Excepciones Preliminares, Fondo, Reparaciones y Costas</w:t>
      </w:r>
      <w:r w:rsidRPr="00143D29">
        <w:rPr>
          <w:lang w:val="es-ES"/>
        </w:rPr>
        <w:t xml:space="preserve">. Sentencia de 21 de noviembre de 2007. Serie C No. 170, párr. 275, y </w:t>
      </w:r>
      <w:r w:rsidRPr="00143D29">
        <w:rPr>
          <w:i/>
          <w:lang w:val="es-ES"/>
        </w:rPr>
        <w:t>Caso Herrera Espinoza y otros</w:t>
      </w:r>
      <w:r w:rsidRPr="00143D29">
        <w:rPr>
          <w:lang w:val="es-ES"/>
        </w:rPr>
        <w:t xml:space="preserve">, párr. </w:t>
      </w:r>
      <w:r w:rsidRPr="00143D29">
        <w:rPr>
          <w:lang w:val="es-AR"/>
        </w:rPr>
        <w:t>248.</w:t>
      </w:r>
    </w:p>
  </w:footnote>
  <w:footnote w:id="538">
    <w:p w14:paraId="0A285DD0" w14:textId="77777777" w:rsidR="00D4299B" w:rsidRPr="00143D29" w:rsidRDefault="00D4299B" w:rsidP="00130785">
      <w:pPr>
        <w:pStyle w:val="Textonotapie"/>
        <w:tabs>
          <w:tab w:val="clear" w:pos="4419"/>
          <w:tab w:val="clear" w:pos="8838"/>
        </w:tabs>
        <w:rPr>
          <w:rFonts w:cs="System Font Regular"/>
          <w:lang w:val="es-ES_tradnl"/>
        </w:rPr>
      </w:pPr>
      <w:r w:rsidRPr="00143D29">
        <w:rPr>
          <w:rStyle w:val="Refdenotaalpie"/>
        </w:rPr>
        <w:footnoteRef/>
      </w:r>
      <w:r w:rsidRPr="00143D29">
        <w:rPr>
          <w:lang w:val="es-ES"/>
        </w:rPr>
        <w:t xml:space="preserve"> </w:t>
      </w:r>
      <w:r w:rsidRPr="00143D29">
        <w:rPr>
          <w:lang w:val="es-ES"/>
        </w:rPr>
        <w:tab/>
      </w:r>
      <w:r w:rsidRPr="00143D29">
        <w:rPr>
          <w:rFonts w:cs="System Font Regular"/>
          <w:lang w:val="es-ES_tradnl"/>
        </w:rPr>
        <w:t xml:space="preserve">De acuerdo con la Comisión Económica para América Latina y el Caribe (CEPAL): “Entre 2013 y 2014, el </w:t>
      </w:r>
      <w:proofErr w:type="spellStart"/>
      <w:r w:rsidRPr="00143D29">
        <w:rPr>
          <w:rFonts w:cs="System Font Regular"/>
          <w:lang w:val="es-ES_tradnl"/>
        </w:rPr>
        <w:t>número</w:t>
      </w:r>
      <w:proofErr w:type="spellEnd"/>
      <w:r w:rsidRPr="00143D29">
        <w:rPr>
          <w:rFonts w:cs="System Font Regular"/>
          <w:lang w:val="es-ES_tradnl"/>
        </w:rPr>
        <w:t xml:space="preserve"> de pobres de la </w:t>
      </w:r>
      <w:proofErr w:type="spellStart"/>
      <w:r w:rsidRPr="00143D29">
        <w:rPr>
          <w:rFonts w:cs="System Font Regular"/>
          <w:lang w:val="es-ES_tradnl"/>
        </w:rPr>
        <w:t>región</w:t>
      </w:r>
      <w:proofErr w:type="spellEnd"/>
      <w:r w:rsidRPr="00143D29">
        <w:rPr>
          <w:rFonts w:cs="System Font Regular"/>
          <w:lang w:val="es-ES_tradnl"/>
        </w:rPr>
        <w:t xml:space="preserve"> se incrementó en alrededor de 2 millones de personas”. Según proyecciones de la CEPAL, la “tasa de pobreza se situaría en el 29.2% y la tasa de pobreza extrema en el 12.4%, lo que representaría aumentos de 1,0 y 0,6 puntos porcentuales, respectivamente. De confirmarse estas proyecciones, 175 millones de personas se encontrarían en situación de pobreza por ingresos en 2015, 75 millones de las cuales estarían en situación de indigencia”. </w:t>
      </w:r>
      <w:r w:rsidRPr="00143D29">
        <w:rPr>
          <w:i/>
          <w:lang w:val="es-ES_tradnl"/>
        </w:rPr>
        <w:t>Cfr.</w:t>
      </w:r>
      <w:r w:rsidRPr="00143D29">
        <w:rPr>
          <w:lang w:val="es-ES_tradnl"/>
        </w:rPr>
        <w:t xml:space="preserve"> ONU, </w:t>
      </w:r>
      <w:r w:rsidRPr="00143D29">
        <w:rPr>
          <w:rFonts w:cs="Optima"/>
          <w:lang w:val="es-ES_tradnl"/>
        </w:rPr>
        <w:t xml:space="preserve">Comisión Económica para América Latina y el Caribe (CEPAL), </w:t>
      </w:r>
      <w:r w:rsidRPr="00143D29">
        <w:rPr>
          <w:rFonts w:cs="Optima"/>
          <w:i/>
          <w:iCs/>
          <w:lang w:val="es-ES_tradnl"/>
        </w:rPr>
        <w:t>Panorama Social de América Latina, 2015</w:t>
      </w:r>
      <w:r w:rsidRPr="00143D29">
        <w:rPr>
          <w:rFonts w:cs="Optima"/>
          <w:lang w:val="es-ES_tradnl"/>
        </w:rPr>
        <w:t>, (LC/G.2691-P), Santiago, 2016, p. 18.</w:t>
      </w:r>
    </w:p>
    <w:p w14:paraId="49A397C7" w14:textId="77777777" w:rsidR="00D4299B" w:rsidRPr="00143D29" w:rsidRDefault="00D4299B" w:rsidP="00130785">
      <w:pPr>
        <w:pStyle w:val="Textonotapie"/>
        <w:tabs>
          <w:tab w:val="clear" w:pos="4419"/>
          <w:tab w:val="clear" w:pos="8838"/>
        </w:tabs>
        <w:rPr>
          <w:rFonts w:cs="System Font Regular"/>
          <w:lang w:val="es-ES_tradnl"/>
        </w:rPr>
      </w:pPr>
    </w:p>
  </w:footnote>
  <w:footnote w:id="539">
    <w:p w14:paraId="2402955F" w14:textId="77777777" w:rsidR="00D4299B" w:rsidRPr="00143D29" w:rsidRDefault="00D4299B" w:rsidP="00130785">
      <w:pPr>
        <w:pStyle w:val="Textonotapie"/>
        <w:tabs>
          <w:tab w:val="left" w:pos="709"/>
        </w:tabs>
        <w:rPr>
          <w:lang w:val="es-ES_tradnl"/>
        </w:rPr>
      </w:pPr>
      <w:r w:rsidRPr="00143D29">
        <w:rPr>
          <w:rStyle w:val="Refdenotaalpie"/>
        </w:rPr>
        <w:footnoteRef/>
      </w:r>
      <w:r w:rsidRPr="00143D29">
        <w:rPr>
          <w:lang w:val="es-ES"/>
        </w:rPr>
        <w:t xml:space="preserve"> </w:t>
      </w:r>
      <w:r w:rsidRPr="00143D29">
        <w:rPr>
          <w:lang w:val="es-ES"/>
        </w:rPr>
        <w:tab/>
      </w:r>
      <w:r w:rsidRPr="00143D29">
        <w:rPr>
          <w:lang w:val="es-ES_tradnl"/>
        </w:rPr>
        <w:t xml:space="preserve">Corte IDH. </w:t>
      </w:r>
      <w:r w:rsidRPr="00143D29">
        <w:rPr>
          <w:i/>
          <w:lang w:val="es-ES_tradnl"/>
        </w:rPr>
        <w:t xml:space="preserve">Caso Trabajadores de la Hacienda Brasil Verde Vs. Brasil. Excepciones Preliminares, Fondo, Reparaciones y Costas. </w:t>
      </w:r>
      <w:r w:rsidRPr="00143D29">
        <w:rPr>
          <w:lang w:val="es-ES_tradnl"/>
        </w:rPr>
        <w:t xml:space="preserve">Sentencia de 20 de octubre de 2016, Serie C No. 318, </w:t>
      </w:r>
      <w:proofErr w:type="spellStart"/>
      <w:r w:rsidRPr="00143D29">
        <w:rPr>
          <w:lang w:val="es-ES_tradnl"/>
        </w:rPr>
        <w:t>párrs</w:t>
      </w:r>
      <w:proofErr w:type="spellEnd"/>
      <w:r w:rsidRPr="00143D29">
        <w:rPr>
          <w:lang w:val="es-ES_tradnl"/>
        </w:rPr>
        <w:t>. 341 a 343, y Resolutivo 4.</w:t>
      </w:r>
    </w:p>
  </w:footnote>
  <w:footnote w:id="540">
    <w:p w14:paraId="12291C74" w14:textId="77777777" w:rsidR="00D4299B" w:rsidRPr="00143D29" w:rsidRDefault="00D4299B" w:rsidP="00130785">
      <w:pPr>
        <w:pStyle w:val="NormalWeb"/>
        <w:tabs>
          <w:tab w:val="left" w:pos="709"/>
        </w:tabs>
        <w:spacing w:before="0" w:beforeAutospacing="0" w:after="0" w:afterAutospacing="0"/>
        <w:jc w:val="both"/>
        <w:rPr>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t xml:space="preserve">En este sentido, la Corte IDH ha considerado que: “Esta orientación adquiere particular relevancia en el Derecho Internacional de los Derechos Humanos, que ha avanzado mucho mediante la interpretación evolutiva de los instrumentos internacionales de protección. Tal interpretación evolutiva es consecuente con las reglas generales de interpretación de los tratados consagradas en la Convención de Viena de 1969. Tanto esta Corte, en la Opinión Consultiva sobre la Interpretación de la Declaración Americana de los Derechos y Deberes del Hombre (1989), como la Corte Europea de Derechos Humanos, en los casos </w:t>
      </w:r>
      <w:proofErr w:type="spellStart"/>
      <w:r w:rsidRPr="00143D29">
        <w:rPr>
          <w:i/>
          <w:iCs/>
          <w:sz w:val="16"/>
          <w:szCs w:val="16"/>
          <w:lang w:val="es-ES_tradnl"/>
        </w:rPr>
        <w:t>Tyrer</w:t>
      </w:r>
      <w:proofErr w:type="spellEnd"/>
      <w:r w:rsidRPr="00143D29">
        <w:rPr>
          <w:i/>
          <w:iCs/>
          <w:sz w:val="16"/>
          <w:szCs w:val="16"/>
          <w:lang w:val="es-ES_tradnl"/>
        </w:rPr>
        <w:t xml:space="preserve"> Vs. Reino Unido </w:t>
      </w:r>
      <w:r w:rsidRPr="00143D29">
        <w:rPr>
          <w:sz w:val="16"/>
          <w:szCs w:val="16"/>
          <w:lang w:val="es-ES_tradnl"/>
        </w:rPr>
        <w:t xml:space="preserve">(1978), </w:t>
      </w:r>
      <w:proofErr w:type="spellStart"/>
      <w:r w:rsidRPr="00143D29">
        <w:rPr>
          <w:i/>
          <w:iCs/>
          <w:sz w:val="16"/>
          <w:szCs w:val="16"/>
          <w:lang w:val="es-ES_tradnl"/>
        </w:rPr>
        <w:t>Marckx</w:t>
      </w:r>
      <w:proofErr w:type="spellEnd"/>
      <w:r w:rsidRPr="00143D29">
        <w:rPr>
          <w:i/>
          <w:iCs/>
          <w:sz w:val="16"/>
          <w:szCs w:val="16"/>
          <w:lang w:val="es-ES_tradnl"/>
        </w:rPr>
        <w:t xml:space="preserve"> Vs. </w:t>
      </w:r>
      <w:proofErr w:type="spellStart"/>
      <w:r w:rsidRPr="00143D29">
        <w:rPr>
          <w:i/>
          <w:iCs/>
          <w:sz w:val="16"/>
          <w:szCs w:val="16"/>
          <w:lang w:val="es-ES_tradnl"/>
        </w:rPr>
        <w:t>Bélgica</w:t>
      </w:r>
      <w:proofErr w:type="spellEnd"/>
      <w:r w:rsidRPr="00143D29">
        <w:rPr>
          <w:i/>
          <w:iCs/>
          <w:sz w:val="16"/>
          <w:szCs w:val="16"/>
          <w:lang w:val="es-ES_tradnl"/>
        </w:rPr>
        <w:t xml:space="preserve"> </w:t>
      </w:r>
      <w:r w:rsidRPr="00143D29">
        <w:rPr>
          <w:sz w:val="16"/>
          <w:szCs w:val="16"/>
          <w:lang w:val="es-ES_tradnl"/>
        </w:rPr>
        <w:t xml:space="preserve">(1979), </w:t>
      </w:r>
      <w:proofErr w:type="spellStart"/>
      <w:r w:rsidRPr="00143D29">
        <w:rPr>
          <w:i/>
          <w:iCs/>
          <w:sz w:val="16"/>
          <w:szCs w:val="16"/>
          <w:lang w:val="es-ES_tradnl"/>
        </w:rPr>
        <w:t>Loizidou</w:t>
      </w:r>
      <w:proofErr w:type="spellEnd"/>
      <w:r w:rsidRPr="00143D29">
        <w:rPr>
          <w:i/>
          <w:iCs/>
          <w:sz w:val="16"/>
          <w:szCs w:val="16"/>
          <w:lang w:val="es-ES_tradnl"/>
        </w:rPr>
        <w:t xml:space="preserve"> Vs. </w:t>
      </w:r>
      <w:proofErr w:type="spellStart"/>
      <w:r w:rsidRPr="00143D29">
        <w:rPr>
          <w:i/>
          <w:iCs/>
          <w:sz w:val="16"/>
          <w:szCs w:val="16"/>
          <w:lang w:val="es-ES_tradnl"/>
        </w:rPr>
        <w:t>Turquía</w:t>
      </w:r>
      <w:proofErr w:type="spellEnd"/>
      <w:r w:rsidRPr="00143D29">
        <w:rPr>
          <w:i/>
          <w:iCs/>
          <w:sz w:val="16"/>
          <w:szCs w:val="16"/>
          <w:lang w:val="es-ES_tradnl"/>
        </w:rPr>
        <w:t xml:space="preserve"> </w:t>
      </w:r>
      <w:r w:rsidRPr="00143D29">
        <w:rPr>
          <w:sz w:val="16"/>
          <w:szCs w:val="16"/>
          <w:lang w:val="es-ES_tradnl"/>
        </w:rPr>
        <w:t xml:space="preserve">(1995), entre otros, han señalado que los tratados de derechos humanos son instrumentos vivos, cuya interpretación tiene que acompañar la evolución de los tiempos y las condiciones de vida actuales”. </w:t>
      </w:r>
      <w:r w:rsidRPr="00143D29">
        <w:rPr>
          <w:i/>
          <w:sz w:val="16"/>
          <w:szCs w:val="16"/>
          <w:lang w:val="es-ES_tradnl"/>
        </w:rPr>
        <w:t xml:space="preserve">Cfr. </w:t>
      </w:r>
      <w:r w:rsidRPr="00143D29">
        <w:rPr>
          <w:rFonts w:cs="Verdana"/>
          <w:bCs/>
          <w:sz w:val="16"/>
          <w:szCs w:val="16"/>
          <w:lang w:val="es-ES_tradnl"/>
        </w:rPr>
        <w:t xml:space="preserve">Corte IDH. </w:t>
      </w:r>
      <w:r w:rsidRPr="00143D29">
        <w:rPr>
          <w:rFonts w:cs="Verdana"/>
          <w:bCs/>
          <w:i/>
          <w:sz w:val="16"/>
          <w:szCs w:val="16"/>
          <w:lang w:val="es-ES_tradnl"/>
        </w:rPr>
        <w:t>El derecho a la información sobre la asistencia consular en el marco de las garantías del debido proceso legal</w:t>
      </w:r>
      <w:r w:rsidRPr="00143D29">
        <w:rPr>
          <w:rFonts w:cs="Verdana"/>
          <w:bCs/>
          <w:sz w:val="16"/>
          <w:szCs w:val="16"/>
          <w:lang w:val="es-ES_tradnl"/>
        </w:rPr>
        <w:t xml:space="preserve">. Opinión Consultiva OC-16/99 de 1 de octubre de 1999. Serie A No. 16, párr. 114. </w:t>
      </w:r>
    </w:p>
    <w:p w14:paraId="4E3557CB" w14:textId="77777777" w:rsidR="00D4299B" w:rsidRPr="00143D29" w:rsidRDefault="00D4299B" w:rsidP="00130785">
      <w:pPr>
        <w:pStyle w:val="Textonotapie"/>
        <w:tabs>
          <w:tab w:val="left" w:pos="709"/>
        </w:tabs>
        <w:spacing w:after="0"/>
        <w:rPr>
          <w:b/>
          <w:lang w:val="es-ES_tradnl"/>
        </w:rPr>
      </w:pPr>
    </w:p>
  </w:footnote>
  <w:footnote w:id="541">
    <w:p w14:paraId="6F75F5CA" w14:textId="77777777" w:rsidR="00D4299B" w:rsidRPr="00143D29" w:rsidRDefault="00D4299B" w:rsidP="00130785">
      <w:pPr>
        <w:pStyle w:val="NormalWeb"/>
        <w:tabs>
          <w:tab w:val="left" w:pos="709"/>
        </w:tabs>
        <w:spacing w:before="0" w:beforeAutospacing="0" w:after="0" w:afterAutospacing="0"/>
        <w:jc w:val="both"/>
        <w:rPr>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i/>
          <w:iCs/>
          <w:sz w:val="16"/>
          <w:szCs w:val="16"/>
          <w:lang w:val="es-ES_tradnl"/>
        </w:rPr>
        <w:t xml:space="preserve">Cfr. </w:t>
      </w:r>
      <w:r w:rsidRPr="00143D29">
        <w:rPr>
          <w:iCs/>
          <w:sz w:val="16"/>
          <w:szCs w:val="16"/>
          <w:lang w:val="es-ES_tradnl"/>
        </w:rPr>
        <w:t xml:space="preserve">Corte IDH. </w:t>
      </w:r>
      <w:r w:rsidRPr="00143D29">
        <w:rPr>
          <w:rFonts w:cs="Verdana"/>
          <w:bCs/>
          <w:i/>
          <w:sz w:val="16"/>
          <w:szCs w:val="16"/>
          <w:lang w:val="es-ES_tradnl"/>
        </w:rPr>
        <w:t xml:space="preserve">Caso </w:t>
      </w:r>
      <w:proofErr w:type="spellStart"/>
      <w:r w:rsidRPr="00143D29">
        <w:rPr>
          <w:rFonts w:cs="Verdana"/>
          <w:bCs/>
          <w:i/>
          <w:sz w:val="16"/>
          <w:szCs w:val="16"/>
          <w:lang w:val="es-ES_tradnl"/>
        </w:rPr>
        <w:t>Atala</w:t>
      </w:r>
      <w:proofErr w:type="spellEnd"/>
      <w:r w:rsidRPr="00143D29">
        <w:rPr>
          <w:rFonts w:cs="Verdana"/>
          <w:bCs/>
          <w:i/>
          <w:sz w:val="16"/>
          <w:szCs w:val="16"/>
          <w:lang w:val="es-ES_tradnl"/>
        </w:rPr>
        <w:t xml:space="preserve"> Riffo y niñas Vs. Chile. Fondo, Reparaciones y Costas</w:t>
      </w:r>
      <w:r w:rsidRPr="00143D29">
        <w:rPr>
          <w:rFonts w:cs="Verdana"/>
          <w:bCs/>
          <w:sz w:val="16"/>
          <w:szCs w:val="16"/>
          <w:lang w:val="es-ES_tradnl"/>
        </w:rPr>
        <w:t>. Sentencia de 24 de febrero de 2012. Serie C No. 239, párr. 84</w:t>
      </w:r>
      <w:r w:rsidRPr="00143D29">
        <w:rPr>
          <w:sz w:val="16"/>
          <w:szCs w:val="16"/>
          <w:lang w:val="es-ES_tradnl"/>
        </w:rPr>
        <w:t xml:space="preserve">; </w:t>
      </w:r>
      <w:r w:rsidRPr="00143D29">
        <w:rPr>
          <w:rFonts w:cs="Verdana"/>
          <w:bCs/>
          <w:i/>
          <w:sz w:val="16"/>
          <w:szCs w:val="16"/>
          <w:lang w:val="es-ES_tradnl"/>
        </w:rPr>
        <w:t>Caso de la "Masacre de Mapiripán" Vs. Colombia.</w:t>
      </w:r>
      <w:r w:rsidRPr="00143D29">
        <w:rPr>
          <w:rFonts w:cs="Verdana"/>
          <w:bCs/>
          <w:sz w:val="16"/>
          <w:szCs w:val="16"/>
          <w:lang w:val="es-ES_tradnl"/>
        </w:rPr>
        <w:t xml:space="preserve"> Sentencia de 15 de septiembre de 2005. Serie C No. 134, párr. 106;</w:t>
      </w:r>
      <w:r w:rsidRPr="00143D29">
        <w:rPr>
          <w:rFonts w:cs="Verdana"/>
          <w:b/>
          <w:bCs/>
          <w:sz w:val="16"/>
          <w:szCs w:val="16"/>
          <w:lang w:val="es-ES_tradnl"/>
        </w:rPr>
        <w:t xml:space="preserve"> </w:t>
      </w:r>
      <w:r w:rsidRPr="00143D29">
        <w:rPr>
          <w:i/>
          <w:iCs/>
          <w:sz w:val="16"/>
          <w:szCs w:val="16"/>
          <w:lang w:val="es-ES_tradnl"/>
        </w:rPr>
        <w:t xml:space="preserve">Caso Ricardo </w:t>
      </w:r>
      <w:proofErr w:type="spellStart"/>
      <w:r w:rsidRPr="00143D29">
        <w:rPr>
          <w:i/>
          <w:iCs/>
          <w:sz w:val="16"/>
          <w:szCs w:val="16"/>
          <w:lang w:val="es-ES_tradnl"/>
        </w:rPr>
        <w:t>Canese</w:t>
      </w:r>
      <w:proofErr w:type="spellEnd"/>
      <w:r w:rsidRPr="00143D29">
        <w:rPr>
          <w:sz w:val="16"/>
          <w:szCs w:val="16"/>
          <w:lang w:val="es-ES_tradnl"/>
        </w:rPr>
        <w:t xml:space="preserve">. </w:t>
      </w:r>
      <w:r w:rsidRPr="00143D29">
        <w:rPr>
          <w:i/>
          <w:sz w:val="16"/>
          <w:szCs w:val="16"/>
          <w:lang w:val="es-ES_tradnl"/>
        </w:rPr>
        <w:t xml:space="preserve">Fondo, Reparaciones y Costas. </w:t>
      </w:r>
      <w:r w:rsidRPr="00143D29">
        <w:rPr>
          <w:sz w:val="16"/>
          <w:szCs w:val="16"/>
          <w:lang w:val="es-ES_tradnl"/>
        </w:rPr>
        <w:t xml:space="preserve">Sentencia de 31 de agosto de 2004. Serie C No. 111, </w:t>
      </w:r>
      <w:proofErr w:type="spellStart"/>
      <w:r w:rsidRPr="00143D29">
        <w:rPr>
          <w:sz w:val="16"/>
          <w:szCs w:val="16"/>
          <w:lang w:val="es-ES_tradnl"/>
        </w:rPr>
        <w:t>párr</w:t>
      </w:r>
      <w:proofErr w:type="spellEnd"/>
      <w:r w:rsidRPr="00143D29">
        <w:rPr>
          <w:sz w:val="16"/>
          <w:szCs w:val="16"/>
          <w:lang w:val="es-ES_tradnl"/>
        </w:rPr>
        <w:t xml:space="preserve">. 181, y </w:t>
      </w:r>
      <w:r w:rsidRPr="00143D29">
        <w:rPr>
          <w:i/>
          <w:iCs/>
          <w:sz w:val="16"/>
          <w:szCs w:val="16"/>
          <w:lang w:val="es-ES_tradnl"/>
        </w:rPr>
        <w:t>Caso Herrera Ulloa</w:t>
      </w:r>
      <w:r w:rsidRPr="00143D29">
        <w:rPr>
          <w:sz w:val="16"/>
          <w:szCs w:val="16"/>
          <w:lang w:val="es-ES_tradnl"/>
        </w:rPr>
        <w:t xml:space="preserve">. </w:t>
      </w:r>
      <w:r w:rsidRPr="00143D29">
        <w:rPr>
          <w:i/>
          <w:sz w:val="16"/>
          <w:szCs w:val="16"/>
          <w:lang w:val="es-ES_tradnl"/>
        </w:rPr>
        <w:t xml:space="preserve">Excepciones Preliminares, Fondo, Reparaciones y Costas. </w:t>
      </w:r>
      <w:r w:rsidRPr="00143D29">
        <w:rPr>
          <w:sz w:val="16"/>
          <w:szCs w:val="16"/>
          <w:lang w:val="es-ES_tradnl"/>
        </w:rPr>
        <w:t xml:space="preserve"> Sentencia de 2 de julio de 2004. Serie C No. 107, </w:t>
      </w:r>
      <w:proofErr w:type="spellStart"/>
      <w:r w:rsidRPr="00143D29">
        <w:rPr>
          <w:sz w:val="16"/>
          <w:szCs w:val="16"/>
          <w:lang w:val="es-ES_tradnl"/>
        </w:rPr>
        <w:t>párr</w:t>
      </w:r>
      <w:proofErr w:type="spellEnd"/>
      <w:r w:rsidRPr="00143D29">
        <w:rPr>
          <w:sz w:val="16"/>
          <w:szCs w:val="16"/>
          <w:lang w:val="es-ES_tradnl"/>
        </w:rPr>
        <w:t xml:space="preserve">. 184. </w:t>
      </w:r>
    </w:p>
    <w:p w14:paraId="1B632791" w14:textId="77777777" w:rsidR="00D4299B" w:rsidRPr="00143D29" w:rsidRDefault="00D4299B" w:rsidP="00130785">
      <w:pPr>
        <w:pStyle w:val="Textonotapie"/>
        <w:tabs>
          <w:tab w:val="left" w:pos="709"/>
        </w:tabs>
        <w:spacing w:after="0"/>
        <w:rPr>
          <w:lang w:val="es-ES_tradnl"/>
        </w:rPr>
      </w:pPr>
    </w:p>
  </w:footnote>
  <w:footnote w:id="542">
    <w:p w14:paraId="45F1AFC8" w14:textId="77777777" w:rsidR="00D4299B" w:rsidRPr="00143D29" w:rsidRDefault="00D4299B" w:rsidP="00130785">
      <w:pPr>
        <w:pStyle w:val="Prrafodelista"/>
        <w:tabs>
          <w:tab w:val="left" w:pos="709"/>
        </w:tabs>
        <w:ind w:left="0"/>
        <w:rPr>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i/>
          <w:sz w:val="16"/>
          <w:szCs w:val="16"/>
          <w:lang w:val="es-ES_tradnl"/>
        </w:rPr>
        <w:t xml:space="preserve">Cfr. </w:t>
      </w:r>
      <w:r w:rsidRPr="00143D29">
        <w:rPr>
          <w:sz w:val="16"/>
          <w:szCs w:val="16"/>
          <w:lang w:val="es-ES_tradnl"/>
        </w:rPr>
        <w:t xml:space="preserve">Corte IDH. </w:t>
      </w:r>
      <w:r w:rsidRPr="00143D29">
        <w:rPr>
          <w:rFonts w:cs="Verdana"/>
          <w:bCs/>
          <w:i/>
          <w:sz w:val="16"/>
          <w:szCs w:val="16"/>
          <w:lang w:val="es-ES_tradnl"/>
        </w:rPr>
        <w:t xml:space="preserve">Caso Gonzales </w:t>
      </w:r>
      <w:proofErr w:type="spellStart"/>
      <w:r w:rsidRPr="00143D29">
        <w:rPr>
          <w:rFonts w:cs="Verdana"/>
          <w:bCs/>
          <w:i/>
          <w:sz w:val="16"/>
          <w:szCs w:val="16"/>
          <w:lang w:val="es-ES_tradnl"/>
        </w:rPr>
        <w:t>Lluy</w:t>
      </w:r>
      <w:proofErr w:type="spellEnd"/>
      <w:r w:rsidRPr="00143D29">
        <w:rPr>
          <w:rFonts w:cs="Verdana"/>
          <w:bCs/>
          <w:i/>
          <w:sz w:val="16"/>
          <w:szCs w:val="16"/>
          <w:lang w:val="es-ES_tradnl"/>
        </w:rPr>
        <w:t xml:space="preserve"> y otros Vs. Ecuador. Excepciones Preliminares, Fondo, Reparaciones y Costas. </w:t>
      </w:r>
      <w:r w:rsidRPr="00143D29">
        <w:rPr>
          <w:rFonts w:cs="Verdana"/>
          <w:bCs/>
          <w:sz w:val="16"/>
          <w:szCs w:val="16"/>
          <w:lang w:val="es-ES_tradnl"/>
        </w:rPr>
        <w:t>Sentencia de 1 de septiembre de 2015. Serie C No. 298, párr. 253;</w:t>
      </w:r>
      <w:r w:rsidRPr="00143D29">
        <w:rPr>
          <w:rFonts w:cs="Verdana"/>
          <w:bCs/>
          <w:i/>
          <w:sz w:val="16"/>
          <w:szCs w:val="16"/>
          <w:lang w:val="es-ES_tradnl"/>
        </w:rPr>
        <w:t xml:space="preserve"> </w:t>
      </w:r>
      <w:r w:rsidRPr="00143D29">
        <w:rPr>
          <w:rFonts w:cs="Verdana"/>
          <w:bCs/>
          <w:sz w:val="16"/>
          <w:szCs w:val="16"/>
          <w:lang w:val="es-ES_tradnl"/>
        </w:rPr>
        <w:t>y</w:t>
      </w:r>
      <w:r w:rsidRPr="00143D29">
        <w:rPr>
          <w:rFonts w:cs="Verdana"/>
          <w:bCs/>
          <w:i/>
          <w:sz w:val="16"/>
          <w:szCs w:val="16"/>
          <w:lang w:val="es-ES_tradnl"/>
        </w:rPr>
        <w:t xml:space="preserve"> Caso </w:t>
      </w:r>
      <w:proofErr w:type="spellStart"/>
      <w:r w:rsidRPr="00143D29">
        <w:rPr>
          <w:rFonts w:cs="Verdana"/>
          <w:bCs/>
          <w:i/>
          <w:sz w:val="16"/>
          <w:szCs w:val="16"/>
          <w:lang w:val="es-ES_tradnl"/>
        </w:rPr>
        <w:t>Atala</w:t>
      </w:r>
      <w:proofErr w:type="spellEnd"/>
      <w:r w:rsidRPr="00143D29">
        <w:rPr>
          <w:rFonts w:cs="Verdana"/>
          <w:bCs/>
          <w:i/>
          <w:sz w:val="16"/>
          <w:szCs w:val="16"/>
          <w:lang w:val="es-ES_tradnl"/>
        </w:rPr>
        <w:t xml:space="preserve"> Riffo y niñas Vs. Chile. Fondo, Reparaciones y Costas</w:t>
      </w:r>
      <w:r w:rsidRPr="00143D29">
        <w:rPr>
          <w:rFonts w:cs="Verdana"/>
          <w:bCs/>
          <w:sz w:val="16"/>
          <w:szCs w:val="16"/>
          <w:lang w:val="es-ES_tradnl"/>
        </w:rPr>
        <w:t xml:space="preserve">. Sentencia del 24 de febrero de 2012. Serie C No. 239, párr. 81. </w:t>
      </w:r>
      <w:r w:rsidRPr="00143D29">
        <w:rPr>
          <w:sz w:val="16"/>
          <w:szCs w:val="16"/>
          <w:lang w:val="es-ES_tradnl"/>
        </w:rPr>
        <w:t xml:space="preserve">Comité́ de Derechos Humanos del Pacto Internacional de Derechos Civiles y Políticos. Naciones Unidas, Comité́ de Derechos Humanos, Observación General No. 18, No discriminación, 10 de noviembre de 1989, CCPR/C/37, párr. 6. Dicho Comité́ elaboró tal definición, en el ámbito universal, tomando como base las definiciones de discriminación establecidas en el artículo 1.1 de la Convención Internacional sobre la Eliminación de todas las Formas de Discriminación Racial y el artículo 1.1 de la Convención sobre la Eliminación de Todas las Formas de Discriminación contra la Mujer. </w:t>
      </w:r>
    </w:p>
    <w:p w14:paraId="63F157C8" w14:textId="77777777" w:rsidR="00D4299B" w:rsidRPr="00143D29" w:rsidRDefault="00D4299B" w:rsidP="00130785">
      <w:pPr>
        <w:pStyle w:val="Prrafodelista"/>
        <w:tabs>
          <w:tab w:val="left" w:pos="709"/>
        </w:tabs>
        <w:ind w:left="0"/>
        <w:rPr>
          <w:i/>
          <w:sz w:val="16"/>
          <w:szCs w:val="16"/>
          <w:lang w:val="es-ES_tradnl"/>
        </w:rPr>
      </w:pPr>
    </w:p>
  </w:footnote>
  <w:footnote w:id="543">
    <w:p w14:paraId="3CC1827A"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Convenio Europeo de Derechos Humanos, aprobado en 1951, art. 14.</w:t>
      </w:r>
    </w:p>
  </w:footnote>
  <w:footnote w:id="544">
    <w:p w14:paraId="66B74E98"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Protocolo Adicional al Convenio Europeo de Derechos Humanos, de 4 de noviembre de 2000, art. 1. </w:t>
      </w:r>
    </w:p>
    <w:p w14:paraId="214F19FA" w14:textId="77777777" w:rsidR="00D4299B" w:rsidRPr="00143D29" w:rsidRDefault="00D4299B" w:rsidP="00130785">
      <w:pPr>
        <w:pStyle w:val="Textonotapie"/>
        <w:tabs>
          <w:tab w:val="left" w:pos="709"/>
        </w:tabs>
        <w:rPr>
          <w:lang w:val="es-ES_tradnl"/>
        </w:rPr>
      </w:pPr>
    </w:p>
  </w:footnote>
  <w:footnote w:id="545">
    <w:p w14:paraId="72A44FDA" w14:textId="77777777" w:rsidR="00D4299B" w:rsidRPr="00143D29" w:rsidRDefault="00D4299B" w:rsidP="00130785">
      <w:pPr>
        <w:pStyle w:val="Textonotapie"/>
        <w:tabs>
          <w:tab w:val="left" w:pos="709"/>
        </w:tabs>
        <w:spacing w:after="0"/>
        <w:rPr>
          <w:rStyle w:val="sb8d990e2"/>
          <w:rFonts w:cs="Arial"/>
          <w:color w:val="000000"/>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Style w:val="sb8d990e2"/>
          <w:rFonts w:cs="Arial"/>
          <w:i/>
          <w:color w:val="000000"/>
          <w:lang w:val="es-ES_tradnl"/>
        </w:rPr>
        <w:t>Cfr.</w:t>
      </w:r>
      <w:r w:rsidRPr="00143D29">
        <w:rPr>
          <w:rStyle w:val="sb8d990e2"/>
          <w:rFonts w:cs="Arial"/>
          <w:color w:val="000000"/>
          <w:lang w:val="es-ES_tradnl"/>
        </w:rPr>
        <w:t xml:space="preserve"> TEDH.</w:t>
      </w:r>
      <w:r w:rsidRPr="00143D29">
        <w:rPr>
          <w:rStyle w:val="sb8d990e2"/>
          <w:rFonts w:cs="Arial"/>
          <w:i/>
          <w:color w:val="000000"/>
          <w:lang w:val="es-ES_tradnl"/>
        </w:rPr>
        <w:t xml:space="preserve"> Caso </w:t>
      </w:r>
      <w:proofErr w:type="spellStart"/>
      <w:r w:rsidRPr="00143D29">
        <w:rPr>
          <w:rStyle w:val="sb8d990e2"/>
          <w:rFonts w:cs="Arial"/>
          <w:i/>
          <w:color w:val="000000"/>
          <w:lang w:val="es-ES_tradnl"/>
        </w:rPr>
        <w:t>Zornic</w:t>
      </w:r>
      <w:proofErr w:type="spellEnd"/>
      <w:r w:rsidRPr="00143D29">
        <w:rPr>
          <w:rStyle w:val="sb8d990e2"/>
          <w:rFonts w:cs="Arial"/>
          <w:i/>
          <w:color w:val="000000"/>
          <w:lang w:val="es-ES_tradnl"/>
        </w:rPr>
        <w:t xml:space="preserve"> Vs. Bosnia y Herzegovina</w:t>
      </w:r>
      <w:r w:rsidRPr="00143D29">
        <w:rPr>
          <w:rStyle w:val="sb8d990e2"/>
          <w:rFonts w:cs="Arial"/>
          <w:color w:val="000000"/>
          <w:lang w:val="es-ES_tradnl"/>
        </w:rPr>
        <w:t>, No. 3681/06, Sentencia de 15 de julio de 2014, párr. 27.</w:t>
      </w:r>
    </w:p>
    <w:p w14:paraId="24985BB4" w14:textId="77777777" w:rsidR="00D4299B" w:rsidRPr="00143D29" w:rsidRDefault="00D4299B" w:rsidP="00130785">
      <w:pPr>
        <w:pStyle w:val="Textonotapie"/>
        <w:tabs>
          <w:tab w:val="left" w:pos="709"/>
        </w:tabs>
        <w:spacing w:after="0"/>
        <w:rPr>
          <w:lang w:val="es-ES_tradnl"/>
        </w:rPr>
      </w:pPr>
    </w:p>
  </w:footnote>
  <w:footnote w:id="546">
    <w:p w14:paraId="0402C576"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 xml:space="preserve">Cfr. </w:t>
      </w:r>
      <w:r w:rsidRPr="00143D29">
        <w:rPr>
          <w:lang w:val="es-ES_tradnl"/>
        </w:rPr>
        <w:t xml:space="preserve">TEDH. </w:t>
      </w:r>
      <w:proofErr w:type="spellStart"/>
      <w:r w:rsidRPr="00143D29">
        <w:rPr>
          <w:i/>
          <w:lang w:val="es-ES_tradnl"/>
        </w:rPr>
        <w:t>Nencheva</w:t>
      </w:r>
      <w:proofErr w:type="spellEnd"/>
      <w:r w:rsidRPr="00143D29">
        <w:rPr>
          <w:i/>
          <w:lang w:val="es-ES_tradnl"/>
        </w:rPr>
        <w:t xml:space="preserve"> Vs. Bulgaria</w:t>
      </w:r>
      <w:r w:rsidRPr="00143D29">
        <w:rPr>
          <w:lang w:val="es-ES_tradnl"/>
        </w:rPr>
        <w:t>, No. 48609/</w:t>
      </w:r>
      <w:proofErr w:type="gramStart"/>
      <w:r w:rsidRPr="00143D29">
        <w:rPr>
          <w:lang w:val="es-ES_tradnl"/>
        </w:rPr>
        <w:t>06  Sentencia</w:t>
      </w:r>
      <w:proofErr w:type="gramEnd"/>
      <w:r w:rsidRPr="00143D29">
        <w:rPr>
          <w:lang w:val="es-ES_tradnl"/>
        </w:rPr>
        <w:t xml:space="preserve"> de 18 de junio de 2013. </w:t>
      </w:r>
    </w:p>
    <w:p w14:paraId="795DF4C3" w14:textId="77777777" w:rsidR="00D4299B" w:rsidRPr="00143D29" w:rsidRDefault="00D4299B" w:rsidP="00130785">
      <w:pPr>
        <w:pStyle w:val="Textonotapie"/>
        <w:tabs>
          <w:tab w:val="left" w:pos="709"/>
        </w:tabs>
        <w:spacing w:after="0"/>
        <w:rPr>
          <w:lang w:val="es-ES_tradnl"/>
        </w:rPr>
      </w:pPr>
    </w:p>
  </w:footnote>
  <w:footnote w:id="547">
    <w:p w14:paraId="2483E62F"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 xml:space="preserve">Cfr. </w:t>
      </w:r>
      <w:r w:rsidRPr="00143D29">
        <w:rPr>
          <w:lang w:val="es-ES_tradnl"/>
        </w:rPr>
        <w:t>TEDH.</w:t>
      </w:r>
      <w:r w:rsidRPr="00143D29">
        <w:rPr>
          <w:i/>
          <w:lang w:val="es-ES_tradnl"/>
        </w:rPr>
        <w:t xml:space="preserve"> </w:t>
      </w:r>
      <w:proofErr w:type="spellStart"/>
      <w:r w:rsidRPr="00143D29">
        <w:rPr>
          <w:i/>
          <w:lang w:val="es-ES_tradnl"/>
        </w:rPr>
        <w:t>Moldovan</w:t>
      </w:r>
      <w:proofErr w:type="spellEnd"/>
      <w:r w:rsidRPr="00143D29">
        <w:rPr>
          <w:i/>
          <w:lang w:val="es-ES_tradnl"/>
        </w:rPr>
        <w:t xml:space="preserve"> y Otros Vs. Rumania</w:t>
      </w:r>
      <w:r w:rsidRPr="00143D29">
        <w:rPr>
          <w:lang w:val="es-ES_tradnl"/>
        </w:rPr>
        <w:t xml:space="preserve">, no. 41138/98, Sentencia de 12 de julio de 2005 y </w:t>
      </w:r>
      <w:proofErr w:type="spellStart"/>
      <w:r w:rsidRPr="00143D29">
        <w:rPr>
          <w:i/>
          <w:lang w:val="es-ES_tradnl"/>
        </w:rPr>
        <w:t>O’Rourke</w:t>
      </w:r>
      <w:proofErr w:type="spellEnd"/>
      <w:r w:rsidRPr="00143D29">
        <w:rPr>
          <w:i/>
          <w:lang w:val="es-ES_tradnl"/>
        </w:rPr>
        <w:t xml:space="preserve"> Vs. Reino Unido</w:t>
      </w:r>
      <w:r w:rsidRPr="00143D29">
        <w:rPr>
          <w:lang w:val="es-ES_tradnl"/>
        </w:rPr>
        <w:t>, No. 39022/97, Sentencia de 26 de junio de 2001.</w:t>
      </w:r>
    </w:p>
    <w:p w14:paraId="732270F6" w14:textId="77777777" w:rsidR="00D4299B" w:rsidRPr="00143D29" w:rsidRDefault="00D4299B" w:rsidP="00130785">
      <w:pPr>
        <w:pStyle w:val="Textonotapie"/>
        <w:tabs>
          <w:tab w:val="left" w:pos="709"/>
        </w:tabs>
        <w:spacing w:after="0"/>
        <w:rPr>
          <w:lang w:val="es-ES_tradnl"/>
        </w:rPr>
      </w:pPr>
    </w:p>
  </w:footnote>
  <w:footnote w:id="548">
    <w:p w14:paraId="0B54900C" w14:textId="77777777" w:rsidR="00D4299B" w:rsidRPr="00143D29" w:rsidRDefault="00D4299B" w:rsidP="00130785">
      <w:pPr>
        <w:pStyle w:val="Textonotapie"/>
        <w:tabs>
          <w:tab w:val="clear" w:pos="4419"/>
          <w:tab w:val="left" w:pos="567"/>
          <w:tab w:val="left" w:pos="709"/>
        </w:tabs>
        <w:rPr>
          <w:lang w:val="es-ES_tradnl"/>
        </w:rPr>
      </w:pPr>
      <w:r w:rsidRPr="00143D29">
        <w:rPr>
          <w:rStyle w:val="Refdenotaalpie"/>
        </w:rPr>
        <w:footnoteRef/>
      </w:r>
      <w:r w:rsidRPr="00143D29">
        <w:rPr>
          <w:lang w:val="es-ES_tradnl"/>
        </w:rPr>
        <w:t xml:space="preserve"> </w:t>
      </w:r>
      <w:r w:rsidRPr="00143D29">
        <w:rPr>
          <w:lang w:val="es-ES_tradnl"/>
        </w:rPr>
        <w:tab/>
        <w:t xml:space="preserve">  </w:t>
      </w:r>
      <w:r w:rsidRPr="00143D29">
        <w:rPr>
          <w:i/>
          <w:lang w:val="es-ES_tradnl"/>
        </w:rPr>
        <w:t xml:space="preserve">Cfr. </w:t>
      </w:r>
      <w:r w:rsidRPr="00143D29">
        <w:rPr>
          <w:lang w:val="es-ES_tradnl"/>
        </w:rPr>
        <w:t>TEDH.</w:t>
      </w:r>
      <w:r w:rsidRPr="00143D29">
        <w:rPr>
          <w:i/>
          <w:lang w:val="es-ES_tradnl"/>
        </w:rPr>
        <w:t xml:space="preserve"> Caso </w:t>
      </w:r>
      <w:proofErr w:type="spellStart"/>
      <w:r w:rsidRPr="00143D29">
        <w:rPr>
          <w:i/>
          <w:lang w:val="es-ES_tradnl"/>
        </w:rPr>
        <w:t>Wallova</w:t>
      </w:r>
      <w:proofErr w:type="spellEnd"/>
      <w:r w:rsidRPr="00143D29">
        <w:rPr>
          <w:i/>
          <w:lang w:val="es-ES_tradnl"/>
        </w:rPr>
        <w:t xml:space="preserve"> y </w:t>
      </w:r>
      <w:proofErr w:type="spellStart"/>
      <w:r w:rsidRPr="00143D29">
        <w:rPr>
          <w:i/>
          <w:lang w:val="es-ES_tradnl"/>
        </w:rPr>
        <w:t>Wallov</w:t>
      </w:r>
      <w:proofErr w:type="spellEnd"/>
      <w:r w:rsidRPr="00143D29">
        <w:rPr>
          <w:i/>
          <w:lang w:val="es-ES_tradnl"/>
        </w:rPr>
        <w:t xml:space="preserve"> Vs. República Checa</w:t>
      </w:r>
      <w:r w:rsidRPr="00143D29">
        <w:rPr>
          <w:lang w:val="es-ES_tradnl"/>
        </w:rPr>
        <w:t>, No 23848/</w:t>
      </w:r>
      <w:proofErr w:type="gramStart"/>
      <w:r w:rsidRPr="00143D29">
        <w:rPr>
          <w:lang w:val="es-ES_tradnl"/>
        </w:rPr>
        <w:t>04,  Sentencia</w:t>
      </w:r>
      <w:proofErr w:type="gramEnd"/>
      <w:r w:rsidRPr="00143D29">
        <w:rPr>
          <w:lang w:val="es-ES_tradnl"/>
        </w:rPr>
        <w:t xml:space="preserve"> de  26 de octubre de 2006. </w:t>
      </w:r>
    </w:p>
    <w:p w14:paraId="4626C771" w14:textId="77777777" w:rsidR="00D4299B" w:rsidRPr="00143D29" w:rsidRDefault="00D4299B" w:rsidP="00130785">
      <w:pPr>
        <w:pStyle w:val="Textonotapie"/>
        <w:rPr>
          <w:lang w:val="es-ES_tradnl"/>
        </w:rPr>
      </w:pPr>
    </w:p>
  </w:footnote>
  <w:footnote w:id="549">
    <w:p w14:paraId="58BE24E6" w14:textId="77777777" w:rsidR="00D4299B" w:rsidRPr="00143D29" w:rsidRDefault="00D4299B" w:rsidP="00130785">
      <w:pPr>
        <w:pStyle w:val="Textonotapie"/>
        <w:tabs>
          <w:tab w:val="left" w:pos="709"/>
        </w:tabs>
        <w:spacing w:after="0"/>
        <w:rPr>
          <w:lang w:val="es-ES"/>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Cfr.</w:t>
      </w:r>
      <w:r w:rsidRPr="00143D29">
        <w:rPr>
          <w:lang w:val="es-ES_tradnl"/>
        </w:rPr>
        <w:t xml:space="preserve"> TEDH. </w:t>
      </w:r>
      <w:proofErr w:type="spellStart"/>
      <w:r w:rsidRPr="00143D29">
        <w:rPr>
          <w:i/>
          <w:lang w:val="es-ES_tradnl"/>
        </w:rPr>
        <w:t>Öneryildiz</w:t>
      </w:r>
      <w:proofErr w:type="spellEnd"/>
      <w:r w:rsidRPr="00143D29">
        <w:rPr>
          <w:i/>
          <w:lang w:val="es-ES_tradnl"/>
        </w:rPr>
        <w:t xml:space="preserve"> Vs. </w:t>
      </w:r>
      <w:r w:rsidRPr="00143D29">
        <w:rPr>
          <w:i/>
          <w:lang w:val="es-ES"/>
        </w:rPr>
        <w:t>Turquía</w:t>
      </w:r>
      <w:r w:rsidRPr="00143D29">
        <w:rPr>
          <w:lang w:val="es-ES"/>
        </w:rPr>
        <w:t xml:space="preserve">, No. 48939/99, Sentencia de 20 de noviembre de 2004. </w:t>
      </w:r>
    </w:p>
  </w:footnote>
  <w:footnote w:id="550">
    <w:p w14:paraId="119A6625" w14:textId="77777777" w:rsidR="00D4299B" w:rsidRPr="00143D29" w:rsidRDefault="00D4299B" w:rsidP="00130785">
      <w:pPr>
        <w:pStyle w:val="Textonotapie"/>
        <w:tabs>
          <w:tab w:val="left" w:pos="709"/>
        </w:tabs>
        <w:rPr>
          <w:lang w:val="es-ES"/>
        </w:rPr>
      </w:pPr>
    </w:p>
    <w:p w14:paraId="6B4D6411"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Carta Social Europea</w:t>
      </w:r>
      <w:r w:rsidRPr="00143D29">
        <w:rPr>
          <w:lang w:val="es-ES_tradnl"/>
        </w:rPr>
        <w:t xml:space="preserve">, aprobada el 18 de octubre de 1961, art. 30. </w:t>
      </w:r>
    </w:p>
    <w:p w14:paraId="1304DD16" w14:textId="77777777" w:rsidR="00D4299B" w:rsidRPr="00143D29" w:rsidRDefault="00D4299B" w:rsidP="00130785">
      <w:pPr>
        <w:pStyle w:val="Textonotapie"/>
        <w:tabs>
          <w:tab w:val="left" w:pos="709"/>
        </w:tabs>
        <w:rPr>
          <w:lang w:val="es-ES_tradnl"/>
        </w:rPr>
      </w:pPr>
    </w:p>
  </w:footnote>
  <w:footnote w:id="551">
    <w:p w14:paraId="3CA240AD"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proofErr w:type="spellStart"/>
      <w:r w:rsidRPr="00143D29">
        <w:rPr>
          <w:lang w:val="es-ES_tradnl"/>
        </w:rPr>
        <w:t>Khaliq</w:t>
      </w:r>
      <w:proofErr w:type="spellEnd"/>
      <w:r w:rsidRPr="00143D29">
        <w:rPr>
          <w:lang w:val="es-ES_tradnl"/>
        </w:rPr>
        <w:t xml:space="preserve">, </w:t>
      </w:r>
      <w:proofErr w:type="spellStart"/>
      <w:r w:rsidRPr="00143D29">
        <w:rPr>
          <w:lang w:val="es-ES_tradnl"/>
        </w:rPr>
        <w:t>Urfan</w:t>
      </w:r>
      <w:proofErr w:type="spellEnd"/>
      <w:r w:rsidRPr="00143D29">
        <w:rPr>
          <w:lang w:val="es-ES_tradnl"/>
        </w:rPr>
        <w:t xml:space="preserve"> y Churchill, Robín </w:t>
      </w:r>
      <w:r w:rsidRPr="00143D29">
        <w:rPr>
          <w:i/>
          <w:lang w:val="es-ES_tradnl"/>
        </w:rPr>
        <w:t xml:space="preserve">El Comité Europeo de Derechos Sociales: darle cuerpo al esqueleto de la Carta Social Europea, </w:t>
      </w:r>
      <w:r w:rsidRPr="00143D29">
        <w:rPr>
          <w:lang w:val="es-ES_tradnl"/>
        </w:rPr>
        <w:t xml:space="preserve">en Langford, Malcolm (edit.) </w:t>
      </w:r>
      <w:r w:rsidRPr="00143D29">
        <w:rPr>
          <w:i/>
          <w:lang w:val="es-ES_tradnl"/>
        </w:rPr>
        <w:t xml:space="preserve">Teoría y jurisprudencia de los derechos sociales. Tendencias emergentes en el derecho internacional y comparado, </w:t>
      </w:r>
      <w:r w:rsidRPr="00143D29">
        <w:rPr>
          <w:lang w:val="es-ES_tradnl"/>
        </w:rPr>
        <w:t xml:space="preserve">Bogotá, Siglo del Hombre Editores- Universidad de los Andes, 2013. </w:t>
      </w:r>
    </w:p>
    <w:p w14:paraId="379802B7" w14:textId="77777777" w:rsidR="00D4299B" w:rsidRPr="00143D29" w:rsidRDefault="00D4299B" w:rsidP="00130785">
      <w:pPr>
        <w:pStyle w:val="Textonotapie"/>
        <w:tabs>
          <w:tab w:val="left" w:pos="709"/>
        </w:tabs>
        <w:rPr>
          <w:lang w:val="es-ES_tradnl"/>
        </w:rPr>
      </w:pPr>
    </w:p>
  </w:footnote>
  <w:footnote w:id="552">
    <w:p w14:paraId="5DAD0676" w14:textId="77777777" w:rsidR="00D4299B" w:rsidRPr="00143D29" w:rsidRDefault="00D4299B" w:rsidP="00130785">
      <w:pPr>
        <w:pStyle w:val="NormalWeb"/>
        <w:tabs>
          <w:tab w:val="left" w:pos="709"/>
        </w:tabs>
        <w:spacing w:before="0" w:beforeAutospacing="0" w:after="0" w:afterAutospacing="0"/>
        <w:jc w:val="both"/>
        <w:rPr>
          <w:sz w:val="16"/>
          <w:szCs w:val="16"/>
          <w:lang w:val="es-ES"/>
        </w:rPr>
      </w:pPr>
      <w:r w:rsidRPr="00143D29">
        <w:rPr>
          <w:rStyle w:val="Refdenotaalpie"/>
          <w:sz w:val="16"/>
          <w:szCs w:val="16"/>
          <w:lang w:val="es-ES_tradnl"/>
        </w:rPr>
        <w:footnoteRef/>
      </w:r>
      <w:r w:rsidRPr="00143D29">
        <w:rPr>
          <w:sz w:val="16"/>
          <w:szCs w:val="16"/>
          <w:lang w:val="en-US"/>
        </w:rPr>
        <w:t xml:space="preserve"> </w:t>
      </w:r>
      <w:r w:rsidRPr="00143D29">
        <w:rPr>
          <w:sz w:val="16"/>
          <w:szCs w:val="16"/>
          <w:lang w:val="en-US"/>
        </w:rPr>
        <w:tab/>
        <w:t xml:space="preserve">CADHP, Caso </w:t>
      </w:r>
      <w:r w:rsidRPr="00143D29">
        <w:rPr>
          <w:rFonts w:cs="Arial"/>
          <w:sz w:val="16"/>
          <w:szCs w:val="16"/>
          <w:lang w:val="en-US"/>
        </w:rPr>
        <w:t xml:space="preserve">276/03: Centre for Minority Rights Development (Kenya) and Minority Rights Group (on behalf of </w:t>
      </w:r>
      <w:proofErr w:type="spellStart"/>
      <w:r w:rsidRPr="00143D29">
        <w:rPr>
          <w:rFonts w:cs="Arial"/>
          <w:sz w:val="16"/>
          <w:szCs w:val="16"/>
          <w:lang w:val="en-US"/>
        </w:rPr>
        <w:t>Endorois</w:t>
      </w:r>
      <w:proofErr w:type="spellEnd"/>
      <w:r w:rsidRPr="00143D29">
        <w:rPr>
          <w:rFonts w:cs="Arial"/>
          <w:sz w:val="16"/>
          <w:szCs w:val="16"/>
          <w:lang w:val="en-US"/>
        </w:rPr>
        <w:t xml:space="preserve"> Welfare Council) / Vs. </w:t>
      </w:r>
      <w:proofErr w:type="spellStart"/>
      <w:r w:rsidRPr="00143D29">
        <w:rPr>
          <w:rFonts w:cs="Arial"/>
          <w:sz w:val="16"/>
          <w:szCs w:val="16"/>
          <w:lang w:val="es-ES"/>
        </w:rPr>
        <w:t>Kenya</w:t>
      </w:r>
      <w:proofErr w:type="spellEnd"/>
      <w:r w:rsidRPr="00143D29">
        <w:rPr>
          <w:rFonts w:cs="Arial"/>
          <w:sz w:val="16"/>
          <w:szCs w:val="16"/>
          <w:lang w:val="es-ES"/>
        </w:rPr>
        <w:t xml:space="preserve">, 25 de noviembre de 2009. </w:t>
      </w:r>
    </w:p>
    <w:p w14:paraId="51DDD0DB" w14:textId="77777777" w:rsidR="00D4299B" w:rsidRPr="00143D29" w:rsidRDefault="00D4299B" w:rsidP="00130785">
      <w:pPr>
        <w:pStyle w:val="Textonotapie"/>
        <w:tabs>
          <w:tab w:val="left" w:pos="709"/>
        </w:tabs>
        <w:spacing w:after="0"/>
        <w:rPr>
          <w:lang w:val="es-ES"/>
        </w:rPr>
      </w:pPr>
    </w:p>
  </w:footnote>
  <w:footnote w:id="553">
    <w:p w14:paraId="45A2424A" w14:textId="77777777" w:rsidR="00D4299B" w:rsidRPr="00143D29" w:rsidRDefault="00D4299B" w:rsidP="00130785">
      <w:pPr>
        <w:pStyle w:val="Textonotapie"/>
        <w:tabs>
          <w:tab w:val="left" w:pos="709"/>
        </w:tabs>
      </w:pPr>
      <w:r w:rsidRPr="00143D29">
        <w:rPr>
          <w:rStyle w:val="Refdenotaalpie"/>
          <w:lang w:val="es-ES_tradnl"/>
        </w:rPr>
        <w:footnoteRef/>
      </w:r>
      <w:r w:rsidRPr="00143D29">
        <w:rPr>
          <w:lang w:val="es-ES_tradnl"/>
        </w:rPr>
        <w:t xml:space="preserve"> </w:t>
      </w:r>
      <w:r w:rsidRPr="00143D29">
        <w:rPr>
          <w:lang w:val="es-ES_tradnl"/>
        </w:rPr>
        <w:tab/>
        <w:t xml:space="preserve">El </w:t>
      </w:r>
      <w:r w:rsidRPr="00143D29">
        <w:rPr>
          <w:rFonts w:cs="Verdana"/>
          <w:bCs/>
          <w:lang w:val="es-ES_tradnl"/>
        </w:rPr>
        <w:t xml:space="preserve">Artículo 22 de la Carta Africana de Derechos Humanos y de los Pueblos dispone que: </w:t>
      </w:r>
      <w:r w:rsidRPr="00143D29">
        <w:rPr>
          <w:rFonts w:cs="Verdana"/>
          <w:lang w:val="es-ES_tradnl"/>
        </w:rPr>
        <w:t xml:space="preserve">1. Todos los pueblos tendrán derecho a su desarrollo económico, social y cultural, con la debida consideración a su libertad e identidad y disfrutando por igual de la herencia común de la humanidad y 2. Los Estados tendrán el deber, individual o colectivamente, de garantizar el ejercicio del derecho al desarrollo. </w:t>
      </w:r>
      <w:r w:rsidRPr="00143D29">
        <w:rPr>
          <w:lang w:val="es-ES_tradnl"/>
        </w:rPr>
        <w:t xml:space="preserve">El Sistema Africano de Derechos Humanos presenta menos problemas al momento de hacer efectivos los derechos de carácter económico, social y cultural. Como se mencionó anteriormente, la Carta Africana de los Derechos del Hombre y de los Pueblos, de 1981, contempla tanto derechos civiles y políticos como derechos de índole económico, social y cultural. </w:t>
      </w:r>
      <w:proofErr w:type="spellStart"/>
      <w:r w:rsidRPr="00143D29">
        <w:t>Ssenyonjo</w:t>
      </w:r>
      <w:proofErr w:type="spellEnd"/>
      <w:r w:rsidRPr="00143D29">
        <w:t xml:space="preserve">, </w:t>
      </w:r>
      <w:proofErr w:type="spellStart"/>
      <w:r w:rsidRPr="00143D29">
        <w:t>Manisuli</w:t>
      </w:r>
      <w:proofErr w:type="spellEnd"/>
      <w:r w:rsidRPr="00143D29">
        <w:t xml:space="preserve">, </w:t>
      </w:r>
      <w:r w:rsidRPr="00143D29">
        <w:rPr>
          <w:i/>
        </w:rPr>
        <w:t>Economic, “</w:t>
      </w:r>
      <w:r w:rsidRPr="00143D29">
        <w:t xml:space="preserve">Social and Cultural Rights in the African Charter”, </w:t>
      </w:r>
      <w:proofErr w:type="spellStart"/>
      <w:r w:rsidRPr="00143D29">
        <w:t>en</w:t>
      </w:r>
      <w:proofErr w:type="spellEnd"/>
      <w:r w:rsidRPr="00143D29">
        <w:t xml:space="preserve"> </w:t>
      </w:r>
      <w:proofErr w:type="spellStart"/>
      <w:r w:rsidRPr="00143D29">
        <w:t>Ssenyonjo</w:t>
      </w:r>
      <w:proofErr w:type="spellEnd"/>
      <w:r w:rsidRPr="00143D29">
        <w:t xml:space="preserve">, </w:t>
      </w:r>
      <w:proofErr w:type="spellStart"/>
      <w:r w:rsidRPr="00143D29">
        <w:t>Manisuli</w:t>
      </w:r>
      <w:proofErr w:type="spellEnd"/>
      <w:r w:rsidRPr="00143D29">
        <w:t xml:space="preserve"> (edited), </w:t>
      </w:r>
      <w:r w:rsidRPr="00143D29">
        <w:rPr>
          <w:i/>
        </w:rPr>
        <w:t xml:space="preserve">The African Regional Human Rights System: 30 years after the African Charter on Human and People´s Rights, </w:t>
      </w:r>
      <w:r w:rsidRPr="00143D29">
        <w:t xml:space="preserve">Leiden-Boston, </w:t>
      </w:r>
      <w:proofErr w:type="spellStart"/>
      <w:r w:rsidRPr="00143D29">
        <w:t>Martinus</w:t>
      </w:r>
      <w:proofErr w:type="spellEnd"/>
      <w:r w:rsidRPr="00143D29">
        <w:t xml:space="preserve"> </w:t>
      </w:r>
      <w:proofErr w:type="spellStart"/>
      <w:r w:rsidRPr="00143D29">
        <w:t>Nijhoff</w:t>
      </w:r>
      <w:proofErr w:type="spellEnd"/>
      <w:r w:rsidRPr="00143D29">
        <w:t xml:space="preserve"> Publishers, 2012, p. 57. </w:t>
      </w:r>
      <w:proofErr w:type="spellStart"/>
      <w:r w:rsidRPr="00143D29">
        <w:t>En</w:t>
      </w:r>
      <w:proofErr w:type="spellEnd"/>
      <w:r w:rsidRPr="00143D29">
        <w:t xml:space="preserve"> similar </w:t>
      </w:r>
      <w:proofErr w:type="spellStart"/>
      <w:r w:rsidRPr="00143D29">
        <w:t>sentido</w:t>
      </w:r>
      <w:proofErr w:type="spellEnd"/>
      <w:r w:rsidRPr="00143D29">
        <w:t xml:space="preserve"> </w:t>
      </w:r>
      <w:proofErr w:type="spellStart"/>
      <w:r w:rsidRPr="00143D29">
        <w:t>véase</w:t>
      </w:r>
      <w:proofErr w:type="spellEnd"/>
      <w:r w:rsidRPr="00143D29">
        <w:t xml:space="preserve">: </w:t>
      </w:r>
      <w:proofErr w:type="spellStart"/>
      <w:r w:rsidRPr="00143D29">
        <w:t>Alemahu</w:t>
      </w:r>
      <w:proofErr w:type="spellEnd"/>
      <w:r w:rsidRPr="00143D29">
        <w:t xml:space="preserve"> </w:t>
      </w:r>
      <w:proofErr w:type="spellStart"/>
      <w:r w:rsidRPr="00143D29">
        <w:t>Yeshanew</w:t>
      </w:r>
      <w:proofErr w:type="spellEnd"/>
      <w:r w:rsidRPr="00143D29">
        <w:t xml:space="preserve">, </w:t>
      </w:r>
      <w:proofErr w:type="spellStart"/>
      <w:r w:rsidRPr="00143D29">
        <w:t>Sisay</w:t>
      </w:r>
      <w:proofErr w:type="spellEnd"/>
      <w:r w:rsidRPr="00143D29">
        <w:t xml:space="preserve">, </w:t>
      </w:r>
      <w:r w:rsidRPr="00143D29">
        <w:rPr>
          <w:i/>
        </w:rPr>
        <w:t xml:space="preserve">The Justiciability of </w:t>
      </w:r>
      <w:proofErr w:type="spellStart"/>
      <w:r w:rsidRPr="00143D29">
        <w:rPr>
          <w:i/>
        </w:rPr>
        <w:t>Economis</w:t>
      </w:r>
      <w:proofErr w:type="spellEnd"/>
      <w:r w:rsidRPr="00143D29">
        <w:rPr>
          <w:i/>
        </w:rPr>
        <w:t xml:space="preserve">, Social and Cultural Rights in the African Regional Human Rights System, </w:t>
      </w:r>
      <w:proofErr w:type="spellStart"/>
      <w:r w:rsidRPr="00143D29">
        <w:t>Cambrige</w:t>
      </w:r>
      <w:proofErr w:type="spellEnd"/>
      <w:r w:rsidRPr="00143D29">
        <w:t xml:space="preserve">, </w:t>
      </w:r>
      <w:proofErr w:type="spellStart"/>
      <w:r w:rsidRPr="00143D29">
        <w:t>Intersentia</w:t>
      </w:r>
      <w:proofErr w:type="spellEnd"/>
      <w:r w:rsidRPr="00143D29">
        <w:t xml:space="preserve">, 2013, p. 241. </w:t>
      </w:r>
    </w:p>
    <w:p w14:paraId="7CD5FDD3" w14:textId="77777777" w:rsidR="00D4299B" w:rsidRPr="00143D29" w:rsidRDefault="00D4299B" w:rsidP="00130785">
      <w:pPr>
        <w:widowControl w:val="0"/>
        <w:tabs>
          <w:tab w:val="left" w:pos="709"/>
        </w:tabs>
        <w:autoSpaceDE w:val="0"/>
        <w:autoSpaceDN w:val="0"/>
        <w:adjustRightInd w:val="0"/>
        <w:jc w:val="both"/>
        <w:rPr>
          <w:rFonts w:cs="Times"/>
          <w:sz w:val="16"/>
          <w:szCs w:val="16"/>
          <w:lang w:val="en-US"/>
        </w:rPr>
      </w:pPr>
    </w:p>
  </w:footnote>
  <w:footnote w:id="554">
    <w:p w14:paraId="38778BE7" w14:textId="77777777" w:rsidR="00D4299B" w:rsidRPr="00143D29" w:rsidRDefault="00D4299B" w:rsidP="00130785">
      <w:pPr>
        <w:widowControl w:val="0"/>
        <w:tabs>
          <w:tab w:val="left" w:pos="709"/>
        </w:tabs>
        <w:autoSpaceDE w:val="0"/>
        <w:autoSpaceDN w:val="0"/>
        <w:adjustRightInd w:val="0"/>
        <w:jc w:val="both"/>
        <w:rPr>
          <w:rFonts w:cs="Georgia"/>
          <w:bCs/>
          <w:iCs/>
          <w:color w:val="262626"/>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Georgia"/>
          <w:bCs/>
          <w:iCs/>
          <w:color w:val="262626"/>
          <w:sz w:val="16"/>
          <w:szCs w:val="16"/>
        </w:rPr>
        <w:t>El artículo 1.</w:t>
      </w:r>
      <w:r w:rsidRPr="00143D29">
        <w:rPr>
          <w:rFonts w:cs="Georgia"/>
          <w:color w:val="262626"/>
          <w:sz w:val="16"/>
          <w:szCs w:val="16"/>
        </w:rPr>
        <w:t>1. del Convenio se</w:t>
      </w:r>
      <w:proofErr w:type="spellStart"/>
      <w:r w:rsidRPr="00143D29">
        <w:rPr>
          <w:rFonts w:cs="Georgia"/>
          <w:color w:val="262626"/>
          <w:sz w:val="16"/>
          <w:szCs w:val="16"/>
          <w:lang w:val="es-ES"/>
        </w:rPr>
        <w:t>ñala</w:t>
      </w:r>
      <w:proofErr w:type="spellEnd"/>
      <w:r w:rsidRPr="00143D29">
        <w:rPr>
          <w:rFonts w:cs="Georgia"/>
          <w:color w:val="262626"/>
          <w:sz w:val="16"/>
          <w:szCs w:val="16"/>
          <w:lang w:val="es-ES"/>
        </w:rPr>
        <w:t>:</w:t>
      </w:r>
      <w:r w:rsidRPr="00143D29">
        <w:rPr>
          <w:rFonts w:cs="Georgia"/>
          <w:color w:val="262626"/>
          <w:sz w:val="16"/>
          <w:szCs w:val="16"/>
        </w:rPr>
        <w:t xml:space="preserve"> </w:t>
      </w:r>
      <w:r w:rsidRPr="00143D29">
        <w:rPr>
          <w:rFonts w:cs="Georgia"/>
          <w:color w:val="262626"/>
          <w:sz w:val="16"/>
          <w:szCs w:val="16"/>
          <w:lang w:val="es-ES"/>
        </w:rPr>
        <w:t>“</w:t>
      </w:r>
      <w:r w:rsidRPr="00143D29">
        <w:rPr>
          <w:rFonts w:cs="Georgia"/>
          <w:color w:val="262626"/>
          <w:sz w:val="16"/>
          <w:szCs w:val="16"/>
        </w:rPr>
        <w:t xml:space="preserve">A los efectos de este Convenio, el término </w:t>
      </w:r>
      <w:r w:rsidRPr="00143D29">
        <w:rPr>
          <w:rFonts w:cs="Georgia"/>
          <w:bCs/>
          <w:iCs/>
          <w:color w:val="262626"/>
          <w:sz w:val="16"/>
          <w:szCs w:val="16"/>
        </w:rPr>
        <w:t>discriminación</w:t>
      </w:r>
      <w:r w:rsidRPr="00143D29">
        <w:rPr>
          <w:rFonts w:cs="Georgia"/>
          <w:color w:val="262626"/>
          <w:sz w:val="16"/>
          <w:szCs w:val="16"/>
        </w:rPr>
        <w:t xml:space="preserve"> comprende:</w:t>
      </w:r>
      <w:r w:rsidRPr="00143D29">
        <w:rPr>
          <w:rFonts w:cs="Georgia"/>
          <w:bCs/>
          <w:iCs/>
          <w:color w:val="262626"/>
          <w:sz w:val="16"/>
          <w:szCs w:val="16"/>
        </w:rPr>
        <w:t xml:space="preserve"> </w:t>
      </w:r>
      <w:r w:rsidRPr="00143D29">
        <w:rPr>
          <w:rFonts w:cs="Georgia"/>
          <w:color w:val="262626"/>
          <w:sz w:val="16"/>
          <w:szCs w:val="16"/>
        </w:rPr>
        <w:t>(a) cualquier distinción, exclusión o preferencia basada en motivos de raza, color, sexo, religión, opinión política, ascendencia nacional u origen social que tenga por efecto anular o alterar la igualdad de oportunidades o de trato en el empleo y la ocupación;</w:t>
      </w:r>
      <w:r w:rsidRPr="00143D29">
        <w:rPr>
          <w:rFonts w:cs="Georgia"/>
          <w:bCs/>
          <w:iCs/>
          <w:color w:val="262626"/>
          <w:sz w:val="16"/>
          <w:szCs w:val="16"/>
        </w:rPr>
        <w:t xml:space="preserve"> [y] </w:t>
      </w:r>
      <w:r w:rsidRPr="00143D29">
        <w:rPr>
          <w:rFonts w:cs="Georgia"/>
          <w:color w:val="262626"/>
          <w:sz w:val="16"/>
          <w:szCs w:val="16"/>
        </w:rPr>
        <w:t>(b) cualquier otra distinción, exclusión o preferencia que tenga por efecto anular o alterar la igualdad de oportunidades o de trato en el empleo u ocupación que podrá ser especificada por el miembro interesado previa consulta con las organizaciones representativas de empleadores y de trabajadores, cuando dichas organizaciones existan, y con otros organismos apropiados”.</w:t>
      </w:r>
    </w:p>
  </w:footnote>
  <w:footnote w:id="555">
    <w:p w14:paraId="5D3EE752" w14:textId="77777777" w:rsidR="00D4299B" w:rsidRPr="00143D29" w:rsidRDefault="00D4299B" w:rsidP="00130785">
      <w:pPr>
        <w:widowControl w:val="0"/>
        <w:tabs>
          <w:tab w:val="left" w:pos="709"/>
        </w:tabs>
        <w:autoSpaceDE w:val="0"/>
        <w:autoSpaceDN w:val="0"/>
        <w:adjustRightInd w:val="0"/>
        <w:jc w:val="both"/>
        <w:rPr>
          <w:sz w:val="16"/>
          <w:szCs w:val="16"/>
        </w:rPr>
      </w:pPr>
    </w:p>
    <w:p w14:paraId="513D1CCA" w14:textId="77777777" w:rsidR="00D4299B" w:rsidRPr="00143D29" w:rsidRDefault="00D4299B" w:rsidP="00130785">
      <w:pPr>
        <w:widowControl w:val="0"/>
        <w:tabs>
          <w:tab w:val="left" w:pos="709"/>
        </w:tabs>
        <w:autoSpaceDE w:val="0"/>
        <w:autoSpaceDN w:val="0"/>
        <w:adjustRightInd w:val="0"/>
        <w:jc w:val="both"/>
        <w:rPr>
          <w:rFonts w:cs="Verdana"/>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Verdana"/>
          <w:bCs/>
          <w:sz w:val="16"/>
          <w:szCs w:val="16"/>
        </w:rPr>
        <w:t>El art</w:t>
      </w:r>
      <w:proofErr w:type="spellStart"/>
      <w:r w:rsidRPr="00143D29">
        <w:rPr>
          <w:rFonts w:cs="Verdana"/>
          <w:bCs/>
          <w:sz w:val="16"/>
          <w:szCs w:val="16"/>
          <w:lang w:val="es-ES"/>
        </w:rPr>
        <w:t>ículo</w:t>
      </w:r>
      <w:proofErr w:type="spellEnd"/>
      <w:r w:rsidRPr="00143D29">
        <w:rPr>
          <w:rFonts w:cs="Verdana"/>
          <w:bCs/>
          <w:sz w:val="16"/>
          <w:szCs w:val="16"/>
          <w:lang w:val="es-ES"/>
        </w:rPr>
        <w:t xml:space="preserve"> 1.1 de la Convención establece: “</w:t>
      </w:r>
      <w:r w:rsidRPr="00143D29">
        <w:rPr>
          <w:rFonts w:cs="Verdana"/>
          <w:sz w:val="16"/>
          <w:szCs w:val="16"/>
        </w:rPr>
        <w:t xml:space="preserve">A los efectos de la presente Convención, se entiende por “discriminación” toda distinción, exclusión, limitación o preferencia, fundada en la raza, el color, el sexo, el idioma, la religión, las opiniones políticas o de cualquier otra índole, el origen nacional o social, la </w:t>
      </w:r>
      <w:r w:rsidRPr="00143D29">
        <w:rPr>
          <w:rFonts w:cs="Verdana"/>
          <w:sz w:val="16"/>
          <w:szCs w:val="16"/>
          <w:u w:val="single"/>
        </w:rPr>
        <w:t>posición económica</w:t>
      </w:r>
      <w:r w:rsidRPr="00143D29">
        <w:rPr>
          <w:rFonts w:cs="Verdana"/>
          <w:sz w:val="16"/>
          <w:szCs w:val="16"/>
        </w:rPr>
        <w:t xml:space="preserve"> o el nacimiento, que tenga por finalidad o por efecto destruir o alterar la igualdad de trato en la esfera de la enseñanza (…)”.</w:t>
      </w:r>
    </w:p>
  </w:footnote>
  <w:footnote w:id="556">
    <w:p w14:paraId="30864FB8" w14:textId="77777777" w:rsidR="00D4299B" w:rsidRPr="00143D29" w:rsidRDefault="00D4299B" w:rsidP="00130785">
      <w:pPr>
        <w:widowControl w:val="0"/>
        <w:tabs>
          <w:tab w:val="left" w:pos="709"/>
        </w:tabs>
        <w:autoSpaceDE w:val="0"/>
        <w:autoSpaceDN w:val="0"/>
        <w:adjustRightInd w:val="0"/>
        <w:jc w:val="both"/>
        <w:rPr>
          <w:sz w:val="16"/>
          <w:szCs w:val="16"/>
        </w:rPr>
      </w:pPr>
    </w:p>
    <w:p w14:paraId="2BAD139F" w14:textId="77777777" w:rsidR="00D4299B" w:rsidRPr="00143D29" w:rsidRDefault="00D4299B" w:rsidP="00130785">
      <w:pPr>
        <w:widowControl w:val="0"/>
        <w:tabs>
          <w:tab w:val="left" w:pos="709"/>
        </w:tabs>
        <w:autoSpaceDE w:val="0"/>
        <w:autoSpaceDN w:val="0"/>
        <w:adjustRightInd w:val="0"/>
        <w:jc w:val="both"/>
        <w:rPr>
          <w:rFonts w:cs="Verdana"/>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Verdana"/>
          <w:bCs/>
          <w:sz w:val="16"/>
          <w:szCs w:val="16"/>
        </w:rPr>
        <w:t>El art</w:t>
      </w:r>
      <w:proofErr w:type="spellStart"/>
      <w:r w:rsidRPr="00143D29">
        <w:rPr>
          <w:rFonts w:cs="Verdana"/>
          <w:bCs/>
          <w:sz w:val="16"/>
          <w:szCs w:val="16"/>
          <w:lang w:val="es-ES"/>
        </w:rPr>
        <w:t>ículo</w:t>
      </w:r>
      <w:proofErr w:type="spellEnd"/>
      <w:r w:rsidRPr="00143D29">
        <w:rPr>
          <w:rFonts w:cs="Verdana"/>
          <w:bCs/>
          <w:sz w:val="16"/>
          <w:szCs w:val="16"/>
          <w:lang w:val="es-ES"/>
        </w:rPr>
        <w:t xml:space="preserve"> 1.1 de la Convención dispone “</w:t>
      </w:r>
      <w:r w:rsidRPr="00143D29">
        <w:rPr>
          <w:rFonts w:cs="Verdana"/>
          <w:sz w:val="16"/>
          <w:szCs w:val="16"/>
        </w:rPr>
        <w:t>En la presente Convención la expresión "discriminación racial"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p>
    <w:p w14:paraId="29D68312" w14:textId="77777777" w:rsidR="00D4299B" w:rsidRPr="00143D29" w:rsidRDefault="00D4299B" w:rsidP="00130785">
      <w:pPr>
        <w:widowControl w:val="0"/>
        <w:tabs>
          <w:tab w:val="left" w:pos="709"/>
        </w:tabs>
        <w:autoSpaceDE w:val="0"/>
        <w:autoSpaceDN w:val="0"/>
        <w:adjustRightInd w:val="0"/>
        <w:jc w:val="both"/>
        <w:rPr>
          <w:rFonts w:cs="Verdana"/>
          <w:bCs/>
          <w:i/>
          <w:color w:val="242424"/>
          <w:sz w:val="16"/>
          <w:szCs w:val="16"/>
        </w:rPr>
      </w:pPr>
    </w:p>
  </w:footnote>
  <w:footnote w:id="557">
    <w:p w14:paraId="256F07E2" w14:textId="77777777" w:rsidR="00D4299B" w:rsidRPr="00143D29" w:rsidRDefault="00D4299B" w:rsidP="00130785">
      <w:pPr>
        <w:widowControl w:val="0"/>
        <w:tabs>
          <w:tab w:val="left" w:pos="709"/>
        </w:tabs>
        <w:autoSpaceDE w:val="0"/>
        <w:autoSpaceDN w:val="0"/>
        <w:adjustRightInd w:val="0"/>
        <w:jc w:val="both"/>
        <w:rPr>
          <w:rFonts w:cs="Times"/>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Verdana"/>
          <w:bCs/>
          <w:sz w:val="16"/>
          <w:szCs w:val="16"/>
        </w:rPr>
        <w:t>El art</w:t>
      </w:r>
      <w:proofErr w:type="spellStart"/>
      <w:r w:rsidRPr="00143D29">
        <w:rPr>
          <w:rFonts w:cs="Verdana"/>
          <w:bCs/>
          <w:sz w:val="16"/>
          <w:szCs w:val="16"/>
          <w:lang w:val="es-ES"/>
        </w:rPr>
        <w:t>ículo</w:t>
      </w:r>
      <w:proofErr w:type="spellEnd"/>
      <w:r w:rsidRPr="00143D29">
        <w:rPr>
          <w:rFonts w:cs="Verdana"/>
          <w:bCs/>
          <w:sz w:val="16"/>
          <w:szCs w:val="16"/>
          <w:lang w:val="es-ES"/>
        </w:rPr>
        <w:t xml:space="preserve"> 1 de la Convención señala “</w:t>
      </w:r>
      <w:r w:rsidRPr="00143D29">
        <w:rPr>
          <w:rFonts w:cs="Times"/>
          <w:sz w:val="16"/>
          <w:szCs w:val="16"/>
        </w:rPr>
        <w:t>A los efectos de la presente Convención, la expresión "discriminación contra la mujer" denotará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footnote>
  <w:footnote w:id="558">
    <w:p w14:paraId="2F8E2160" w14:textId="77777777" w:rsidR="00D4299B" w:rsidRPr="00143D29" w:rsidRDefault="00D4299B" w:rsidP="00130785">
      <w:pPr>
        <w:pStyle w:val="Textonotapie"/>
        <w:tabs>
          <w:tab w:val="left" w:pos="709"/>
        </w:tabs>
        <w:spacing w:after="0"/>
        <w:rPr>
          <w:lang w:val="es-ES_tradnl"/>
        </w:rPr>
      </w:pPr>
    </w:p>
    <w:p w14:paraId="7AA32328" w14:textId="77777777" w:rsidR="00D4299B" w:rsidRPr="00143D29" w:rsidRDefault="00D4299B" w:rsidP="00130785">
      <w:pPr>
        <w:widowControl w:val="0"/>
        <w:tabs>
          <w:tab w:val="left" w:pos="709"/>
        </w:tabs>
        <w:autoSpaceDE w:val="0"/>
        <w:autoSpaceDN w:val="0"/>
        <w:adjustRightInd w:val="0"/>
        <w:jc w:val="both"/>
        <w:rPr>
          <w:rFonts w:cs="Verdana"/>
          <w:sz w:val="16"/>
          <w:szCs w:val="16"/>
        </w:rPr>
      </w:pPr>
      <w:r w:rsidRPr="00143D29">
        <w:rPr>
          <w:rStyle w:val="Refdenotaalpie"/>
          <w:sz w:val="16"/>
          <w:szCs w:val="16"/>
        </w:rPr>
        <w:footnoteRef/>
      </w:r>
      <w:r w:rsidRPr="00143D29">
        <w:rPr>
          <w:sz w:val="16"/>
          <w:szCs w:val="16"/>
        </w:rPr>
        <w:t xml:space="preserve"> </w:t>
      </w:r>
      <w:r w:rsidRPr="00143D29">
        <w:rPr>
          <w:sz w:val="16"/>
          <w:szCs w:val="16"/>
        </w:rPr>
        <w:tab/>
        <w:t>El Pacto Internacional de Derechos Civiles y Políticos dispone</w:t>
      </w:r>
      <w:r w:rsidRPr="00143D29">
        <w:rPr>
          <w:rFonts w:cs="Verdana"/>
          <w:bCs/>
          <w:color w:val="242424"/>
          <w:sz w:val="16"/>
          <w:szCs w:val="16"/>
        </w:rPr>
        <w:t xml:space="preserve"> en el artículo 2.</w:t>
      </w:r>
      <w:r w:rsidRPr="00143D29">
        <w:rPr>
          <w:rFonts w:cs="Verdana"/>
          <w:sz w:val="16"/>
          <w:szCs w:val="16"/>
        </w:rPr>
        <w:t xml:space="preserve">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w:t>
      </w:r>
      <w:r w:rsidRPr="00143D29">
        <w:rPr>
          <w:rFonts w:cs="Verdana"/>
          <w:i/>
          <w:sz w:val="16"/>
          <w:szCs w:val="16"/>
          <w:u w:val="single"/>
        </w:rPr>
        <w:t>posición económica</w:t>
      </w:r>
      <w:r w:rsidRPr="00143D29">
        <w:rPr>
          <w:rFonts w:cs="Verdana"/>
          <w:sz w:val="16"/>
          <w:szCs w:val="16"/>
        </w:rPr>
        <w:t xml:space="preserve">, nacimiento o cualquier otra condición social”. </w:t>
      </w:r>
    </w:p>
    <w:p w14:paraId="5F88BA14" w14:textId="77777777" w:rsidR="00D4299B" w:rsidRPr="00143D29" w:rsidRDefault="00D4299B" w:rsidP="00130785">
      <w:pPr>
        <w:widowControl w:val="0"/>
        <w:tabs>
          <w:tab w:val="left" w:pos="709"/>
        </w:tabs>
        <w:autoSpaceDE w:val="0"/>
        <w:autoSpaceDN w:val="0"/>
        <w:adjustRightInd w:val="0"/>
        <w:jc w:val="both"/>
        <w:rPr>
          <w:rFonts w:cs="Verdana"/>
          <w:sz w:val="16"/>
          <w:szCs w:val="16"/>
        </w:rPr>
      </w:pPr>
      <w:r w:rsidRPr="00143D29">
        <w:rPr>
          <w:rFonts w:cs="Verdana"/>
          <w:sz w:val="16"/>
          <w:szCs w:val="16"/>
        </w:rPr>
        <w:tab/>
        <w:t xml:space="preserve">El Pacto Internacional de Derechos Económicos Sociales y Culturales establece en el </w:t>
      </w:r>
      <w:r w:rsidRPr="00143D29">
        <w:rPr>
          <w:rFonts w:cs="Verdana"/>
          <w:bCs/>
          <w:color w:val="242424"/>
          <w:sz w:val="16"/>
          <w:szCs w:val="16"/>
        </w:rPr>
        <w:t xml:space="preserve">artículo </w:t>
      </w:r>
      <w:r w:rsidRPr="00143D29">
        <w:rPr>
          <w:rFonts w:cs="Verdana"/>
          <w:sz w:val="16"/>
          <w:szCs w:val="16"/>
        </w:rPr>
        <w:t xml:space="preserve">2.2 “Los Estados Partes en el presente Pacto se comprometen a garantizar el ejercicio de los derechos que en él se enuncian, sin discriminación alguna por motivos de raza, color, sexo, idioma, religión, opinión política o de otra índole, origen nacional o social, </w:t>
      </w:r>
      <w:r w:rsidRPr="00143D29">
        <w:rPr>
          <w:rFonts w:cs="Verdana"/>
          <w:i/>
          <w:sz w:val="16"/>
          <w:szCs w:val="16"/>
          <w:u w:val="single"/>
        </w:rPr>
        <w:t>posición económica</w:t>
      </w:r>
      <w:r w:rsidRPr="00143D29">
        <w:rPr>
          <w:rFonts w:cs="Verdana"/>
          <w:sz w:val="16"/>
          <w:szCs w:val="16"/>
        </w:rPr>
        <w:t>, nacimiento o cualquier otra condición social”.</w:t>
      </w:r>
    </w:p>
    <w:p w14:paraId="1B57778C" w14:textId="77777777" w:rsidR="00D4299B" w:rsidRPr="00143D29" w:rsidRDefault="00D4299B" w:rsidP="00130785">
      <w:pPr>
        <w:widowControl w:val="0"/>
        <w:tabs>
          <w:tab w:val="left" w:pos="709"/>
        </w:tabs>
        <w:autoSpaceDE w:val="0"/>
        <w:autoSpaceDN w:val="0"/>
        <w:adjustRightInd w:val="0"/>
        <w:jc w:val="both"/>
        <w:rPr>
          <w:rFonts w:cs="Verdana"/>
          <w:bCs/>
          <w:color w:val="242424"/>
          <w:sz w:val="16"/>
          <w:szCs w:val="16"/>
        </w:rPr>
      </w:pPr>
    </w:p>
  </w:footnote>
  <w:footnote w:id="559">
    <w:p w14:paraId="0591E704"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i/>
          <w:lang w:val="es-ES_tradnl"/>
        </w:rPr>
        <w:t xml:space="preserve"> </w:t>
      </w:r>
      <w:r w:rsidRPr="00143D29">
        <w:rPr>
          <w:i/>
          <w:lang w:val="es-ES_tradnl"/>
        </w:rPr>
        <w:tab/>
        <w:t xml:space="preserve">Cfr. </w:t>
      </w:r>
      <w:r w:rsidRPr="00143D29">
        <w:rPr>
          <w:lang w:val="es-ES_tradnl"/>
        </w:rPr>
        <w:t xml:space="preserve">Comité de Derechos Económicos, Sociales y Culturales, Observación General No. 20, </w:t>
      </w:r>
      <w:r w:rsidRPr="00143D29">
        <w:rPr>
          <w:i/>
          <w:lang w:val="es-ES_tradnl"/>
        </w:rPr>
        <w:t>La no discriminación y los derechos económicos, sociales y culturales (artículo 2, párrafo 2 del Pacto Internacional de los Derechos Económicos, Sociales y Culturales)</w:t>
      </w:r>
      <w:r w:rsidRPr="00143D29">
        <w:rPr>
          <w:lang w:val="es-ES_tradnl"/>
        </w:rPr>
        <w:t xml:space="preserve">, 2 de julio de 2009, E/C.12/GC/20, </w:t>
      </w:r>
      <w:r w:rsidRPr="00143D29">
        <w:rPr>
          <w:rFonts w:cs="System Font Regular"/>
          <w:color w:val="16191F"/>
          <w:lang w:val="es-ES_tradnl"/>
        </w:rPr>
        <w:t xml:space="preserve">párr. 1. </w:t>
      </w:r>
      <w:r w:rsidRPr="00143D29">
        <w:rPr>
          <w:lang w:val="es-ES_tradnl"/>
        </w:rPr>
        <w:t xml:space="preserve"> </w:t>
      </w:r>
    </w:p>
    <w:p w14:paraId="49583DEC" w14:textId="77777777" w:rsidR="00D4299B" w:rsidRPr="00143D29" w:rsidRDefault="00D4299B" w:rsidP="00130785">
      <w:pPr>
        <w:pStyle w:val="Textonotapie"/>
        <w:tabs>
          <w:tab w:val="left" w:pos="709"/>
        </w:tabs>
        <w:rPr>
          <w:lang w:val="es-ES_tradnl"/>
        </w:rPr>
      </w:pPr>
    </w:p>
  </w:footnote>
  <w:footnote w:id="560">
    <w:p w14:paraId="594C6CC9"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 xml:space="preserve">Cfr. </w:t>
      </w:r>
      <w:r w:rsidRPr="00143D29">
        <w:rPr>
          <w:lang w:val="es-ES_tradnl"/>
        </w:rPr>
        <w:t xml:space="preserve">Comité de Derechos Económicos, Sociales y Culturales, Observación General No. 20, </w:t>
      </w:r>
      <w:r w:rsidRPr="00143D29">
        <w:rPr>
          <w:i/>
          <w:lang w:val="es-ES_tradnl"/>
        </w:rPr>
        <w:t>La no discriminación y los derechos económicos, sociales y culturales (artículo 2, párrafo 2 del Pacto Internacional de los Derechos Económicos, Sociales y Culturales)</w:t>
      </w:r>
      <w:r w:rsidRPr="00143D29">
        <w:rPr>
          <w:lang w:val="es-ES_tradnl"/>
        </w:rPr>
        <w:t xml:space="preserve">, 2 de julio de 2009, E/C.12/GC/20, </w:t>
      </w:r>
      <w:r w:rsidRPr="00143D29">
        <w:rPr>
          <w:rFonts w:cs="System Font Regular"/>
          <w:color w:val="16191F"/>
          <w:lang w:val="es-ES_tradnl"/>
        </w:rPr>
        <w:t>párr. 12.</w:t>
      </w:r>
    </w:p>
  </w:footnote>
  <w:footnote w:id="561">
    <w:p w14:paraId="63F643FE" w14:textId="77777777" w:rsidR="00D4299B" w:rsidRPr="00143D29" w:rsidRDefault="00D4299B" w:rsidP="00130785">
      <w:pPr>
        <w:pStyle w:val="Textonotapie"/>
        <w:tabs>
          <w:tab w:val="left" w:pos="709"/>
        </w:tabs>
        <w:spacing w:after="0"/>
        <w:rPr>
          <w:lang w:val="es-ES_tradnl"/>
        </w:rPr>
      </w:pPr>
    </w:p>
    <w:p w14:paraId="799B5377"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 xml:space="preserve">Cfr. </w:t>
      </w:r>
      <w:r w:rsidRPr="00143D29">
        <w:rPr>
          <w:lang w:val="es-ES_tradnl"/>
        </w:rPr>
        <w:t xml:space="preserve">Comité de Derechos Económicos, Sociales y Culturales, Observación General No. 20, </w:t>
      </w:r>
      <w:r w:rsidRPr="00143D29">
        <w:rPr>
          <w:i/>
          <w:lang w:val="es-ES_tradnl"/>
        </w:rPr>
        <w:t>La no discriminación y los derechos económicos, sociales y culturales (artículo 2, párrafo 2 del Pacto Internacional de los Derechos Económicos, Sociales y Culturales)</w:t>
      </w:r>
      <w:r w:rsidRPr="00143D29">
        <w:rPr>
          <w:lang w:val="es-ES_tradnl"/>
        </w:rPr>
        <w:t xml:space="preserve">, 2 de julio de 2009, E/C.12/GC/20, </w:t>
      </w:r>
      <w:r w:rsidRPr="00143D29">
        <w:rPr>
          <w:rFonts w:cs="System Font Regular"/>
          <w:color w:val="16191F"/>
          <w:lang w:val="es-ES_tradnl"/>
        </w:rPr>
        <w:t xml:space="preserve">párr. </w:t>
      </w:r>
      <w:r w:rsidRPr="00143D29">
        <w:rPr>
          <w:lang w:val="es-ES_tradnl"/>
        </w:rPr>
        <w:t>25.</w:t>
      </w:r>
    </w:p>
    <w:p w14:paraId="56DE0785" w14:textId="77777777" w:rsidR="00D4299B" w:rsidRPr="00143D29" w:rsidRDefault="00D4299B" w:rsidP="00130785">
      <w:pPr>
        <w:pStyle w:val="Textonotapie"/>
        <w:tabs>
          <w:tab w:val="left" w:pos="709"/>
        </w:tabs>
        <w:spacing w:after="0"/>
        <w:rPr>
          <w:lang w:val="es-ES_tradnl"/>
        </w:rPr>
      </w:pPr>
    </w:p>
  </w:footnote>
  <w:footnote w:id="562">
    <w:p w14:paraId="1ED36CEF" w14:textId="77777777" w:rsidR="00D4299B" w:rsidRPr="00143D29" w:rsidRDefault="00D4299B" w:rsidP="00130785">
      <w:pPr>
        <w:pStyle w:val="Textonotapie"/>
        <w:tabs>
          <w:tab w:val="left" w:pos="709"/>
        </w:tabs>
        <w:spacing w:after="0"/>
        <w:rPr>
          <w:rFonts w:cs="Times"/>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Consejo Económico y Social, Comité de Derechos Económicos, Sociales y Culturales, </w:t>
      </w:r>
      <w:r w:rsidRPr="00143D29">
        <w:rPr>
          <w:i/>
          <w:lang w:val="es-ES_tradnl"/>
        </w:rPr>
        <w:t xml:space="preserve">Cuestiones sustantivas que se plantean en la aplicación del Pacto Internacional de Derechos Económicos, Sociales y Culturales: la pobreza y el Pacto Internacional de Derechos Económicos, Sociales y Culturales, </w:t>
      </w:r>
      <w:r w:rsidRPr="00143D29">
        <w:rPr>
          <w:lang w:val="es-ES_tradnl"/>
        </w:rPr>
        <w:t xml:space="preserve">10 de mayo de </w:t>
      </w:r>
      <w:proofErr w:type="gramStart"/>
      <w:r w:rsidRPr="00143D29">
        <w:rPr>
          <w:lang w:val="es-ES_tradnl"/>
        </w:rPr>
        <w:t xml:space="preserve">2001, </w:t>
      </w:r>
      <w:r w:rsidRPr="00143D29">
        <w:rPr>
          <w:i/>
          <w:lang w:val="es-ES_tradnl"/>
        </w:rPr>
        <w:t xml:space="preserve"> </w:t>
      </w:r>
      <w:r w:rsidRPr="00143D29">
        <w:rPr>
          <w:rFonts w:cs="Times"/>
          <w:lang w:val="es-ES_tradnl"/>
        </w:rPr>
        <w:t>E</w:t>
      </w:r>
      <w:proofErr w:type="gramEnd"/>
      <w:r w:rsidRPr="00143D29">
        <w:rPr>
          <w:rFonts w:cs="Times"/>
          <w:lang w:val="es-ES_tradnl"/>
        </w:rPr>
        <w:t>/C.12/2001/10, párr. 8.</w:t>
      </w:r>
      <w:r w:rsidRPr="00143D29">
        <w:rPr>
          <w:rFonts w:cs="Times"/>
          <w:b/>
          <w:lang w:val="es-ES_tradnl"/>
        </w:rPr>
        <w:t xml:space="preserve"> </w:t>
      </w:r>
    </w:p>
    <w:p w14:paraId="3006CAB7" w14:textId="77777777" w:rsidR="00D4299B" w:rsidRPr="00143D29" w:rsidRDefault="00D4299B" w:rsidP="00130785">
      <w:pPr>
        <w:pStyle w:val="Textonotapie"/>
        <w:tabs>
          <w:tab w:val="left" w:pos="709"/>
        </w:tabs>
        <w:spacing w:after="0"/>
        <w:rPr>
          <w:lang w:val="es-ES_tradnl"/>
        </w:rPr>
      </w:pPr>
    </w:p>
  </w:footnote>
  <w:footnote w:id="563">
    <w:p w14:paraId="0F9BA9AC" w14:textId="77777777" w:rsidR="00D4299B" w:rsidRPr="00143D29" w:rsidRDefault="00D4299B" w:rsidP="00130785">
      <w:pPr>
        <w:pStyle w:val="Textonotapie"/>
        <w:tabs>
          <w:tab w:val="left" w:pos="709"/>
        </w:tabs>
        <w:spacing w:after="0"/>
        <w:rPr>
          <w:rFonts w:cs="Times"/>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Principios Rectores sobre Extrema Pobreza y Derechos Humanos, aprobados por el Consejo de Derechos Humanos, 27 de </w:t>
      </w:r>
      <w:proofErr w:type="gramStart"/>
      <w:r w:rsidRPr="00143D29">
        <w:rPr>
          <w:lang w:val="es-ES_tradnl"/>
        </w:rPr>
        <w:t>Septiembre</w:t>
      </w:r>
      <w:proofErr w:type="gramEnd"/>
      <w:r w:rsidRPr="00143D29">
        <w:rPr>
          <w:lang w:val="es-ES_tradnl"/>
        </w:rPr>
        <w:t xml:space="preserve"> de 2012, Resolución 21/11, principio </w:t>
      </w:r>
      <w:r w:rsidRPr="00143D29">
        <w:rPr>
          <w:rFonts w:cs="Times"/>
          <w:lang w:val="es-ES_tradnl"/>
        </w:rPr>
        <w:t xml:space="preserve">2. </w:t>
      </w:r>
    </w:p>
    <w:p w14:paraId="61C8E122" w14:textId="77777777" w:rsidR="00D4299B" w:rsidRPr="00143D29" w:rsidRDefault="00D4299B" w:rsidP="00130785">
      <w:pPr>
        <w:pStyle w:val="Textonotapie"/>
        <w:tabs>
          <w:tab w:val="left" w:pos="709"/>
        </w:tabs>
        <w:spacing w:after="0"/>
        <w:rPr>
          <w:lang w:val="es-ES_tradnl"/>
        </w:rPr>
      </w:pPr>
    </w:p>
  </w:footnote>
  <w:footnote w:id="564">
    <w:p w14:paraId="7271B149" w14:textId="77777777" w:rsidR="00D4299B" w:rsidRPr="00143D29" w:rsidRDefault="00D4299B" w:rsidP="00130785">
      <w:pPr>
        <w:pStyle w:val="Textonotapie"/>
        <w:tabs>
          <w:tab w:val="left" w:pos="709"/>
        </w:tabs>
        <w:spacing w:after="0"/>
        <w:rPr>
          <w:rFonts w:cs="Times"/>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Times"/>
          <w:lang w:val="es-ES_tradnl"/>
        </w:rPr>
        <w:t xml:space="preserve">ONU, Consejo Económico y Social, Subcomisión para la prevención de la </w:t>
      </w:r>
      <w:proofErr w:type="gramStart"/>
      <w:r w:rsidRPr="00143D29">
        <w:rPr>
          <w:rFonts w:cs="Times"/>
          <w:lang w:val="es-ES_tradnl"/>
        </w:rPr>
        <w:t>discriminación  protección</w:t>
      </w:r>
      <w:proofErr w:type="gramEnd"/>
      <w:r w:rsidRPr="00143D29">
        <w:rPr>
          <w:rFonts w:cs="Times"/>
          <w:lang w:val="es-ES_tradnl"/>
        </w:rPr>
        <w:t xml:space="preserve"> de las minorías, </w:t>
      </w:r>
      <w:r w:rsidRPr="00143D29">
        <w:rPr>
          <w:rFonts w:cs="Times"/>
          <w:i/>
          <w:lang w:val="es-ES_tradnl"/>
        </w:rPr>
        <w:t>La realización de los derechos económicos, sociales y culturales. Reporte final del Relator Especial sobre extrema Pobreza</w:t>
      </w:r>
      <w:r w:rsidRPr="00143D29">
        <w:rPr>
          <w:rFonts w:cs="Times"/>
          <w:lang w:val="es-ES_tradnl"/>
        </w:rPr>
        <w:t xml:space="preserve">, 28 de junio de </w:t>
      </w:r>
      <w:proofErr w:type="gramStart"/>
      <w:r w:rsidRPr="00143D29">
        <w:rPr>
          <w:rFonts w:cs="Times"/>
          <w:lang w:val="es-ES_tradnl"/>
        </w:rPr>
        <w:t>1996,véase</w:t>
      </w:r>
      <w:proofErr w:type="gramEnd"/>
      <w:r w:rsidRPr="00143D29">
        <w:rPr>
          <w:rFonts w:cs="Times"/>
          <w:lang w:val="es-ES_tradnl"/>
        </w:rPr>
        <w:t xml:space="preserve"> E/CN.4/ Sub.2/1996/13, pág. 58.</w:t>
      </w:r>
    </w:p>
    <w:p w14:paraId="0EAB38DB" w14:textId="77777777" w:rsidR="00D4299B" w:rsidRPr="00143D29" w:rsidRDefault="00D4299B" w:rsidP="00130785">
      <w:pPr>
        <w:pStyle w:val="Textonotapie"/>
        <w:tabs>
          <w:tab w:val="left" w:pos="709"/>
        </w:tabs>
        <w:spacing w:after="0"/>
        <w:rPr>
          <w:lang w:val="es-ES_tradnl"/>
        </w:rPr>
      </w:pPr>
    </w:p>
  </w:footnote>
  <w:footnote w:id="565">
    <w:p w14:paraId="59B0DC6F"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Principios Rectores sobre Extrema Pobreza y Derechos Humanos, aprobados por el Consejo de Derechos Humanos, 27 de </w:t>
      </w:r>
      <w:proofErr w:type="gramStart"/>
      <w:r w:rsidRPr="00143D29">
        <w:rPr>
          <w:lang w:val="es-ES_tradnl"/>
        </w:rPr>
        <w:t>Septiembre</w:t>
      </w:r>
      <w:proofErr w:type="gramEnd"/>
      <w:r w:rsidRPr="00143D29">
        <w:rPr>
          <w:lang w:val="es-ES_tradnl"/>
        </w:rPr>
        <w:t xml:space="preserve"> de 2012, Resolución 21/11, principios 3 y 4.</w:t>
      </w:r>
    </w:p>
    <w:p w14:paraId="710574F9" w14:textId="77777777" w:rsidR="00D4299B" w:rsidRPr="00143D29" w:rsidRDefault="00D4299B" w:rsidP="00130785">
      <w:pPr>
        <w:pStyle w:val="Textonotapie"/>
        <w:tabs>
          <w:tab w:val="left" w:pos="709"/>
        </w:tabs>
        <w:spacing w:after="0"/>
        <w:rPr>
          <w:lang w:val="es-ES_tradnl"/>
        </w:rPr>
      </w:pPr>
    </w:p>
  </w:footnote>
  <w:footnote w:id="566">
    <w:p w14:paraId="79656ED0" w14:textId="77777777" w:rsidR="00D4299B" w:rsidRPr="00143D29" w:rsidRDefault="00D4299B" w:rsidP="00130785">
      <w:pPr>
        <w:pStyle w:val="Prrafodelista"/>
        <w:widowControl w:val="0"/>
        <w:tabs>
          <w:tab w:val="left" w:pos="709"/>
        </w:tabs>
        <w:autoSpaceDE w:val="0"/>
        <w:autoSpaceDN w:val="0"/>
        <w:adjustRightInd w:val="0"/>
        <w:ind w:left="0"/>
        <w:rPr>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t xml:space="preserve">ONU, Consejo de Derechos Humanos, Informe de la Relatora Especial sobre la extrema pobreza y los derechos humanos, </w:t>
      </w:r>
      <w:r w:rsidRPr="00143D29">
        <w:rPr>
          <w:rFonts w:cs="Times"/>
          <w:sz w:val="16"/>
          <w:szCs w:val="16"/>
          <w:lang w:val="es-ES_tradnl"/>
        </w:rPr>
        <w:t>11 de marzo de 2013</w:t>
      </w:r>
      <w:r w:rsidRPr="00143D29">
        <w:rPr>
          <w:sz w:val="16"/>
          <w:szCs w:val="16"/>
          <w:lang w:val="es-ES_tradnl"/>
        </w:rPr>
        <w:t xml:space="preserve">, </w:t>
      </w:r>
      <w:r w:rsidRPr="00143D29">
        <w:rPr>
          <w:rFonts w:cs="Times"/>
          <w:sz w:val="16"/>
          <w:szCs w:val="16"/>
          <w:lang w:val="es-ES_tradnl"/>
        </w:rPr>
        <w:t xml:space="preserve">A/HRC/23/36 párr. 42. </w:t>
      </w:r>
    </w:p>
    <w:p w14:paraId="4359133B" w14:textId="77777777" w:rsidR="00D4299B" w:rsidRPr="00143D29" w:rsidRDefault="00D4299B" w:rsidP="00130785">
      <w:pPr>
        <w:pStyle w:val="Textonotapie"/>
        <w:tabs>
          <w:tab w:val="left" w:pos="709"/>
        </w:tabs>
        <w:spacing w:after="0"/>
        <w:rPr>
          <w:lang w:val="es-ES_tradnl"/>
        </w:rPr>
      </w:pPr>
    </w:p>
  </w:footnote>
  <w:footnote w:id="567">
    <w:p w14:paraId="4B43870A" w14:textId="77777777" w:rsidR="00D4299B" w:rsidRPr="00143D29" w:rsidRDefault="00D4299B" w:rsidP="00130785">
      <w:pPr>
        <w:widowControl w:val="0"/>
        <w:tabs>
          <w:tab w:val="left" w:pos="709"/>
        </w:tabs>
        <w:autoSpaceDE w:val="0"/>
        <w:autoSpaceDN w:val="0"/>
        <w:adjustRightInd w:val="0"/>
        <w:jc w:val="both"/>
        <w:rPr>
          <w:rFonts w:cs="Times"/>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Times New Roman"/>
          <w:sz w:val="16"/>
          <w:szCs w:val="16"/>
        </w:rPr>
        <w:t>La Relatora Especial sobre la trata de personas, especialmente las mujeres y niños ha puesto en manifiesto que la pobreza es un factor importante de vulnerabilidad de las personas víctimas de trata.</w:t>
      </w:r>
      <w:r w:rsidRPr="00143D29">
        <w:rPr>
          <w:sz w:val="16"/>
          <w:szCs w:val="16"/>
        </w:rPr>
        <w:t xml:space="preserve"> </w:t>
      </w:r>
      <w:r w:rsidRPr="00143D29">
        <w:rPr>
          <w:i/>
          <w:sz w:val="16"/>
          <w:szCs w:val="16"/>
        </w:rPr>
        <w:t>Cfr.</w:t>
      </w:r>
      <w:r w:rsidRPr="00143D29">
        <w:rPr>
          <w:sz w:val="16"/>
          <w:szCs w:val="16"/>
        </w:rPr>
        <w:t xml:space="preserve"> </w:t>
      </w:r>
      <w:r w:rsidRPr="00143D29">
        <w:rPr>
          <w:i/>
          <w:sz w:val="16"/>
          <w:szCs w:val="16"/>
        </w:rPr>
        <w:t xml:space="preserve">ONU, </w:t>
      </w:r>
      <w:r w:rsidRPr="00143D29">
        <w:rPr>
          <w:rFonts w:cs="Times New Roman"/>
          <w:i/>
          <w:sz w:val="16"/>
          <w:szCs w:val="16"/>
        </w:rPr>
        <w:t xml:space="preserve">Relatora Especial sobre la trata de personas, especialmente las mujeres y niños, </w:t>
      </w:r>
      <w:proofErr w:type="spellStart"/>
      <w:r w:rsidRPr="00143D29">
        <w:rPr>
          <w:rFonts w:cs="Times New Roman"/>
          <w:sz w:val="16"/>
          <w:szCs w:val="16"/>
        </w:rPr>
        <w:t>Joy</w:t>
      </w:r>
      <w:proofErr w:type="spellEnd"/>
      <w:r w:rsidRPr="00143D29">
        <w:rPr>
          <w:rFonts w:cs="Times New Roman"/>
          <w:sz w:val="16"/>
          <w:szCs w:val="16"/>
        </w:rPr>
        <w:t xml:space="preserve"> </w:t>
      </w:r>
      <w:proofErr w:type="spellStart"/>
      <w:r w:rsidRPr="00143D29">
        <w:rPr>
          <w:rFonts w:cs="Times New Roman"/>
          <w:sz w:val="16"/>
          <w:szCs w:val="16"/>
        </w:rPr>
        <w:t>Ngozi</w:t>
      </w:r>
      <w:proofErr w:type="spellEnd"/>
      <w:r w:rsidRPr="00143D29">
        <w:rPr>
          <w:rFonts w:cs="Times New Roman"/>
          <w:sz w:val="16"/>
          <w:szCs w:val="16"/>
        </w:rPr>
        <w:t xml:space="preserve"> </w:t>
      </w:r>
      <w:proofErr w:type="spellStart"/>
      <w:r w:rsidRPr="00143D29">
        <w:rPr>
          <w:rFonts w:cs="Times New Roman"/>
          <w:sz w:val="16"/>
          <w:szCs w:val="16"/>
        </w:rPr>
        <w:t>Ezeilo</w:t>
      </w:r>
      <w:proofErr w:type="spellEnd"/>
      <w:r w:rsidRPr="00143D29">
        <w:rPr>
          <w:rFonts w:cs="Times New Roman"/>
          <w:sz w:val="16"/>
          <w:szCs w:val="16"/>
        </w:rPr>
        <w:t xml:space="preserve">, 6 de agosto de 2014, A/69/269, párr.12. </w:t>
      </w:r>
    </w:p>
    <w:p w14:paraId="78A064D8" w14:textId="77777777" w:rsidR="00D4299B" w:rsidRPr="00143D29" w:rsidRDefault="00D4299B" w:rsidP="00130785">
      <w:pPr>
        <w:pStyle w:val="Textonotapie"/>
        <w:tabs>
          <w:tab w:val="left" w:pos="709"/>
        </w:tabs>
        <w:spacing w:after="0"/>
        <w:rPr>
          <w:lang w:val="es-ES_tradnl"/>
        </w:rPr>
      </w:pPr>
    </w:p>
  </w:footnote>
  <w:footnote w:id="568">
    <w:p w14:paraId="3C49A6FC" w14:textId="77777777" w:rsidR="00D4299B" w:rsidRPr="00143D29" w:rsidRDefault="00D4299B" w:rsidP="00130785">
      <w:pPr>
        <w:widowControl w:val="0"/>
        <w:tabs>
          <w:tab w:val="left" w:pos="709"/>
        </w:tabs>
        <w:autoSpaceDE w:val="0"/>
        <w:autoSpaceDN w:val="0"/>
        <w:adjustRightInd w:val="0"/>
        <w:jc w:val="both"/>
        <w:rPr>
          <w:rFonts w:cs="Times"/>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Times New Roman"/>
          <w:sz w:val="16"/>
          <w:szCs w:val="16"/>
        </w:rPr>
        <w:t xml:space="preserve">En cuanto al Relator sobre el derecho al agua, han expresado que los Estados deben cumplir sus obligaciones de derechos humanos relacionadas con el saneamiento de forma no discriminatoria. Están obligados en este sentido, a prestar atención a los grupos particularmente vulnerables a la exclusión y a la discriminación en relación con el saneamiento, entre otros, </w:t>
      </w:r>
      <w:r w:rsidRPr="00143D29">
        <w:rPr>
          <w:rFonts w:cs="Times New Roman"/>
          <w:i/>
          <w:sz w:val="16"/>
          <w:szCs w:val="16"/>
        </w:rPr>
        <w:t>las personas que viven en la pobreza</w:t>
      </w:r>
      <w:r w:rsidRPr="00143D29">
        <w:rPr>
          <w:rFonts w:cs="Times New Roman"/>
          <w:sz w:val="16"/>
          <w:szCs w:val="16"/>
        </w:rPr>
        <w:t xml:space="preserve"> […]. Se debe dar prioridad a satisfacer las necesidades de estos grupos y, en caso necesario, se deben adoptar medidas positivas para corregir la discriminación existente y garantizar el acceso a los servicios de saneamiento. De esta manera, los Estados están obligados a eliminar la discriminación </w:t>
      </w:r>
      <w:r w:rsidRPr="00143D29">
        <w:rPr>
          <w:rFonts w:cs="Times New Roman"/>
          <w:i/>
          <w:sz w:val="16"/>
          <w:szCs w:val="16"/>
        </w:rPr>
        <w:t xml:space="preserve">de jure y de facto </w:t>
      </w:r>
      <w:r w:rsidRPr="00143D29">
        <w:rPr>
          <w:rFonts w:cs="Times New Roman"/>
          <w:sz w:val="16"/>
          <w:szCs w:val="16"/>
        </w:rPr>
        <w:t xml:space="preserve">por diversos motivos. </w:t>
      </w:r>
      <w:r w:rsidRPr="00143D29">
        <w:rPr>
          <w:i/>
          <w:sz w:val="16"/>
          <w:szCs w:val="16"/>
        </w:rPr>
        <w:t>Cfr. ONU, Consejo de Derechos Humanos, Informe de la Experta independiente sobre la cuestión de las obligaciones de derechos humanos relacionadas con el Acceso al agua potable y el saneamiento</w:t>
      </w:r>
      <w:r w:rsidRPr="00143D29">
        <w:rPr>
          <w:sz w:val="16"/>
          <w:szCs w:val="16"/>
        </w:rPr>
        <w:t xml:space="preserve">, Catarina </w:t>
      </w:r>
      <w:proofErr w:type="spellStart"/>
      <w:r w:rsidRPr="00143D29">
        <w:rPr>
          <w:sz w:val="16"/>
          <w:szCs w:val="16"/>
        </w:rPr>
        <w:t>Alburqueque</w:t>
      </w:r>
      <w:proofErr w:type="spellEnd"/>
      <w:r w:rsidRPr="00143D29">
        <w:rPr>
          <w:sz w:val="16"/>
          <w:szCs w:val="16"/>
        </w:rPr>
        <w:t xml:space="preserve">, 1 de julio de 2009, </w:t>
      </w:r>
      <w:r w:rsidRPr="00143D29">
        <w:rPr>
          <w:rFonts w:cs="Times"/>
          <w:sz w:val="16"/>
          <w:szCs w:val="16"/>
        </w:rPr>
        <w:t xml:space="preserve">A/HRC/12/24, párr. 65. </w:t>
      </w:r>
    </w:p>
    <w:p w14:paraId="7097D667" w14:textId="77777777" w:rsidR="00D4299B" w:rsidRPr="00143D29" w:rsidRDefault="00D4299B" w:rsidP="00130785">
      <w:pPr>
        <w:pStyle w:val="Textonotapie"/>
        <w:tabs>
          <w:tab w:val="left" w:pos="709"/>
        </w:tabs>
        <w:spacing w:after="0"/>
        <w:rPr>
          <w:lang w:val="es-ES_tradnl"/>
        </w:rPr>
      </w:pPr>
    </w:p>
  </w:footnote>
  <w:footnote w:id="569">
    <w:p w14:paraId="0C092ADA"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Times New Roman"/>
          <w:lang w:val="es-ES_tradnl"/>
        </w:rPr>
        <w:t>La Relatora sobre Defensoras y Defensores de Derechos Humanos ha expresado que, sobre la cuestión sobre defensores de los derechos humanos, se ha informado acerca de los riesgos que afrontan los defensores de derechos humanos de las comunidades locales, incluidos,</w:t>
      </w:r>
      <w:r w:rsidRPr="00143D29">
        <w:rPr>
          <w:rFonts w:cs="Times New Roman"/>
          <w:i/>
          <w:lang w:val="es-ES_tradnl"/>
        </w:rPr>
        <w:t xml:space="preserve"> </w:t>
      </w:r>
      <w:r w:rsidRPr="00143D29">
        <w:rPr>
          <w:rFonts w:cs="Times New Roman"/>
          <w:lang w:val="es-ES_tradnl"/>
        </w:rPr>
        <w:t xml:space="preserve">los pueblos indígenas, las minorías y </w:t>
      </w:r>
      <w:r w:rsidRPr="00143D29">
        <w:rPr>
          <w:rFonts w:cs="Times New Roman"/>
          <w:i/>
          <w:lang w:val="es-ES_tradnl"/>
        </w:rPr>
        <w:t xml:space="preserve">las personas que viven en condiciones de pobreza. </w:t>
      </w:r>
      <w:r w:rsidRPr="00143D29">
        <w:rPr>
          <w:lang w:val="es-ES_tradnl"/>
        </w:rPr>
        <w:t>ONU</w:t>
      </w:r>
      <w:r w:rsidRPr="00143D29">
        <w:rPr>
          <w:i/>
          <w:lang w:val="es-ES_tradnl"/>
        </w:rPr>
        <w:t>, Informe de la Relatora Especial sobre la situación de defensores de los derechos humanos</w:t>
      </w:r>
      <w:r w:rsidRPr="00143D29">
        <w:rPr>
          <w:lang w:val="es-ES_tradnl"/>
        </w:rPr>
        <w:t xml:space="preserve">, Margaret </w:t>
      </w:r>
      <w:proofErr w:type="spellStart"/>
      <w:r w:rsidRPr="00143D29">
        <w:rPr>
          <w:lang w:val="es-ES_tradnl"/>
        </w:rPr>
        <w:t>Sekkagya</w:t>
      </w:r>
      <w:proofErr w:type="spellEnd"/>
      <w:r w:rsidRPr="00143D29">
        <w:rPr>
          <w:lang w:val="es-ES_tradnl"/>
        </w:rPr>
        <w:t xml:space="preserve">, 5 de agosto de 2013, A/69/262, párr. 15. </w:t>
      </w:r>
    </w:p>
    <w:p w14:paraId="56BDA35E" w14:textId="77777777" w:rsidR="00D4299B" w:rsidRPr="00143D29" w:rsidRDefault="00D4299B" w:rsidP="00130785">
      <w:pPr>
        <w:pStyle w:val="Textonotapie"/>
        <w:tabs>
          <w:tab w:val="left" w:pos="709"/>
        </w:tabs>
        <w:spacing w:after="0"/>
        <w:rPr>
          <w:lang w:val="es-ES_tradnl"/>
        </w:rPr>
      </w:pPr>
    </w:p>
  </w:footnote>
  <w:footnote w:id="570">
    <w:p w14:paraId="44313380"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Times New Roman"/>
          <w:lang w:val="es-ES_tradnl"/>
        </w:rPr>
        <w:t xml:space="preserve">El Relator Especial sobre el Derecho a la Educación ha manifestado que se debe asegurar la disponibilidad de recursos específicos para abordar las causas básicas de la exclusión de la educación de las niñas, </w:t>
      </w:r>
      <w:r w:rsidRPr="00143D29">
        <w:rPr>
          <w:rFonts w:cs="Times New Roman"/>
          <w:i/>
          <w:lang w:val="es-ES_tradnl"/>
        </w:rPr>
        <w:t>los que viven en la pobreza</w:t>
      </w:r>
      <w:r w:rsidRPr="00143D29">
        <w:rPr>
          <w:rFonts w:cs="Times New Roman"/>
          <w:lang w:val="es-ES_tradnl"/>
        </w:rPr>
        <w:t xml:space="preserve"> o con discapacidades, las minorías étnicas y lingüísticas, los migrantes y otros grupos marginados y desventajados.</w:t>
      </w:r>
      <w:r w:rsidRPr="00143D29">
        <w:rPr>
          <w:lang w:val="es-ES_tradnl"/>
        </w:rPr>
        <w:t xml:space="preserve"> ONU, </w:t>
      </w:r>
      <w:r w:rsidRPr="00143D29">
        <w:rPr>
          <w:i/>
          <w:lang w:val="es-ES_tradnl"/>
        </w:rPr>
        <w:t xml:space="preserve">Informe del Relator Especial sobre el Derecho a la Educación, </w:t>
      </w:r>
      <w:proofErr w:type="spellStart"/>
      <w:r w:rsidRPr="00143D29">
        <w:rPr>
          <w:lang w:val="es-ES_tradnl"/>
        </w:rPr>
        <w:t>Kishore</w:t>
      </w:r>
      <w:proofErr w:type="spellEnd"/>
      <w:r w:rsidRPr="00143D29">
        <w:rPr>
          <w:lang w:val="es-ES_tradnl"/>
        </w:rPr>
        <w:t xml:space="preserve"> Singh, 5 de agosto de 2011, A/66/269, párr. 47. </w:t>
      </w:r>
    </w:p>
    <w:p w14:paraId="2E9193FC" w14:textId="77777777" w:rsidR="00D4299B" w:rsidRPr="00143D29" w:rsidRDefault="00D4299B" w:rsidP="00130785">
      <w:pPr>
        <w:pStyle w:val="Textonotapie"/>
        <w:tabs>
          <w:tab w:val="left" w:pos="709"/>
        </w:tabs>
        <w:spacing w:after="0"/>
        <w:rPr>
          <w:lang w:val="es-ES_tradnl"/>
        </w:rPr>
      </w:pPr>
    </w:p>
  </w:footnote>
  <w:footnote w:id="571">
    <w:p w14:paraId="21E70643" w14:textId="77777777" w:rsidR="00D4299B" w:rsidRPr="00143D29" w:rsidRDefault="00D4299B" w:rsidP="00130785">
      <w:pPr>
        <w:widowControl w:val="0"/>
        <w:tabs>
          <w:tab w:val="left" w:pos="709"/>
        </w:tabs>
        <w:autoSpaceDE w:val="0"/>
        <w:autoSpaceDN w:val="0"/>
        <w:adjustRightInd w:val="0"/>
        <w:jc w:val="both"/>
        <w:rPr>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rFonts w:cs="Times New Roman"/>
          <w:sz w:val="16"/>
          <w:szCs w:val="16"/>
        </w:rPr>
        <w:t>El Relator Especial sobre la cuestión de las obligaciones de derechos humanos relacionadas con el disfrute de un medio ambiente sin riesgos, limpio, saludable y sostenible expresó que, como ha reconocido el Consejo de Derechos Humanos, quienes ya son vulnerables debido a factores tales como la situación geográfica, la pobreza, el género, la edad, la condición de indígena o minoría, el origen nacional o social, el nacimiento o cualquier otra condición social y la discapacidad sufren los peores efectos del cambio climático</w:t>
      </w:r>
      <w:r w:rsidRPr="00143D29">
        <w:rPr>
          <w:sz w:val="16"/>
          <w:szCs w:val="16"/>
        </w:rPr>
        <w:t xml:space="preserve">. ONU, </w:t>
      </w:r>
      <w:r w:rsidRPr="00143D29">
        <w:rPr>
          <w:i/>
          <w:sz w:val="16"/>
          <w:szCs w:val="16"/>
        </w:rPr>
        <w:t xml:space="preserve">Informe del </w:t>
      </w:r>
      <w:r w:rsidRPr="00143D29">
        <w:rPr>
          <w:rFonts w:cs="Times New Roman"/>
          <w:i/>
          <w:sz w:val="16"/>
          <w:szCs w:val="16"/>
        </w:rPr>
        <w:t xml:space="preserve">Relator Especial sobre la cuestión de las obligaciones de derechos humanos relacionadas con el disfrute de un medio ambiente sin riesgos, limpio, saludable y sostenible, </w:t>
      </w:r>
      <w:proofErr w:type="spellStart"/>
      <w:r w:rsidRPr="00143D29">
        <w:rPr>
          <w:rFonts w:cs="Times New Roman"/>
          <w:sz w:val="16"/>
          <w:szCs w:val="16"/>
        </w:rPr>
        <w:t>Jhon</w:t>
      </w:r>
      <w:proofErr w:type="spellEnd"/>
      <w:r w:rsidRPr="00143D29">
        <w:rPr>
          <w:rFonts w:cs="Times New Roman"/>
          <w:sz w:val="16"/>
          <w:szCs w:val="16"/>
        </w:rPr>
        <w:t xml:space="preserve"> H. Knox</w:t>
      </w:r>
      <w:r w:rsidRPr="00143D29">
        <w:rPr>
          <w:sz w:val="16"/>
          <w:szCs w:val="16"/>
        </w:rPr>
        <w:t>, 1 de febrero de 2016</w:t>
      </w:r>
      <w:r w:rsidRPr="00143D29">
        <w:rPr>
          <w:rFonts w:cs="Times New Roman"/>
          <w:sz w:val="16"/>
          <w:szCs w:val="16"/>
        </w:rPr>
        <w:t xml:space="preserve"> A/HRC/31/52 </w:t>
      </w:r>
      <w:r w:rsidRPr="00143D29">
        <w:rPr>
          <w:sz w:val="16"/>
          <w:szCs w:val="16"/>
        </w:rPr>
        <w:t>, párr. 27.</w:t>
      </w:r>
    </w:p>
  </w:footnote>
  <w:footnote w:id="572">
    <w:p w14:paraId="36E7F868" w14:textId="77777777" w:rsidR="00D4299B" w:rsidRPr="00143D29" w:rsidRDefault="00D4299B" w:rsidP="00130785">
      <w:pPr>
        <w:pStyle w:val="Textonotapie"/>
        <w:tabs>
          <w:tab w:val="left" w:pos="709"/>
        </w:tabs>
        <w:spacing w:after="0"/>
        <w:rPr>
          <w:lang w:val="es-ES_tradnl"/>
        </w:rPr>
      </w:pPr>
    </w:p>
    <w:p w14:paraId="7C316CDE"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Times New Roman"/>
          <w:lang w:val="es-ES_tradnl"/>
        </w:rPr>
        <w:tab/>
      </w:r>
      <w:r w:rsidRPr="00143D29">
        <w:rPr>
          <w:rFonts w:cs="Times New Roman"/>
          <w:lang w:val="es-ES_tradnl"/>
        </w:rPr>
        <w:tab/>
        <w:t xml:space="preserve">La Relatora Especial sobre el derecho a una vivienda adecuada se ha pronunciado en el sentido de señalar que la desigualdad en el acceso a la tierra y la propiedad, que afecta a los grupos marginados (incluidos mujeres, migrantes </w:t>
      </w:r>
      <w:r w:rsidRPr="00143D29">
        <w:rPr>
          <w:rFonts w:cs="Times New Roman"/>
          <w:i/>
          <w:lang w:val="es-ES_tradnl"/>
        </w:rPr>
        <w:t>y todas las personas que viven situación de pobreza</w:t>
      </w:r>
      <w:r w:rsidRPr="00143D29">
        <w:rPr>
          <w:rFonts w:cs="Times New Roman"/>
          <w:lang w:val="es-ES_tradnl"/>
        </w:rPr>
        <w:t>), ha quedado plasmada en la desigualdad en materia de vivienda y la segregación especial, lo que ha divido a las ciudades entre los que poseen tierras y propiedades, y tienen acceso a la infraestructura y los servicios básicos, y los que no</w:t>
      </w:r>
      <w:r w:rsidRPr="00143D29">
        <w:rPr>
          <w:lang w:val="es-ES_tradnl"/>
        </w:rPr>
        <w:t xml:space="preserve">. </w:t>
      </w:r>
      <w:r w:rsidRPr="00143D29">
        <w:rPr>
          <w:i/>
          <w:lang w:val="es-ES_tradnl"/>
        </w:rPr>
        <w:t>ONU, Informe de la Relatora Especial sobre la vivienda adecuada como elemento integrante del derecho a un nivel de vida adecuado y sobre el derecho a la no discriminación</w:t>
      </w:r>
      <w:r w:rsidRPr="00143D29">
        <w:rPr>
          <w:lang w:val="es-ES_tradnl"/>
        </w:rPr>
        <w:t xml:space="preserve">, Leilani </w:t>
      </w:r>
      <w:proofErr w:type="spellStart"/>
      <w:r w:rsidRPr="00143D29">
        <w:rPr>
          <w:lang w:val="es-ES_tradnl"/>
        </w:rPr>
        <w:t>Farha</w:t>
      </w:r>
      <w:proofErr w:type="spellEnd"/>
      <w:r w:rsidRPr="00143D29">
        <w:rPr>
          <w:lang w:val="es-ES_tradnl"/>
        </w:rPr>
        <w:t>, 2 de agosto de 2015, A/70/270, párr. 54</w:t>
      </w:r>
    </w:p>
  </w:footnote>
  <w:footnote w:id="573">
    <w:p w14:paraId="0F2A7E9B" w14:textId="77777777" w:rsidR="00D4299B" w:rsidRPr="00143D29" w:rsidRDefault="00D4299B" w:rsidP="00130785">
      <w:pPr>
        <w:pStyle w:val="Textonotapie"/>
        <w:tabs>
          <w:tab w:val="left" w:pos="709"/>
        </w:tabs>
        <w:spacing w:after="0"/>
        <w:rPr>
          <w:lang w:val="es-ES_tradnl"/>
        </w:rPr>
      </w:pPr>
    </w:p>
    <w:p w14:paraId="6C47C0D2"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Times New Roman"/>
          <w:lang w:val="es-ES_tradnl"/>
        </w:rPr>
        <w:t xml:space="preserve"> </w:t>
      </w:r>
      <w:r w:rsidRPr="00143D29">
        <w:rPr>
          <w:rFonts w:cs="Times New Roman"/>
          <w:lang w:val="es-ES_tradnl"/>
        </w:rPr>
        <w:tab/>
        <w:t xml:space="preserve">El Relator sobre el Derecho a la Alimentación ha considerado que, por ejemplo, los trabajadores agrícolas están en una situación especialmente vulnerable pues el 60% de ellos viven en la pobreza en numerosos países. </w:t>
      </w:r>
      <w:r w:rsidRPr="00143D29">
        <w:rPr>
          <w:i/>
          <w:lang w:val="es-ES_tradnl"/>
        </w:rPr>
        <w:t>ONU, Informe del</w:t>
      </w:r>
      <w:r w:rsidRPr="00143D29">
        <w:rPr>
          <w:rFonts w:cs="Times New Roman"/>
          <w:i/>
          <w:lang w:val="es-ES_tradnl"/>
        </w:rPr>
        <w:t xml:space="preserve"> Relator sobre el Derecho a la Alimentación</w:t>
      </w:r>
      <w:r w:rsidRPr="00143D29">
        <w:rPr>
          <w:rFonts w:cs="Times New Roman"/>
          <w:lang w:val="es-ES_tradnl"/>
        </w:rPr>
        <w:t xml:space="preserve">, Olivier De </w:t>
      </w:r>
      <w:proofErr w:type="spellStart"/>
      <w:r w:rsidRPr="00143D29">
        <w:rPr>
          <w:rFonts w:cs="Times New Roman"/>
          <w:lang w:val="es-ES_tradnl"/>
        </w:rPr>
        <w:t>Schutter</w:t>
      </w:r>
      <w:proofErr w:type="spellEnd"/>
      <w:r w:rsidRPr="00143D29">
        <w:rPr>
          <w:rFonts w:cs="Times New Roman"/>
          <w:lang w:val="es-ES_tradnl"/>
        </w:rPr>
        <w:t xml:space="preserve">, 8 de septiembre de 2008, A/HRC/9/23, párr. </w:t>
      </w:r>
      <w:r w:rsidRPr="00143D29">
        <w:rPr>
          <w:lang w:val="es-ES_tradnl"/>
        </w:rPr>
        <w:t xml:space="preserve">16. </w:t>
      </w:r>
    </w:p>
    <w:p w14:paraId="17BD2131" w14:textId="77777777" w:rsidR="00D4299B" w:rsidRPr="00143D29" w:rsidRDefault="00D4299B" w:rsidP="00130785">
      <w:pPr>
        <w:pStyle w:val="Textonotapie"/>
        <w:tabs>
          <w:tab w:val="left" w:pos="709"/>
        </w:tabs>
        <w:spacing w:after="0"/>
        <w:rPr>
          <w:lang w:val="es-ES_tradnl"/>
        </w:rPr>
      </w:pPr>
    </w:p>
  </w:footnote>
  <w:footnote w:id="574">
    <w:p w14:paraId="4DAF13AA" w14:textId="77777777" w:rsidR="00D4299B" w:rsidRPr="00143D29" w:rsidRDefault="00D4299B" w:rsidP="00130785">
      <w:pPr>
        <w:pStyle w:val="Textonotapie"/>
        <w:tabs>
          <w:tab w:val="left" w:pos="709"/>
        </w:tabs>
        <w:spacing w:after="0"/>
        <w:rPr>
          <w:rFonts w:cs="Times New Roman"/>
          <w:lang w:val="es-ES_tradnl"/>
        </w:rPr>
      </w:pPr>
      <w:r w:rsidRPr="00143D29">
        <w:rPr>
          <w:rStyle w:val="Refdenotaalpie"/>
          <w:lang w:val="es-ES_tradnl"/>
        </w:rPr>
        <w:footnoteRef/>
      </w:r>
      <w:r w:rsidRPr="00143D29">
        <w:rPr>
          <w:rFonts w:cs="Times New Roman"/>
          <w:lang w:val="es-ES_tradnl"/>
        </w:rPr>
        <w:t xml:space="preserve"> </w:t>
      </w:r>
      <w:r w:rsidRPr="00143D29">
        <w:rPr>
          <w:rFonts w:cs="Times New Roman"/>
          <w:lang w:val="es-ES_tradnl"/>
        </w:rPr>
        <w:tab/>
      </w:r>
      <w:r w:rsidRPr="00143D29">
        <w:rPr>
          <w:rFonts w:cs="Verdana"/>
          <w:bCs/>
          <w:lang w:val="es-ES_tradnl"/>
        </w:rPr>
        <w:t xml:space="preserve">Corte IDH. </w:t>
      </w:r>
      <w:r w:rsidRPr="00143D29">
        <w:rPr>
          <w:rFonts w:cs="Verdana"/>
          <w:bCs/>
          <w:i/>
          <w:lang w:val="es-ES_tradnl"/>
        </w:rPr>
        <w:t>Caso "Instituto de Reeducación del Menor" Vs. Paraguay. Excepciones Preliminares, Fondo, Reparaciones y Costas</w:t>
      </w:r>
      <w:r w:rsidRPr="00143D29">
        <w:rPr>
          <w:rFonts w:cs="Verdana"/>
          <w:bCs/>
          <w:lang w:val="es-ES_tradnl"/>
        </w:rPr>
        <w:t>. Sentencia de 2 de septiembre de 2004. Serie C No. 112, párr. 262.</w:t>
      </w:r>
    </w:p>
    <w:p w14:paraId="509249CE" w14:textId="77777777" w:rsidR="00D4299B" w:rsidRPr="00143D29" w:rsidRDefault="00D4299B" w:rsidP="00130785">
      <w:pPr>
        <w:pStyle w:val="Textonotapie"/>
        <w:tabs>
          <w:tab w:val="left" w:pos="709"/>
        </w:tabs>
        <w:spacing w:after="0"/>
        <w:rPr>
          <w:lang w:val="es-ES_tradnl"/>
        </w:rPr>
      </w:pPr>
    </w:p>
  </w:footnote>
  <w:footnote w:id="575">
    <w:p w14:paraId="17265701" w14:textId="77777777" w:rsidR="00D4299B" w:rsidRPr="00143D29" w:rsidRDefault="00D4299B" w:rsidP="00130785">
      <w:pPr>
        <w:pStyle w:val="Textonotapie"/>
        <w:tabs>
          <w:tab w:val="left" w:pos="709"/>
        </w:tabs>
        <w:spacing w:after="0"/>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 xml:space="preserve">Caso de la Comunidad </w:t>
      </w:r>
      <w:proofErr w:type="spellStart"/>
      <w:r w:rsidRPr="00143D29">
        <w:rPr>
          <w:rFonts w:cs="Verdana"/>
          <w:bCs/>
          <w:i/>
          <w:lang w:val="es-ES_tradnl"/>
        </w:rPr>
        <w:t>Moiwana</w:t>
      </w:r>
      <w:proofErr w:type="spellEnd"/>
      <w:r w:rsidRPr="00143D29">
        <w:rPr>
          <w:rFonts w:cs="Verdana"/>
          <w:bCs/>
          <w:i/>
          <w:lang w:val="es-ES_tradnl"/>
        </w:rPr>
        <w:t xml:space="preserve"> Vs. Surinam. Excepciones Preliminares, Fondo, Reparaciones y Costas.</w:t>
      </w:r>
      <w:r w:rsidRPr="00143D29">
        <w:rPr>
          <w:rFonts w:cs="Verdana"/>
          <w:bCs/>
          <w:lang w:val="es-ES_tradnl"/>
        </w:rPr>
        <w:t xml:space="preserve"> Sentencia de 15 de junio de 2005. Serie C No. 124, párr. </w:t>
      </w:r>
      <w:r w:rsidRPr="00143D29">
        <w:rPr>
          <w:rFonts w:cs="Times New Roman"/>
          <w:lang w:val="es-ES_tradnl"/>
        </w:rPr>
        <w:t xml:space="preserve">186. </w:t>
      </w:r>
    </w:p>
    <w:p w14:paraId="34E47BCF" w14:textId="77777777" w:rsidR="00D4299B" w:rsidRPr="00143D29" w:rsidRDefault="00D4299B" w:rsidP="00130785">
      <w:pPr>
        <w:pStyle w:val="Textonotapie"/>
        <w:tabs>
          <w:tab w:val="left" w:pos="709"/>
        </w:tabs>
        <w:spacing w:after="0"/>
        <w:rPr>
          <w:lang w:val="es-ES_tradnl"/>
        </w:rPr>
      </w:pPr>
    </w:p>
  </w:footnote>
  <w:footnote w:id="576">
    <w:p w14:paraId="3C6E81C0" w14:textId="77777777" w:rsidR="00D4299B" w:rsidRPr="00143D29" w:rsidRDefault="00D4299B" w:rsidP="00130785">
      <w:pPr>
        <w:pStyle w:val="Prrafodelista"/>
        <w:tabs>
          <w:tab w:val="left" w:pos="709"/>
        </w:tabs>
        <w:ind w:left="0"/>
        <w:rPr>
          <w:rFonts w:cs="Times New Roman"/>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rFonts w:cs="Verdana"/>
          <w:bCs/>
          <w:sz w:val="16"/>
          <w:szCs w:val="16"/>
          <w:lang w:val="es-ES_tradnl"/>
        </w:rPr>
        <w:t xml:space="preserve">Corte IDH. </w:t>
      </w:r>
      <w:r w:rsidRPr="00143D29">
        <w:rPr>
          <w:rFonts w:cs="Verdana"/>
          <w:bCs/>
          <w:i/>
          <w:sz w:val="16"/>
          <w:szCs w:val="16"/>
          <w:lang w:val="es-ES_tradnl"/>
        </w:rPr>
        <w:t>Caso Servellón García y otros Vs. Honduras</w:t>
      </w:r>
      <w:r w:rsidRPr="00143D29">
        <w:rPr>
          <w:rFonts w:cs="Verdana"/>
          <w:bCs/>
          <w:sz w:val="16"/>
          <w:szCs w:val="16"/>
          <w:lang w:val="es-ES_tradnl"/>
        </w:rPr>
        <w:t>. Sentencia de 21 de septiembre de 2006. Serie C No. 152, párr.</w:t>
      </w:r>
      <w:r w:rsidRPr="00143D29">
        <w:rPr>
          <w:rFonts w:cs="Times New Roman"/>
          <w:sz w:val="16"/>
          <w:szCs w:val="16"/>
          <w:lang w:val="es-ES_tradnl"/>
        </w:rPr>
        <w:t xml:space="preserve"> 116. </w:t>
      </w:r>
    </w:p>
    <w:p w14:paraId="76747C83" w14:textId="77777777" w:rsidR="00D4299B" w:rsidRPr="00143D29" w:rsidRDefault="00D4299B" w:rsidP="00130785">
      <w:pPr>
        <w:pStyle w:val="Textonotapie"/>
        <w:tabs>
          <w:tab w:val="left" w:pos="709"/>
        </w:tabs>
        <w:spacing w:after="0"/>
        <w:rPr>
          <w:lang w:val="es-ES_tradnl"/>
        </w:rPr>
      </w:pPr>
    </w:p>
  </w:footnote>
  <w:footnote w:id="577">
    <w:p w14:paraId="6DD99EA7" w14:textId="77777777" w:rsidR="00D4299B" w:rsidRPr="00143D29" w:rsidRDefault="00D4299B" w:rsidP="00130785">
      <w:pPr>
        <w:pStyle w:val="Textonotapie"/>
        <w:tabs>
          <w:tab w:val="left" w:pos="709"/>
        </w:tabs>
        <w:spacing w:after="0"/>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lang w:val="es-ES_tradnl"/>
        </w:rPr>
        <w:tab/>
      </w:r>
      <w:r w:rsidRPr="00143D29">
        <w:rPr>
          <w:rFonts w:cs="Verdana"/>
          <w:bCs/>
          <w:lang w:val="es-ES_tradnl"/>
        </w:rPr>
        <w:t xml:space="preserve">Corte IDH. </w:t>
      </w:r>
      <w:r w:rsidRPr="00143D29">
        <w:rPr>
          <w:lang w:val="es-ES_tradnl"/>
        </w:rPr>
        <w:t xml:space="preserve">Voto del Juez </w:t>
      </w:r>
      <w:r w:rsidRPr="00143D29">
        <w:rPr>
          <w:i/>
          <w:lang w:val="es-ES_tradnl"/>
        </w:rPr>
        <w:t xml:space="preserve">Ad Hoc </w:t>
      </w:r>
      <w:r w:rsidRPr="00143D29">
        <w:rPr>
          <w:lang w:val="es-ES_tradnl"/>
        </w:rPr>
        <w:t xml:space="preserve">Ramón </w:t>
      </w:r>
      <w:proofErr w:type="spellStart"/>
      <w:r w:rsidRPr="00143D29">
        <w:rPr>
          <w:lang w:val="es-ES_tradnl"/>
        </w:rPr>
        <w:t>Foguel</w:t>
      </w:r>
      <w:proofErr w:type="spellEnd"/>
      <w:r w:rsidRPr="00143D29">
        <w:rPr>
          <w:lang w:val="es-ES_tradnl"/>
        </w:rPr>
        <w:t xml:space="preserve"> Pedroso al </w:t>
      </w:r>
      <w:r w:rsidRPr="00143D29">
        <w:rPr>
          <w:rFonts w:cs="Verdana"/>
          <w:bCs/>
          <w:i/>
          <w:lang w:val="es-ES_tradnl"/>
        </w:rPr>
        <w:t xml:space="preserve">Caso Comunidad Indígena </w:t>
      </w:r>
      <w:proofErr w:type="spellStart"/>
      <w:r w:rsidRPr="00143D29">
        <w:rPr>
          <w:rFonts w:cs="Verdana"/>
          <w:bCs/>
          <w:i/>
          <w:lang w:val="es-ES_tradnl"/>
        </w:rPr>
        <w:t>Yakye</w:t>
      </w:r>
      <w:proofErr w:type="spellEnd"/>
      <w:r w:rsidRPr="00143D29">
        <w:rPr>
          <w:rFonts w:cs="Verdana"/>
          <w:bCs/>
          <w:i/>
          <w:lang w:val="es-ES_tradnl"/>
        </w:rPr>
        <w:t xml:space="preserve"> Axa Vs. Paraguay. Fondo Reparaciones y Costas</w:t>
      </w:r>
      <w:r w:rsidRPr="00143D29">
        <w:rPr>
          <w:rFonts w:cs="Verdana"/>
          <w:bCs/>
          <w:lang w:val="es-ES_tradnl"/>
        </w:rPr>
        <w:t xml:space="preserve">. Sentencia de 17 de junio de 2005. Serie C No. 125, </w:t>
      </w:r>
      <w:r w:rsidRPr="00143D29">
        <w:rPr>
          <w:rFonts w:cs="Times New Roman"/>
          <w:lang w:val="es-ES_tradnl"/>
        </w:rPr>
        <w:t>párr. 28.</w:t>
      </w:r>
    </w:p>
    <w:p w14:paraId="50A8709E" w14:textId="77777777" w:rsidR="00D4299B" w:rsidRPr="00143D29" w:rsidRDefault="00D4299B" w:rsidP="00130785">
      <w:pPr>
        <w:pStyle w:val="Textonotapie"/>
        <w:tabs>
          <w:tab w:val="left" w:pos="709"/>
        </w:tabs>
        <w:spacing w:after="0"/>
        <w:rPr>
          <w:lang w:val="es-ES_tradnl"/>
        </w:rPr>
      </w:pPr>
    </w:p>
  </w:footnote>
  <w:footnote w:id="578">
    <w:p w14:paraId="68F5324A" w14:textId="77777777" w:rsidR="00D4299B" w:rsidRPr="00143D29" w:rsidRDefault="00D4299B" w:rsidP="00130785">
      <w:pPr>
        <w:pStyle w:val="Textonotapie"/>
        <w:tabs>
          <w:tab w:val="left" w:pos="709"/>
        </w:tabs>
        <w:spacing w:after="0"/>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lang w:val="es-ES_tradnl"/>
        </w:rPr>
        <w:t xml:space="preserve">Voto del Juez </w:t>
      </w:r>
      <w:r w:rsidRPr="00143D29">
        <w:rPr>
          <w:i/>
          <w:lang w:val="es-ES_tradnl"/>
        </w:rPr>
        <w:t xml:space="preserve">Ad Hoc </w:t>
      </w:r>
      <w:r w:rsidRPr="00143D29">
        <w:rPr>
          <w:lang w:val="es-ES_tradnl"/>
        </w:rPr>
        <w:t xml:space="preserve">Ramón </w:t>
      </w:r>
      <w:proofErr w:type="spellStart"/>
      <w:r w:rsidRPr="00143D29">
        <w:rPr>
          <w:lang w:val="es-ES_tradnl"/>
        </w:rPr>
        <w:t>Foguel</w:t>
      </w:r>
      <w:proofErr w:type="spellEnd"/>
      <w:r w:rsidRPr="00143D29">
        <w:rPr>
          <w:lang w:val="es-ES_tradnl"/>
        </w:rPr>
        <w:t xml:space="preserve"> Pedroso al</w:t>
      </w:r>
      <w:r w:rsidRPr="00143D29">
        <w:rPr>
          <w:i/>
          <w:lang w:val="es-ES_tradnl"/>
        </w:rPr>
        <w:t xml:space="preserve"> </w:t>
      </w:r>
      <w:r w:rsidRPr="00143D29">
        <w:rPr>
          <w:rFonts w:cs="Verdana"/>
          <w:bCs/>
          <w:i/>
          <w:lang w:val="es-ES_tradnl"/>
        </w:rPr>
        <w:t xml:space="preserve">Caso Comunidad Indígena </w:t>
      </w:r>
      <w:proofErr w:type="spellStart"/>
      <w:r w:rsidRPr="00143D29">
        <w:rPr>
          <w:rFonts w:cs="Verdana"/>
          <w:bCs/>
          <w:i/>
          <w:lang w:val="es-ES_tradnl"/>
        </w:rPr>
        <w:t>Yakye</w:t>
      </w:r>
      <w:proofErr w:type="spellEnd"/>
      <w:r w:rsidRPr="00143D29">
        <w:rPr>
          <w:rFonts w:cs="Verdana"/>
          <w:bCs/>
          <w:i/>
          <w:lang w:val="es-ES_tradnl"/>
        </w:rPr>
        <w:t xml:space="preserve"> Axa Vs. Paraguay</w:t>
      </w:r>
      <w:r w:rsidRPr="00143D29">
        <w:rPr>
          <w:rFonts w:cs="Verdana"/>
          <w:bCs/>
          <w:lang w:val="es-ES_tradnl"/>
        </w:rPr>
        <w:t xml:space="preserve">. Fondo Reparaciones y Costas. Sentencia de 17 de junio de 2005. Serie C No. 125, </w:t>
      </w:r>
      <w:r w:rsidRPr="00143D29">
        <w:rPr>
          <w:rFonts w:cs="Times New Roman"/>
          <w:lang w:val="es-ES_tradnl"/>
        </w:rPr>
        <w:t xml:space="preserve">párr. 32. </w:t>
      </w:r>
    </w:p>
    <w:p w14:paraId="2197395F" w14:textId="77777777" w:rsidR="00D4299B" w:rsidRPr="00143D29" w:rsidRDefault="00D4299B" w:rsidP="00130785">
      <w:pPr>
        <w:pStyle w:val="Textonotapie"/>
        <w:tabs>
          <w:tab w:val="left" w:pos="709"/>
        </w:tabs>
        <w:spacing w:after="0"/>
        <w:rPr>
          <w:lang w:val="es-ES_tradnl"/>
        </w:rPr>
      </w:pPr>
    </w:p>
  </w:footnote>
  <w:footnote w:id="579">
    <w:p w14:paraId="4180A7FC" w14:textId="77777777" w:rsidR="00D4299B" w:rsidRPr="00143D29" w:rsidRDefault="00D4299B" w:rsidP="00130785">
      <w:pPr>
        <w:pStyle w:val="Textonotapie"/>
        <w:tabs>
          <w:tab w:val="left" w:pos="709"/>
        </w:tabs>
        <w:rPr>
          <w:rFonts w:cs="Times New Roman"/>
          <w:lang w:val="es-ES_tradnl"/>
        </w:rPr>
      </w:pPr>
      <w:r w:rsidRPr="00143D29">
        <w:rPr>
          <w:rStyle w:val="Refdenotaalpie"/>
        </w:rPr>
        <w:footnoteRef/>
      </w:r>
      <w:r w:rsidRPr="00143D29">
        <w:rPr>
          <w:lang w:val="es-ES"/>
        </w:rPr>
        <w:tab/>
        <w:t>C</w:t>
      </w:r>
      <w:proofErr w:type="spellStart"/>
      <w:r w:rsidRPr="00143D29">
        <w:rPr>
          <w:rFonts w:cs="Verdana"/>
          <w:bCs/>
          <w:lang w:val="es-ES_tradnl"/>
        </w:rPr>
        <w:t>orte</w:t>
      </w:r>
      <w:proofErr w:type="spellEnd"/>
      <w:r w:rsidRPr="00143D29">
        <w:rPr>
          <w:rFonts w:cs="Verdana"/>
          <w:bCs/>
          <w:lang w:val="es-ES_tradnl"/>
        </w:rPr>
        <w:t xml:space="preserve"> IDH. </w:t>
      </w:r>
      <w:r w:rsidRPr="00143D29">
        <w:rPr>
          <w:lang w:val="es-ES_tradnl"/>
        </w:rPr>
        <w:t xml:space="preserve">Voto del Juez </w:t>
      </w:r>
      <w:r w:rsidRPr="00143D29">
        <w:rPr>
          <w:i/>
          <w:lang w:val="es-ES_tradnl"/>
        </w:rPr>
        <w:t xml:space="preserve">Ad Hoc </w:t>
      </w:r>
      <w:r w:rsidRPr="00143D29">
        <w:rPr>
          <w:lang w:val="es-ES_tradnl"/>
        </w:rPr>
        <w:t xml:space="preserve">Ramón </w:t>
      </w:r>
      <w:proofErr w:type="spellStart"/>
      <w:r w:rsidRPr="00143D29">
        <w:rPr>
          <w:lang w:val="es-ES_tradnl"/>
        </w:rPr>
        <w:t>Foguel</w:t>
      </w:r>
      <w:proofErr w:type="spellEnd"/>
      <w:r w:rsidRPr="00143D29">
        <w:rPr>
          <w:lang w:val="es-ES_tradnl"/>
        </w:rPr>
        <w:t xml:space="preserve"> Pedroso al</w:t>
      </w:r>
      <w:r w:rsidRPr="00143D29">
        <w:rPr>
          <w:i/>
          <w:lang w:val="es-ES_tradnl"/>
        </w:rPr>
        <w:t xml:space="preserve"> </w:t>
      </w:r>
      <w:r w:rsidRPr="00143D29">
        <w:rPr>
          <w:rFonts w:cs="Verdana"/>
          <w:bCs/>
          <w:i/>
          <w:lang w:val="es-ES_tradnl"/>
        </w:rPr>
        <w:t xml:space="preserve">Caso Comunidad Indígena </w:t>
      </w:r>
      <w:proofErr w:type="spellStart"/>
      <w:r w:rsidRPr="00143D29">
        <w:rPr>
          <w:rFonts w:cs="Verdana"/>
          <w:bCs/>
          <w:i/>
          <w:lang w:val="es-ES_tradnl"/>
        </w:rPr>
        <w:t>Yakye</w:t>
      </w:r>
      <w:proofErr w:type="spellEnd"/>
      <w:r w:rsidRPr="00143D29">
        <w:rPr>
          <w:rFonts w:cs="Verdana"/>
          <w:bCs/>
          <w:i/>
          <w:lang w:val="es-ES_tradnl"/>
        </w:rPr>
        <w:t xml:space="preserve"> Axa Vs. Paraguay</w:t>
      </w:r>
      <w:r w:rsidRPr="00143D29">
        <w:rPr>
          <w:rFonts w:cs="Verdana"/>
          <w:bCs/>
          <w:lang w:val="es-ES_tradnl"/>
        </w:rPr>
        <w:t xml:space="preserve">. Fondo Reparaciones y Costas. Sentencia de 17 de junio de 2005. Serie C No. 125, </w:t>
      </w:r>
      <w:r w:rsidRPr="00143D29">
        <w:rPr>
          <w:rFonts w:cs="Times New Roman"/>
          <w:lang w:val="es-ES_tradnl"/>
        </w:rPr>
        <w:t>párr. 33.</w:t>
      </w:r>
    </w:p>
    <w:p w14:paraId="7FB94A68" w14:textId="77777777" w:rsidR="00D4299B" w:rsidRPr="00143D29" w:rsidRDefault="00D4299B" w:rsidP="00130785">
      <w:pPr>
        <w:pStyle w:val="Textonotapie"/>
        <w:tabs>
          <w:tab w:val="left" w:pos="709"/>
        </w:tabs>
        <w:rPr>
          <w:lang w:val="es-ES_tradnl"/>
        </w:rPr>
      </w:pPr>
    </w:p>
  </w:footnote>
  <w:footnote w:id="580">
    <w:p w14:paraId="02686C26"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lang w:val="es-ES_tradnl"/>
        </w:rPr>
        <w:t xml:space="preserve">Voto del Juez </w:t>
      </w:r>
      <w:r w:rsidRPr="00143D29">
        <w:rPr>
          <w:i/>
          <w:lang w:val="es-ES_tradnl"/>
        </w:rPr>
        <w:t xml:space="preserve">Ad Hoc </w:t>
      </w:r>
      <w:r w:rsidRPr="00143D29">
        <w:rPr>
          <w:lang w:val="es-ES_tradnl"/>
        </w:rPr>
        <w:t xml:space="preserve">Ramón </w:t>
      </w:r>
      <w:proofErr w:type="spellStart"/>
      <w:r w:rsidRPr="00143D29">
        <w:rPr>
          <w:lang w:val="es-ES_tradnl"/>
        </w:rPr>
        <w:t>Foguel</w:t>
      </w:r>
      <w:proofErr w:type="spellEnd"/>
      <w:r w:rsidRPr="00143D29">
        <w:rPr>
          <w:lang w:val="es-ES_tradnl"/>
        </w:rPr>
        <w:t xml:space="preserve"> Pedroso al </w:t>
      </w:r>
      <w:r w:rsidRPr="00143D29">
        <w:rPr>
          <w:rFonts w:cs="Verdana"/>
          <w:bCs/>
          <w:i/>
          <w:lang w:val="es-ES_tradnl"/>
        </w:rPr>
        <w:t xml:space="preserve">Caso Comunidad Indígena </w:t>
      </w:r>
      <w:proofErr w:type="spellStart"/>
      <w:r w:rsidRPr="00143D29">
        <w:rPr>
          <w:rFonts w:cs="Verdana"/>
          <w:bCs/>
          <w:i/>
          <w:lang w:val="es-ES_tradnl"/>
        </w:rPr>
        <w:t>Yakye</w:t>
      </w:r>
      <w:proofErr w:type="spellEnd"/>
      <w:r w:rsidRPr="00143D29">
        <w:rPr>
          <w:rFonts w:cs="Verdana"/>
          <w:bCs/>
          <w:i/>
          <w:lang w:val="es-ES_tradnl"/>
        </w:rPr>
        <w:t xml:space="preserve"> Axa Vs. Paraguay. Fondo Reparaciones y Costas</w:t>
      </w:r>
      <w:r w:rsidRPr="00143D29">
        <w:rPr>
          <w:rFonts w:cs="Verdana"/>
          <w:bCs/>
          <w:lang w:val="es-ES_tradnl"/>
        </w:rPr>
        <w:t xml:space="preserve">. Sentencia de 17 de junio de 2005. Serie C No. 125, </w:t>
      </w:r>
      <w:r w:rsidRPr="00143D29">
        <w:rPr>
          <w:rFonts w:cs="Times New Roman"/>
          <w:lang w:val="es-ES_tradnl"/>
        </w:rPr>
        <w:t>párr. 36.</w:t>
      </w:r>
    </w:p>
  </w:footnote>
  <w:footnote w:id="581">
    <w:p w14:paraId="7B09A4B9" w14:textId="77777777" w:rsidR="00D4299B" w:rsidRPr="00143D29" w:rsidRDefault="00D4299B" w:rsidP="00130785">
      <w:pPr>
        <w:pStyle w:val="Textonotapie"/>
        <w:tabs>
          <w:tab w:val="left" w:pos="709"/>
        </w:tabs>
        <w:spacing w:after="0"/>
        <w:rPr>
          <w:lang w:val="es-ES_tradnl"/>
        </w:rPr>
      </w:pPr>
    </w:p>
    <w:p w14:paraId="3C0152E2" w14:textId="77777777" w:rsidR="00D4299B" w:rsidRPr="00143D29" w:rsidRDefault="00D4299B" w:rsidP="00130785">
      <w:pPr>
        <w:pStyle w:val="Textonotapie"/>
        <w:tabs>
          <w:tab w:val="left" w:pos="709"/>
        </w:tabs>
        <w:spacing w:after="0"/>
        <w:rPr>
          <w:rFonts w:cs="Times New Roman"/>
          <w:b/>
          <w:lang w:val="es-ES_tradnl"/>
        </w:rPr>
      </w:pPr>
      <w:r w:rsidRPr="00143D29">
        <w:rPr>
          <w:rStyle w:val="Refdenotaalpie"/>
          <w:lang w:val="es-ES_tradnl"/>
        </w:rPr>
        <w:footnoteRef/>
      </w:r>
      <w:r w:rsidRPr="00143D29">
        <w:rPr>
          <w:i/>
          <w:lang w:val="es-ES_tradnl"/>
        </w:rPr>
        <w:t xml:space="preserve"> </w:t>
      </w:r>
      <w:r w:rsidRPr="00143D29">
        <w:rPr>
          <w:i/>
          <w:lang w:val="es-ES_tradnl"/>
        </w:rPr>
        <w:tab/>
      </w:r>
      <w:r w:rsidRPr="00143D29">
        <w:rPr>
          <w:rFonts w:cs="Times New Roman"/>
          <w:i/>
          <w:lang w:val="es-ES_tradnl"/>
        </w:rPr>
        <w:t xml:space="preserve">Cfr. </w:t>
      </w:r>
      <w:r w:rsidRPr="00143D29">
        <w:rPr>
          <w:rFonts w:cs="Verdana"/>
          <w:bCs/>
          <w:lang w:val="es-ES_tradnl"/>
        </w:rPr>
        <w:t xml:space="preserve">Corte IDH. </w:t>
      </w:r>
      <w:r w:rsidRPr="00143D29">
        <w:rPr>
          <w:rFonts w:cs="Verdana"/>
          <w:bCs/>
          <w:i/>
          <w:lang w:val="es-ES_tradnl"/>
        </w:rPr>
        <w:t>Caso de la "Masacre de Mapiripán" Vs. Colombia</w:t>
      </w:r>
      <w:r w:rsidRPr="00143D29">
        <w:rPr>
          <w:rFonts w:cs="Verdana"/>
          <w:bCs/>
          <w:lang w:val="es-ES_tradnl"/>
        </w:rPr>
        <w:t>. Sentencia de 15 de septiembre de 2005. Serie C No. 134, párr. 180.</w:t>
      </w:r>
    </w:p>
  </w:footnote>
  <w:footnote w:id="582">
    <w:p w14:paraId="19D57475"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Times New Roman"/>
          <w:lang w:val="es-ES_tradnl"/>
        </w:rPr>
        <w:t xml:space="preserve"> </w:t>
      </w:r>
      <w:r w:rsidRPr="00143D29">
        <w:rPr>
          <w:rFonts w:cs="Times New Roman"/>
          <w:lang w:val="es-ES_tradnl"/>
        </w:rPr>
        <w:tab/>
      </w:r>
      <w:r w:rsidRPr="00143D29">
        <w:rPr>
          <w:rFonts w:cs="Verdana"/>
          <w:bCs/>
          <w:lang w:val="es-ES_tradnl"/>
        </w:rPr>
        <w:t xml:space="preserve">Corte IDH. </w:t>
      </w:r>
      <w:r w:rsidRPr="00143D29">
        <w:rPr>
          <w:rFonts w:cs="Verdana"/>
          <w:bCs/>
          <w:i/>
          <w:lang w:val="es-ES_tradnl"/>
        </w:rPr>
        <w:t xml:space="preserve">Caso Comunidad Indígena </w:t>
      </w:r>
      <w:proofErr w:type="spellStart"/>
      <w:r w:rsidRPr="00143D29">
        <w:rPr>
          <w:rFonts w:cs="Verdana"/>
          <w:bCs/>
          <w:i/>
          <w:lang w:val="es-ES_tradnl"/>
        </w:rPr>
        <w:t>Sawhoyamaxa</w:t>
      </w:r>
      <w:proofErr w:type="spellEnd"/>
      <w:r w:rsidRPr="00143D29">
        <w:rPr>
          <w:rFonts w:cs="Verdana"/>
          <w:bCs/>
          <w:i/>
          <w:lang w:val="es-ES_tradnl"/>
        </w:rPr>
        <w:t xml:space="preserve"> Vs. Paraguay. Fondo, Reparaciones y Costas.</w:t>
      </w:r>
      <w:r w:rsidRPr="00143D29">
        <w:rPr>
          <w:rFonts w:cs="Verdana"/>
          <w:bCs/>
          <w:lang w:val="es-ES_tradnl"/>
        </w:rPr>
        <w:t xml:space="preserve"> Sentencia de 29 de marzo de 2006. Serie C No. 146, párr.</w:t>
      </w:r>
      <w:r w:rsidRPr="00143D29">
        <w:rPr>
          <w:rFonts w:cs="Times New Roman"/>
          <w:lang w:val="es-ES_tradnl"/>
        </w:rPr>
        <w:t xml:space="preserve"> 154. </w:t>
      </w:r>
      <w:r w:rsidRPr="00143D29">
        <w:rPr>
          <w:lang w:val="es-ES_tradnl"/>
        </w:rPr>
        <w:t xml:space="preserve"> </w:t>
      </w:r>
    </w:p>
  </w:footnote>
  <w:footnote w:id="583">
    <w:p w14:paraId="2CE16381" w14:textId="77777777" w:rsidR="00D4299B" w:rsidRPr="00143D29" w:rsidRDefault="00D4299B" w:rsidP="00130785">
      <w:pPr>
        <w:pStyle w:val="Textonotapie"/>
        <w:tabs>
          <w:tab w:val="left" w:pos="709"/>
        </w:tabs>
        <w:spacing w:after="0"/>
        <w:rPr>
          <w:lang w:val="es-ES_tradnl"/>
        </w:rPr>
      </w:pPr>
    </w:p>
    <w:p w14:paraId="5DB30BC7"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Verdana"/>
          <w:bCs/>
          <w:lang w:val="es-ES_tradnl"/>
        </w:rPr>
        <w:t xml:space="preserve"> </w:t>
      </w:r>
      <w:r w:rsidRPr="00143D29">
        <w:rPr>
          <w:rFonts w:cs="Verdana"/>
          <w:bCs/>
          <w:lang w:val="es-ES_tradnl"/>
        </w:rPr>
        <w:tab/>
      </w:r>
      <w:r w:rsidRPr="00143D29">
        <w:rPr>
          <w:rFonts w:cs="Verdana"/>
          <w:bCs/>
          <w:spacing w:val="-2"/>
          <w:lang w:val="es-ES_tradnl"/>
        </w:rPr>
        <w:t>Corte IDH.</w:t>
      </w:r>
      <w:r w:rsidRPr="00143D29">
        <w:rPr>
          <w:rFonts w:cs="Verdana"/>
          <w:bCs/>
          <w:lang w:val="es-ES_tradnl"/>
        </w:rPr>
        <w:t xml:space="preserve"> </w:t>
      </w:r>
      <w:r w:rsidRPr="00143D29">
        <w:rPr>
          <w:rFonts w:cs="Verdana"/>
          <w:bCs/>
          <w:i/>
          <w:lang w:val="es-ES_tradnl"/>
        </w:rPr>
        <w:t xml:space="preserve">Caso </w:t>
      </w:r>
      <w:proofErr w:type="spellStart"/>
      <w:r w:rsidRPr="00143D29">
        <w:rPr>
          <w:rFonts w:cs="Verdana"/>
          <w:bCs/>
          <w:i/>
          <w:lang w:val="es-ES_tradnl"/>
        </w:rPr>
        <w:t>Ximenes</w:t>
      </w:r>
      <w:proofErr w:type="spellEnd"/>
      <w:r w:rsidRPr="00143D29">
        <w:rPr>
          <w:rFonts w:cs="Verdana"/>
          <w:bCs/>
          <w:i/>
          <w:lang w:val="es-ES_tradnl"/>
        </w:rPr>
        <w:t xml:space="preserve"> </w:t>
      </w:r>
      <w:proofErr w:type="spellStart"/>
      <w:r w:rsidRPr="00143D29">
        <w:rPr>
          <w:rFonts w:cs="Verdana"/>
          <w:bCs/>
          <w:i/>
          <w:lang w:val="es-ES_tradnl"/>
        </w:rPr>
        <w:t>Lopes</w:t>
      </w:r>
      <w:proofErr w:type="spellEnd"/>
      <w:r w:rsidRPr="00143D29">
        <w:rPr>
          <w:rFonts w:cs="Verdana"/>
          <w:bCs/>
          <w:i/>
          <w:lang w:val="es-ES_tradnl"/>
        </w:rPr>
        <w:t xml:space="preserve"> Vs. Brasil.</w:t>
      </w:r>
      <w:r w:rsidRPr="00143D29">
        <w:rPr>
          <w:rFonts w:cs="Verdana"/>
          <w:bCs/>
          <w:lang w:val="es-ES_tradnl"/>
        </w:rPr>
        <w:t xml:space="preserve"> </w:t>
      </w:r>
      <w:r w:rsidRPr="00143D29">
        <w:rPr>
          <w:rFonts w:cs="Verdana"/>
          <w:bCs/>
          <w:spacing w:val="-2"/>
          <w:lang w:val="es-ES_tradnl"/>
        </w:rPr>
        <w:t>Sentencia de 4 de julio de 2006. Serie C No. 149, párr.</w:t>
      </w:r>
      <w:r w:rsidRPr="00143D29">
        <w:rPr>
          <w:rFonts w:cs="Times New Roman"/>
          <w:spacing w:val="-2"/>
          <w:lang w:val="es-ES_tradnl"/>
        </w:rPr>
        <w:t xml:space="preserve"> 104.</w:t>
      </w:r>
    </w:p>
    <w:p w14:paraId="38D7A8CF" w14:textId="77777777" w:rsidR="00D4299B" w:rsidRPr="00143D29" w:rsidRDefault="00D4299B" w:rsidP="00130785">
      <w:pPr>
        <w:pStyle w:val="Textonotapie"/>
        <w:tabs>
          <w:tab w:val="left" w:pos="709"/>
        </w:tabs>
        <w:spacing w:after="0"/>
        <w:rPr>
          <w:lang w:val="es-ES_tradnl"/>
        </w:rPr>
      </w:pPr>
    </w:p>
  </w:footnote>
  <w:footnote w:id="584">
    <w:p w14:paraId="4473ED08" w14:textId="77777777" w:rsidR="00D4299B" w:rsidRPr="00143D29" w:rsidRDefault="00D4299B" w:rsidP="00130785">
      <w:pPr>
        <w:pStyle w:val="Textonotapie"/>
        <w:tabs>
          <w:tab w:val="left" w:pos="709"/>
        </w:tabs>
        <w:spacing w:after="0"/>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 xml:space="preserve">Caso Comunidad Indígena </w:t>
      </w:r>
      <w:proofErr w:type="spellStart"/>
      <w:r w:rsidRPr="00143D29">
        <w:rPr>
          <w:rFonts w:cs="Verdana"/>
          <w:bCs/>
          <w:i/>
          <w:lang w:val="es-ES_tradnl"/>
        </w:rPr>
        <w:t>Xákmok</w:t>
      </w:r>
      <w:proofErr w:type="spellEnd"/>
      <w:r w:rsidRPr="00143D29">
        <w:rPr>
          <w:rFonts w:cs="Verdana"/>
          <w:bCs/>
          <w:i/>
          <w:lang w:val="es-ES_tradnl"/>
        </w:rPr>
        <w:t xml:space="preserve"> </w:t>
      </w:r>
      <w:proofErr w:type="spellStart"/>
      <w:r w:rsidRPr="00143D29">
        <w:rPr>
          <w:rFonts w:cs="Verdana"/>
          <w:bCs/>
          <w:i/>
          <w:lang w:val="es-ES_tradnl"/>
        </w:rPr>
        <w:t>Kásek</w:t>
      </w:r>
      <w:proofErr w:type="spellEnd"/>
      <w:r w:rsidRPr="00143D29">
        <w:rPr>
          <w:rFonts w:cs="Verdana"/>
          <w:bCs/>
          <w:i/>
          <w:lang w:val="es-ES_tradnl"/>
        </w:rPr>
        <w:t xml:space="preserve"> Vs. Paraguay. Fondo, Reparaciones y Costas.</w:t>
      </w:r>
      <w:r w:rsidRPr="00143D29">
        <w:rPr>
          <w:rFonts w:cs="Verdana"/>
          <w:bCs/>
          <w:lang w:val="es-ES_tradnl"/>
        </w:rPr>
        <w:t xml:space="preserve"> Sentencia de 24 de agosto de 2010. Serie C No. 214, párr. </w:t>
      </w:r>
      <w:r w:rsidRPr="00143D29">
        <w:rPr>
          <w:rFonts w:cs="Times New Roman"/>
          <w:lang w:val="es-ES_tradnl"/>
        </w:rPr>
        <w:t xml:space="preserve">233. </w:t>
      </w:r>
    </w:p>
    <w:p w14:paraId="2E5931F6" w14:textId="77777777" w:rsidR="00D4299B" w:rsidRPr="00143D29" w:rsidRDefault="00D4299B" w:rsidP="00130785">
      <w:pPr>
        <w:pStyle w:val="Textonotapie"/>
        <w:tabs>
          <w:tab w:val="left" w:pos="709"/>
        </w:tabs>
        <w:spacing w:after="0"/>
        <w:rPr>
          <w:lang w:val="es-ES_tradnl"/>
        </w:rPr>
      </w:pPr>
    </w:p>
  </w:footnote>
  <w:footnote w:id="585">
    <w:p w14:paraId="2EDE6CFB"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Verdana"/>
          <w:bCs/>
          <w:lang w:val="es-ES_tradnl"/>
        </w:rPr>
        <w:tab/>
        <w:t>Corte IDH.</w:t>
      </w:r>
      <w:r w:rsidRPr="00143D29">
        <w:rPr>
          <w:rFonts w:cs="Verdana"/>
          <w:bCs/>
          <w:i/>
          <w:lang w:val="es-ES_tradnl"/>
        </w:rPr>
        <w:t xml:space="preserve"> Caso Rosendo Cantú y otra Vs. México. Excepción Preliminar, Fondo, Reparaciones y Costas</w:t>
      </w:r>
      <w:r w:rsidRPr="00143D29">
        <w:rPr>
          <w:rFonts w:cs="Verdana"/>
          <w:bCs/>
          <w:lang w:val="es-ES_tradnl"/>
        </w:rPr>
        <w:t xml:space="preserve">. Sentencia de 31 de agosto de 2010. Serie C No. 216, párr. </w:t>
      </w:r>
      <w:r w:rsidRPr="00143D29">
        <w:rPr>
          <w:rFonts w:cs="Times New Roman"/>
          <w:lang w:val="es-ES_tradnl"/>
        </w:rPr>
        <w:t xml:space="preserve">201. </w:t>
      </w:r>
    </w:p>
  </w:footnote>
  <w:footnote w:id="586">
    <w:p w14:paraId="26079F05" w14:textId="77777777" w:rsidR="00D4299B" w:rsidRPr="00143D29" w:rsidRDefault="00D4299B" w:rsidP="00130785">
      <w:pPr>
        <w:pStyle w:val="Textonotapie"/>
        <w:tabs>
          <w:tab w:val="left" w:pos="709"/>
        </w:tabs>
        <w:spacing w:after="0"/>
        <w:rPr>
          <w:lang w:val="es-ES_tradnl"/>
        </w:rPr>
      </w:pPr>
    </w:p>
    <w:p w14:paraId="0D6C4163"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Times New Roman"/>
          <w:lang w:val="es-ES_tradnl"/>
        </w:rPr>
        <w:t xml:space="preserve"> </w:t>
      </w:r>
      <w:r w:rsidRPr="00143D29">
        <w:rPr>
          <w:rFonts w:cs="Times New Roman"/>
          <w:lang w:val="es-ES_tradnl"/>
        </w:rPr>
        <w:tab/>
        <w:t xml:space="preserve">Corte IDH. </w:t>
      </w:r>
      <w:r w:rsidRPr="00143D29">
        <w:rPr>
          <w:rFonts w:cs="Verdana"/>
          <w:bCs/>
          <w:lang w:val="es-ES_tradnl"/>
        </w:rPr>
        <w:t>C</w:t>
      </w:r>
      <w:r w:rsidRPr="00143D29">
        <w:rPr>
          <w:rFonts w:cs="Verdana"/>
          <w:bCs/>
          <w:i/>
          <w:lang w:val="es-ES_tradnl"/>
        </w:rPr>
        <w:t xml:space="preserve">aso </w:t>
      </w:r>
      <w:proofErr w:type="spellStart"/>
      <w:r w:rsidRPr="00143D29">
        <w:rPr>
          <w:rFonts w:cs="Verdana"/>
          <w:bCs/>
          <w:i/>
          <w:lang w:val="es-ES_tradnl"/>
        </w:rPr>
        <w:t>Furlan</w:t>
      </w:r>
      <w:proofErr w:type="spellEnd"/>
      <w:r w:rsidRPr="00143D29">
        <w:rPr>
          <w:rFonts w:cs="Verdana"/>
          <w:bCs/>
          <w:i/>
          <w:lang w:val="es-ES_tradnl"/>
        </w:rPr>
        <w:t xml:space="preserve"> y familiares Vs. Argentina. Excepciones Preliminares, Fondo, Reparaciones y Costas.</w:t>
      </w:r>
      <w:r w:rsidRPr="00143D29">
        <w:rPr>
          <w:rFonts w:cs="Verdana"/>
          <w:bCs/>
          <w:lang w:val="es-ES_tradnl"/>
        </w:rPr>
        <w:t xml:space="preserve"> Sentencia de 31 de agosto de 2012. Serie C No. 246, párr.</w:t>
      </w:r>
      <w:r w:rsidRPr="00143D29">
        <w:rPr>
          <w:rFonts w:cs="Times New Roman"/>
          <w:lang w:val="es-ES_tradnl"/>
        </w:rPr>
        <w:t xml:space="preserve"> 201. </w:t>
      </w:r>
    </w:p>
    <w:p w14:paraId="0D1519C8" w14:textId="77777777" w:rsidR="00D4299B" w:rsidRPr="00143D29" w:rsidRDefault="00D4299B" w:rsidP="00130785">
      <w:pPr>
        <w:pStyle w:val="Textonotapie"/>
        <w:tabs>
          <w:tab w:val="left" w:pos="709"/>
        </w:tabs>
        <w:spacing w:after="0"/>
        <w:rPr>
          <w:lang w:val="es-ES_tradnl"/>
        </w:rPr>
      </w:pPr>
    </w:p>
  </w:footnote>
  <w:footnote w:id="587">
    <w:p w14:paraId="7D8AC493"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Times New Roman"/>
          <w:lang w:val="es-ES_tradnl"/>
        </w:rPr>
        <w:t xml:space="preserve">Corte IDH. </w:t>
      </w:r>
      <w:r w:rsidRPr="00143D29">
        <w:rPr>
          <w:rFonts w:cs="Verdana"/>
          <w:bCs/>
          <w:i/>
          <w:lang w:val="es-ES_tradnl"/>
        </w:rPr>
        <w:t xml:space="preserve">Caso </w:t>
      </w:r>
      <w:proofErr w:type="spellStart"/>
      <w:r w:rsidRPr="00143D29">
        <w:rPr>
          <w:rFonts w:cs="Verdana"/>
          <w:bCs/>
          <w:i/>
          <w:lang w:val="es-ES_tradnl"/>
        </w:rPr>
        <w:t>Furlan</w:t>
      </w:r>
      <w:proofErr w:type="spellEnd"/>
      <w:r w:rsidRPr="00143D29">
        <w:rPr>
          <w:rFonts w:cs="Verdana"/>
          <w:bCs/>
          <w:i/>
          <w:lang w:val="es-ES_tradnl"/>
        </w:rPr>
        <w:t xml:space="preserve"> y familiares Vs. Argentina. Excepciones Preliminares, Fondo, Reparaciones y Costas. </w:t>
      </w:r>
      <w:r w:rsidRPr="00143D29">
        <w:rPr>
          <w:rFonts w:cs="Verdana"/>
          <w:bCs/>
          <w:lang w:val="es-ES_tradnl"/>
        </w:rPr>
        <w:t>Sentencia de 31 de agosto de 2012. Serie C No. 246, párr.</w:t>
      </w:r>
      <w:r w:rsidRPr="00143D29">
        <w:rPr>
          <w:rFonts w:cs="Times New Roman"/>
          <w:lang w:val="es-ES_tradnl"/>
        </w:rPr>
        <w:t xml:space="preserve"> </w:t>
      </w:r>
      <w:r w:rsidRPr="00143D29">
        <w:rPr>
          <w:lang w:val="es-ES_tradnl"/>
        </w:rPr>
        <w:t>243.</w:t>
      </w:r>
    </w:p>
    <w:p w14:paraId="4FA44113" w14:textId="77777777" w:rsidR="00D4299B" w:rsidRPr="00143D29" w:rsidRDefault="00D4299B" w:rsidP="00130785">
      <w:pPr>
        <w:pStyle w:val="Textonotapie"/>
        <w:tabs>
          <w:tab w:val="left" w:pos="709"/>
        </w:tabs>
        <w:spacing w:after="0"/>
        <w:rPr>
          <w:lang w:val="es-ES_tradnl"/>
        </w:rPr>
      </w:pPr>
    </w:p>
  </w:footnote>
  <w:footnote w:id="588">
    <w:p w14:paraId="6B61518A"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rFonts w:cs="Times New Roman"/>
          <w:lang w:val="es-ES_tradnl"/>
        </w:rPr>
        <w:t xml:space="preserve"> </w:t>
      </w:r>
      <w:r w:rsidRPr="00143D29">
        <w:rPr>
          <w:rFonts w:cs="Times New Roman"/>
          <w:lang w:val="es-ES_tradnl"/>
        </w:rPr>
        <w:tab/>
      </w:r>
      <w:r w:rsidRPr="00143D29">
        <w:rPr>
          <w:rFonts w:cs="Verdana"/>
          <w:bCs/>
          <w:lang w:val="es-ES_tradnl"/>
        </w:rPr>
        <w:t xml:space="preserve">Corte IDH. </w:t>
      </w:r>
      <w:r w:rsidRPr="00143D29">
        <w:rPr>
          <w:rFonts w:cs="Verdana"/>
          <w:bCs/>
          <w:i/>
          <w:lang w:val="es-ES_tradnl"/>
        </w:rPr>
        <w:t>Caso Uzcátegui y otros Vs. Venezuela. Fondo y Reparaciones</w:t>
      </w:r>
      <w:r w:rsidRPr="00143D29">
        <w:rPr>
          <w:rFonts w:cs="Verdana"/>
          <w:bCs/>
          <w:lang w:val="es-ES_tradnl"/>
        </w:rPr>
        <w:t xml:space="preserve">. Sentencia de 3 de septiembre de 2012. Serie C No. 249, párr. </w:t>
      </w:r>
      <w:r w:rsidRPr="00143D29">
        <w:rPr>
          <w:rFonts w:cs="Times New Roman"/>
          <w:lang w:val="es-ES_tradnl"/>
        </w:rPr>
        <w:t>204.</w:t>
      </w:r>
    </w:p>
  </w:footnote>
  <w:footnote w:id="589">
    <w:p w14:paraId="0F81FA98" w14:textId="77777777" w:rsidR="00D4299B" w:rsidRPr="00143D29" w:rsidRDefault="00D4299B" w:rsidP="00130785">
      <w:pPr>
        <w:pStyle w:val="Textonotapie"/>
        <w:tabs>
          <w:tab w:val="left" w:pos="709"/>
        </w:tabs>
        <w:spacing w:after="0"/>
        <w:rPr>
          <w:lang w:val="es-ES_tradnl"/>
        </w:rPr>
      </w:pPr>
    </w:p>
    <w:p w14:paraId="08775C95" w14:textId="77777777" w:rsidR="00D4299B" w:rsidRPr="00143D29" w:rsidRDefault="00D4299B" w:rsidP="00130785">
      <w:pPr>
        <w:pStyle w:val="Textonotapie"/>
        <w:tabs>
          <w:tab w:val="left" w:pos="709"/>
        </w:tabs>
        <w:spacing w:after="0"/>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Times New Roman"/>
          <w:i/>
          <w:lang w:val="es-ES_tradnl"/>
        </w:rPr>
        <w:t>Cfr.</w:t>
      </w:r>
      <w:r w:rsidRPr="00143D29">
        <w:rPr>
          <w:rFonts w:cs="Times New Roman"/>
          <w:lang w:val="es-ES_tradnl"/>
        </w:rPr>
        <w:t xml:space="preserve"> </w:t>
      </w:r>
      <w:r w:rsidRPr="00143D29">
        <w:rPr>
          <w:rFonts w:cs="Verdana"/>
          <w:bCs/>
          <w:lang w:val="es-ES_tradnl"/>
        </w:rPr>
        <w:t xml:space="preserve">Corte IDH. </w:t>
      </w:r>
      <w:r w:rsidRPr="00143D29">
        <w:rPr>
          <w:rFonts w:cs="Verdana"/>
          <w:bCs/>
          <w:i/>
          <w:lang w:val="es-ES_tradnl"/>
        </w:rPr>
        <w:t>Caso Masacre de Santo Domingo Vs. Colombia. Excepciones Preliminares, Fondo y Reparaciones.</w:t>
      </w:r>
      <w:r w:rsidRPr="00143D29">
        <w:rPr>
          <w:rFonts w:cs="Verdana"/>
          <w:bCs/>
          <w:lang w:val="es-ES_tradnl"/>
        </w:rPr>
        <w:t xml:space="preserve"> Sentencia de 30 de noviembre de 2012. Serie C No. 259, párr.</w:t>
      </w:r>
      <w:r w:rsidRPr="00143D29">
        <w:rPr>
          <w:rFonts w:cs="Times New Roman"/>
          <w:lang w:val="es-ES_tradnl"/>
        </w:rPr>
        <w:t xml:space="preserve"> 273.   </w:t>
      </w:r>
    </w:p>
    <w:p w14:paraId="66277EEB" w14:textId="77777777" w:rsidR="00D4299B" w:rsidRPr="00143D29" w:rsidRDefault="00D4299B" w:rsidP="00130785">
      <w:pPr>
        <w:pStyle w:val="Textonotapie"/>
        <w:tabs>
          <w:tab w:val="left" w:pos="709"/>
        </w:tabs>
        <w:spacing w:after="0"/>
        <w:rPr>
          <w:lang w:val="es-ES_tradnl"/>
        </w:rPr>
      </w:pPr>
    </w:p>
  </w:footnote>
  <w:footnote w:id="590">
    <w:p w14:paraId="143CDF75" w14:textId="77777777" w:rsidR="00D4299B" w:rsidRPr="00143D29" w:rsidRDefault="00D4299B" w:rsidP="00130785">
      <w:pPr>
        <w:pStyle w:val="Prrafodelista"/>
        <w:tabs>
          <w:tab w:val="left" w:pos="709"/>
        </w:tabs>
        <w:ind w:left="0"/>
        <w:rPr>
          <w:rFonts w:cs="Times New Roman"/>
          <w:i/>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rFonts w:cs="Verdana"/>
          <w:bCs/>
          <w:sz w:val="16"/>
          <w:szCs w:val="16"/>
          <w:lang w:val="es-ES_tradnl"/>
        </w:rPr>
        <w:t xml:space="preserve">Corte IDH. </w:t>
      </w:r>
      <w:r w:rsidRPr="00143D29">
        <w:rPr>
          <w:rFonts w:cs="Verdana"/>
          <w:bCs/>
          <w:i/>
          <w:sz w:val="16"/>
          <w:szCs w:val="16"/>
          <w:lang w:val="es-ES_tradnl"/>
        </w:rPr>
        <w:t>Caso Masacre de Santo Domingo Vs. Colombia. Excepciones Preliminares, Fondo y Reparaciones.</w:t>
      </w:r>
      <w:r w:rsidRPr="00143D29">
        <w:rPr>
          <w:rFonts w:cs="Verdana"/>
          <w:bCs/>
          <w:sz w:val="16"/>
          <w:szCs w:val="16"/>
          <w:lang w:val="es-ES_tradnl"/>
        </w:rPr>
        <w:t xml:space="preserve"> Sentencia de 30 de noviembre de 2012. Serie C No. 259, párr.</w:t>
      </w:r>
      <w:r w:rsidRPr="00143D29">
        <w:rPr>
          <w:rFonts w:cs="Times New Roman"/>
          <w:sz w:val="16"/>
          <w:szCs w:val="16"/>
          <w:lang w:val="es-ES_tradnl"/>
        </w:rPr>
        <w:t xml:space="preserve"> 274.</w:t>
      </w:r>
    </w:p>
    <w:p w14:paraId="7E55360F" w14:textId="77777777" w:rsidR="00D4299B" w:rsidRPr="00143D29" w:rsidRDefault="00D4299B" w:rsidP="00130785">
      <w:pPr>
        <w:pStyle w:val="Textonotapie"/>
        <w:tabs>
          <w:tab w:val="left" w:pos="709"/>
        </w:tabs>
        <w:spacing w:after="0"/>
        <w:rPr>
          <w:lang w:val="es-ES_tradnl"/>
        </w:rPr>
      </w:pPr>
    </w:p>
  </w:footnote>
  <w:footnote w:id="591">
    <w:p w14:paraId="2607E43F"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Caso Artavia Murillo y otros ("Fecundación in vitro") Vs. Costa Rica. Excepciones Preliminares, Fondo, Reparaciones y Costas.</w:t>
      </w:r>
      <w:r w:rsidRPr="00143D29">
        <w:rPr>
          <w:rFonts w:cs="Verdana"/>
          <w:bCs/>
          <w:lang w:val="es-ES_tradnl"/>
        </w:rPr>
        <w:t xml:space="preserve"> </w:t>
      </w:r>
      <w:r w:rsidRPr="00143D29">
        <w:rPr>
          <w:rFonts w:cs="Verdana"/>
          <w:bCs/>
          <w:spacing w:val="-2"/>
          <w:lang w:val="es-ES_tradnl"/>
        </w:rPr>
        <w:t xml:space="preserve">Sentencia de 28 noviembre de 2012. Serie C No. 257, párr. </w:t>
      </w:r>
      <w:r w:rsidRPr="00143D29">
        <w:rPr>
          <w:spacing w:val="-2"/>
          <w:lang w:val="es-ES_tradnl"/>
        </w:rPr>
        <w:t>303.</w:t>
      </w:r>
    </w:p>
    <w:p w14:paraId="17CC1609" w14:textId="77777777" w:rsidR="00D4299B" w:rsidRPr="00143D29" w:rsidRDefault="00D4299B" w:rsidP="00130785">
      <w:pPr>
        <w:pStyle w:val="Textonotapie"/>
        <w:tabs>
          <w:tab w:val="left" w:pos="709"/>
        </w:tabs>
        <w:spacing w:after="0"/>
        <w:rPr>
          <w:lang w:val="es-ES_tradnl"/>
        </w:rPr>
      </w:pPr>
    </w:p>
  </w:footnote>
  <w:footnote w:id="592">
    <w:p w14:paraId="0B76263F"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Caso Artavia Murillo y otros ("Fecundación in vitro") Vs. Costa Rica. Excepciones Preliminares</w:t>
      </w:r>
      <w:r w:rsidRPr="00143D29">
        <w:rPr>
          <w:rFonts w:cs="Verdana"/>
          <w:bCs/>
          <w:lang w:val="es-ES_tradnl"/>
        </w:rPr>
        <w:t xml:space="preserve">, </w:t>
      </w:r>
      <w:r w:rsidRPr="00143D29">
        <w:rPr>
          <w:rFonts w:cs="Verdana"/>
          <w:bCs/>
          <w:i/>
          <w:lang w:val="es-ES_tradnl"/>
        </w:rPr>
        <w:t>Fondo, Reparaciones y Costas.</w:t>
      </w:r>
      <w:r w:rsidRPr="00143D29">
        <w:rPr>
          <w:rFonts w:cs="Verdana"/>
          <w:bCs/>
          <w:lang w:val="es-ES_tradnl"/>
        </w:rPr>
        <w:t xml:space="preserve"> </w:t>
      </w:r>
      <w:r w:rsidRPr="00143D29">
        <w:rPr>
          <w:rFonts w:cs="Verdana"/>
          <w:bCs/>
          <w:spacing w:val="-2"/>
          <w:lang w:val="es-ES_tradnl"/>
        </w:rPr>
        <w:t>Sentencia de 28 noviembre de 2012. Serie C No. 257, párr. 288 a 302</w:t>
      </w:r>
      <w:r w:rsidRPr="00143D29">
        <w:rPr>
          <w:rFonts w:cs="Verdana"/>
          <w:bCs/>
          <w:lang w:val="es-ES_tradnl"/>
        </w:rPr>
        <w:t xml:space="preserve">. </w:t>
      </w:r>
    </w:p>
    <w:p w14:paraId="4EA60398" w14:textId="77777777" w:rsidR="00D4299B" w:rsidRPr="00143D29" w:rsidRDefault="00D4299B" w:rsidP="00130785">
      <w:pPr>
        <w:pStyle w:val="Textonotapie"/>
        <w:tabs>
          <w:tab w:val="left" w:pos="709"/>
        </w:tabs>
        <w:spacing w:after="0"/>
        <w:rPr>
          <w:lang w:val="es-ES_tradnl"/>
        </w:rPr>
      </w:pPr>
    </w:p>
  </w:footnote>
  <w:footnote w:id="593">
    <w:p w14:paraId="51E4CDB6" w14:textId="77777777" w:rsidR="00D4299B" w:rsidRPr="00143D29" w:rsidRDefault="00D4299B" w:rsidP="00130785">
      <w:pPr>
        <w:pStyle w:val="Prrafodelista"/>
        <w:tabs>
          <w:tab w:val="left" w:pos="709"/>
        </w:tabs>
        <w:ind w:left="0"/>
        <w:rPr>
          <w:rFonts w:cs="Times New Roman"/>
          <w:i/>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rFonts w:cs="Verdana"/>
          <w:bCs/>
          <w:sz w:val="16"/>
          <w:szCs w:val="16"/>
          <w:lang w:val="es-ES_tradnl"/>
        </w:rPr>
        <w:t xml:space="preserve">Corte IDH. </w:t>
      </w:r>
      <w:r w:rsidRPr="00143D29">
        <w:rPr>
          <w:rFonts w:cs="Verdana"/>
          <w:bCs/>
          <w:i/>
          <w:sz w:val="16"/>
          <w:szCs w:val="16"/>
          <w:lang w:val="es-ES_tradnl"/>
        </w:rPr>
        <w:t xml:space="preserve">Caso de las niñas </w:t>
      </w:r>
      <w:proofErr w:type="spellStart"/>
      <w:r w:rsidRPr="00143D29">
        <w:rPr>
          <w:rFonts w:cs="Verdana"/>
          <w:bCs/>
          <w:i/>
          <w:sz w:val="16"/>
          <w:szCs w:val="16"/>
          <w:lang w:val="es-ES_tradnl"/>
        </w:rPr>
        <w:t>Yean</w:t>
      </w:r>
      <w:proofErr w:type="spellEnd"/>
      <w:r w:rsidRPr="00143D29">
        <w:rPr>
          <w:rFonts w:cs="Verdana"/>
          <w:bCs/>
          <w:i/>
          <w:sz w:val="16"/>
          <w:szCs w:val="16"/>
          <w:lang w:val="es-ES_tradnl"/>
        </w:rPr>
        <w:t xml:space="preserve"> y </w:t>
      </w:r>
      <w:proofErr w:type="spellStart"/>
      <w:r w:rsidRPr="00143D29">
        <w:rPr>
          <w:rFonts w:cs="Verdana"/>
          <w:bCs/>
          <w:i/>
          <w:sz w:val="16"/>
          <w:szCs w:val="16"/>
          <w:lang w:val="es-ES_tradnl"/>
        </w:rPr>
        <w:t>Bosico</w:t>
      </w:r>
      <w:proofErr w:type="spellEnd"/>
      <w:r w:rsidRPr="00143D29">
        <w:rPr>
          <w:rFonts w:cs="Verdana"/>
          <w:bCs/>
          <w:i/>
          <w:sz w:val="16"/>
          <w:szCs w:val="16"/>
          <w:lang w:val="es-ES_tradnl"/>
        </w:rPr>
        <w:t xml:space="preserve"> Vs. República Dominicana</w:t>
      </w:r>
      <w:r w:rsidRPr="00143D29">
        <w:rPr>
          <w:rFonts w:cs="Verdana"/>
          <w:bCs/>
          <w:sz w:val="16"/>
          <w:szCs w:val="16"/>
          <w:lang w:val="es-ES_tradnl"/>
        </w:rPr>
        <w:t xml:space="preserve">. Sentencia de 8 de septiembre de 2005. Serie C No. 130, párr. </w:t>
      </w:r>
      <w:r w:rsidRPr="00143D29">
        <w:rPr>
          <w:rFonts w:cs="Times New Roman"/>
          <w:sz w:val="16"/>
          <w:szCs w:val="16"/>
          <w:lang w:val="es-ES_tradnl"/>
        </w:rPr>
        <w:t xml:space="preserve">139, y </w:t>
      </w:r>
      <w:r w:rsidRPr="00143D29">
        <w:rPr>
          <w:rFonts w:cs="Verdana"/>
          <w:bCs/>
          <w:i/>
          <w:sz w:val="16"/>
          <w:szCs w:val="16"/>
          <w:lang w:val="es-ES_tradnl"/>
        </w:rPr>
        <w:t>Caso de personas dominicanas y haitianas expulsadas Vs. República Dominicana. Excepciones Preliminares, Fondo, Reparaciones y Cos</w:t>
      </w:r>
      <w:r w:rsidRPr="00143D29">
        <w:rPr>
          <w:rFonts w:cs="Verdana"/>
          <w:bCs/>
          <w:sz w:val="16"/>
          <w:szCs w:val="16"/>
          <w:lang w:val="es-ES_tradnl"/>
        </w:rPr>
        <w:t xml:space="preserve">tas. Sentencia de 28 de agosto de 2014. Serie C No. 282, párr. </w:t>
      </w:r>
      <w:r w:rsidRPr="00143D29">
        <w:rPr>
          <w:rFonts w:cs="Times New Roman"/>
          <w:sz w:val="16"/>
          <w:szCs w:val="16"/>
          <w:lang w:val="es-ES_tradnl"/>
        </w:rPr>
        <w:t>158.</w:t>
      </w:r>
    </w:p>
    <w:p w14:paraId="51B4A3BF" w14:textId="77777777" w:rsidR="00D4299B" w:rsidRPr="00143D29" w:rsidRDefault="00D4299B" w:rsidP="00130785">
      <w:pPr>
        <w:pStyle w:val="Textonotapie"/>
        <w:tabs>
          <w:tab w:val="left" w:pos="709"/>
        </w:tabs>
        <w:spacing w:after="0"/>
        <w:rPr>
          <w:lang w:val="es-ES_tradnl"/>
        </w:rPr>
      </w:pPr>
    </w:p>
  </w:footnote>
  <w:footnote w:id="594">
    <w:p w14:paraId="19FAAE0E" w14:textId="77777777" w:rsidR="00D4299B" w:rsidRPr="00143D29" w:rsidRDefault="00D4299B" w:rsidP="00130785">
      <w:pPr>
        <w:pStyle w:val="Textonotapie"/>
        <w:tabs>
          <w:tab w:val="left" w:pos="709"/>
        </w:tabs>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 xml:space="preserve">Caso Gonzales </w:t>
      </w:r>
      <w:proofErr w:type="spellStart"/>
      <w:r w:rsidRPr="00143D29">
        <w:rPr>
          <w:rFonts w:cs="Verdana"/>
          <w:bCs/>
          <w:i/>
          <w:lang w:val="es-ES_tradnl"/>
        </w:rPr>
        <w:t>Lluy</w:t>
      </w:r>
      <w:proofErr w:type="spellEnd"/>
      <w:r w:rsidRPr="00143D29">
        <w:rPr>
          <w:rFonts w:cs="Verdana"/>
          <w:bCs/>
          <w:i/>
          <w:lang w:val="es-ES_tradnl"/>
        </w:rPr>
        <w:t xml:space="preserve"> y otros Vs. Ecuador. Excepciones Preliminares, Fondo, Reparaciones y Costas</w:t>
      </w:r>
      <w:r w:rsidRPr="00143D29">
        <w:rPr>
          <w:rFonts w:cs="Verdana"/>
          <w:bCs/>
          <w:lang w:val="es-ES_tradnl"/>
        </w:rPr>
        <w:t xml:space="preserve">. Sentencia de 1 de septiembre de 2015. Serie C No. 298, párr. </w:t>
      </w:r>
      <w:r w:rsidRPr="00143D29">
        <w:rPr>
          <w:rFonts w:cs="Times New Roman"/>
          <w:lang w:val="es-ES_tradnl"/>
        </w:rPr>
        <w:t>193.</w:t>
      </w:r>
    </w:p>
    <w:p w14:paraId="40F4167E" w14:textId="77777777" w:rsidR="00D4299B" w:rsidRPr="00143D29" w:rsidRDefault="00D4299B" w:rsidP="00130785">
      <w:pPr>
        <w:pStyle w:val="Textonotapie"/>
        <w:tabs>
          <w:tab w:val="left" w:pos="709"/>
        </w:tabs>
        <w:rPr>
          <w:lang w:val="es-ES_tradnl"/>
        </w:rPr>
      </w:pPr>
    </w:p>
  </w:footnote>
  <w:footnote w:id="595">
    <w:p w14:paraId="6F0FBD95"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 xml:space="preserve">Caso Gonzales </w:t>
      </w:r>
      <w:proofErr w:type="spellStart"/>
      <w:r w:rsidRPr="00143D29">
        <w:rPr>
          <w:rFonts w:cs="Verdana"/>
          <w:bCs/>
          <w:i/>
          <w:lang w:val="es-ES_tradnl"/>
        </w:rPr>
        <w:t>Lluy</w:t>
      </w:r>
      <w:proofErr w:type="spellEnd"/>
      <w:r w:rsidRPr="00143D29">
        <w:rPr>
          <w:rFonts w:cs="Verdana"/>
          <w:bCs/>
          <w:i/>
          <w:lang w:val="es-ES_tradnl"/>
        </w:rPr>
        <w:t xml:space="preserve"> y otros Vs. Ecuador. Excepciones Preliminares, Fondo, Reparaciones y Costas</w:t>
      </w:r>
      <w:r w:rsidRPr="00143D29">
        <w:rPr>
          <w:rFonts w:cs="Verdana"/>
          <w:bCs/>
          <w:lang w:val="es-ES_tradnl"/>
        </w:rPr>
        <w:t xml:space="preserve">. Sentencia de 1 de septiembre de 2015. Serie C No. 298, párr. </w:t>
      </w:r>
      <w:r w:rsidRPr="00143D29">
        <w:rPr>
          <w:rFonts w:cs="Times New Roman"/>
          <w:lang w:val="es-ES_tradnl"/>
        </w:rPr>
        <w:t>290.</w:t>
      </w:r>
    </w:p>
    <w:p w14:paraId="49E8E6DA" w14:textId="77777777" w:rsidR="00D4299B" w:rsidRPr="00143D29" w:rsidRDefault="00D4299B" w:rsidP="00130785">
      <w:pPr>
        <w:pStyle w:val="Textonotapie"/>
        <w:tabs>
          <w:tab w:val="left" w:pos="709"/>
        </w:tabs>
        <w:rPr>
          <w:lang w:val="es-ES_tradnl"/>
        </w:rPr>
      </w:pPr>
    </w:p>
  </w:footnote>
  <w:footnote w:id="596">
    <w:p w14:paraId="06ED1E6D" w14:textId="77777777" w:rsidR="00D4299B" w:rsidRPr="00143D29" w:rsidRDefault="00D4299B" w:rsidP="00130785">
      <w:pPr>
        <w:pStyle w:val="Textonotapie"/>
        <w:tabs>
          <w:tab w:val="left" w:pos="709"/>
        </w:tabs>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rFonts w:cs="Verdana"/>
          <w:bCs/>
          <w:lang w:val="es-ES_tradnl"/>
        </w:rPr>
        <w:t xml:space="preserve">Corte IDH. </w:t>
      </w:r>
      <w:r w:rsidRPr="00143D29">
        <w:rPr>
          <w:rFonts w:cs="Verdana"/>
          <w:bCs/>
          <w:i/>
          <w:lang w:val="es-ES_tradnl"/>
        </w:rPr>
        <w:t xml:space="preserve">Caso Gonzales </w:t>
      </w:r>
      <w:proofErr w:type="spellStart"/>
      <w:r w:rsidRPr="00143D29">
        <w:rPr>
          <w:rFonts w:cs="Verdana"/>
          <w:bCs/>
          <w:i/>
          <w:lang w:val="es-ES_tradnl"/>
        </w:rPr>
        <w:t>Lluy</w:t>
      </w:r>
      <w:proofErr w:type="spellEnd"/>
      <w:r w:rsidRPr="00143D29">
        <w:rPr>
          <w:rFonts w:cs="Verdana"/>
          <w:bCs/>
          <w:i/>
          <w:lang w:val="es-ES_tradnl"/>
        </w:rPr>
        <w:t xml:space="preserve"> y otros Vs. Ecuador. Excepciones Preliminares, Fondo, Reparaciones y Costas</w:t>
      </w:r>
      <w:r w:rsidRPr="00143D29">
        <w:rPr>
          <w:rFonts w:cs="Verdana"/>
          <w:bCs/>
          <w:lang w:val="es-ES_tradnl"/>
        </w:rPr>
        <w:t xml:space="preserve">. Sentencia de 1 de septiembre de 2015. Serie C No. 298, párr. </w:t>
      </w:r>
      <w:r w:rsidRPr="00143D29">
        <w:rPr>
          <w:rFonts w:cs="Times New Roman"/>
          <w:lang w:val="es-ES_tradnl"/>
        </w:rPr>
        <w:t xml:space="preserve">291. </w:t>
      </w:r>
    </w:p>
    <w:p w14:paraId="51B4FE48" w14:textId="77777777" w:rsidR="00D4299B" w:rsidRPr="00143D29" w:rsidRDefault="00D4299B" w:rsidP="00130785">
      <w:pPr>
        <w:pStyle w:val="Textonotapie"/>
        <w:tabs>
          <w:tab w:val="left" w:pos="709"/>
        </w:tabs>
        <w:rPr>
          <w:lang w:val="es-ES_tradnl"/>
        </w:rPr>
      </w:pPr>
    </w:p>
  </w:footnote>
  <w:footnote w:id="597">
    <w:p w14:paraId="278C0353"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Véase: </w:t>
      </w:r>
      <w:r w:rsidRPr="00143D29">
        <w:rPr>
          <w:rFonts w:cs="Verdana"/>
          <w:bCs/>
          <w:lang w:val="es-ES_tradnl"/>
        </w:rPr>
        <w:t xml:space="preserve">Corte IDH. </w:t>
      </w:r>
      <w:r w:rsidRPr="00143D29">
        <w:rPr>
          <w:rFonts w:cs="Verdana"/>
          <w:bCs/>
          <w:i/>
          <w:lang w:val="es-ES_tradnl"/>
        </w:rPr>
        <w:t>Caso Artavia Murillo y otros ("Fecundación in vitro") Vs. Costa Rica. Excepciones Preliminares, Fondo, Reparaciones y Costas.</w:t>
      </w:r>
      <w:r w:rsidRPr="00143D29">
        <w:rPr>
          <w:rFonts w:cs="Verdana"/>
          <w:bCs/>
          <w:lang w:val="es-ES_tradnl"/>
        </w:rPr>
        <w:t xml:space="preserve"> Sentencia de 28 noviembre de 2012. Serie C No. 257.</w:t>
      </w:r>
    </w:p>
  </w:footnote>
  <w:footnote w:id="598">
    <w:p w14:paraId="41684199" w14:textId="77777777" w:rsidR="00D4299B" w:rsidRPr="00143D29" w:rsidRDefault="00D4299B" w:rsidP="00130785">
      <w:pPr>
        <w:pStyle w:val="Textonotapie"/>
        <w:tabs>
          <w:tab w:val="left" w:pos="709"/>
        </w:tabs>
        <w:spacing w:after="0"/>
        <w:rPr>
          <w:lang w:val="es-ES_tradnl"/>
        </w:rPr>
      </w:pPr>
    </w:p>
    <w:p w14:paraId="57A95822"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Véase: </w:t>
      </w:r>
      <w:r w:rsidRPr="00143D29">
        <w:rPr>
          <w:rFonts w:cs="Verdana"/>
          <w:bCs/>
          <w:lang w:val="es-ES_tradnl"/>
        </w:rPr>
        <w:t xml:space="preserve">Corte IDH. </w:t>
      </w:r>
      <w:r w:rsidRPr="00143D29">
        <w:rPr>
          <w:rFonts w:cs="Verdana"/>
          <w:bCs/>
          <w:i/>
          <w:lang w:val="es-ES_tradnl"/>
        </w:rPr>
        <w:t xml:space="preserve">Caso Gonzales </w:t>
      </w:r>
      <w:proofErr w:type="spellStart"/>
      <w:r w:rsidRPr="00143D29">
        <w:rPr>
          <w:rFonts w:cs="Verdana"/>
          <w:bCs/>
          <w:i/>
          <w:lang w:val="es-ES_tradnl"/>
        </w:rPr>
        <w:t>Lluy</w:t>
      </w:r>
      <w:proofErr w:type="spellEnd"/>
      <w:r w:rsidRPr="00143D29">
        <w:rPr>
          <w:rFonts w:cs="Verdana"/>
          <w:bCs/>
          <w:i/>
          <w:lang w:val="es-ES_tradnl"/>
        </w:rPr>
        <w:t xml:space="preserve"> y otros Vs. Ecuador. Excepciones Preliminares, Fondo, Reparaciones y Costas</w:t>
      </w:r>
      <w:r w:rsidRPr="00143D29">
        <w:rPr>
          <w:rFonts w:cs="Verdana"/>
          <w:bCs/>
          <w:lang w:val="es-ES_tradnl"/>
        </w:rPr>
        <w:t>. Sentencia de 1 de septiembre de 2015. Serie C No. 298.</w:t>
      </w:r>
    </w:p>
  </w:footnote>
  <w:footnote w:id="599">
    <w:p w14:paraId="16A6EA1E" w14:textId="77777777" w:rsidR="00D4299B" w:rsidRPr="00143D29" w:rsidRDefault="00D4299B" w:rsidP="00130785">
      <w:pPr>
        <w:pStyle w:val="Textonotapie"/>
        <w:tabs>
          <w:tab w:val="left" w:pos="709"/>
        </w:tabs>
        <w:spacing w:after="0"/>
        <w:rPr>
          <w:lang w:val="es-ES_tradnl"/>
        </w:rPr>
      </w:pPr>
    </w:p>
    <w:p w14:paraId="1C704B9B" w14:textId="77777777" w:rsidR="00D4299B" w:rsidRPr="00143D29" w:rsidRDefault="00D4299B" w:rsidP="00130785">
      <w:pPr>
        <w:pStyle w:val="Textonotapie"/>
        <w:tabs>
          <w:tab w:val="left" w:pos="709"/>
        </w:tabs>
        <w:spacing w:after="0"/>
        <w:rPr>
          <w:rFonts w:cs="Times New Roman"/>
          <w:b/>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Véase: </w:t>
      </w:r>
      <w:r w:rsidRPr="00143D29">
        <w:rPr>
          <w:rFonts w:cs="Verdana"/>
          <w:bCs/>
          <w:lang w:val="es-ES_tradnl"/>
        </w:rPr>
        <w:t xml:space="preserve">Corte IDH. </w:t>
      </w:r>
      <w:r w:rsidRPr="00143D29">
        <w:rPr>
          <w:rFonts w:cs="Verdana"/>
          <w:bCs/>
          <w:i/>
          <w:lang w:val="es-ES_tradnl"/>
        </w:rPr>
        <w:t>Caso Uzcátegui y otros Vs. Venezuela. Fondo y Reparaciones</w:t>
      </w:r>
      <w:r w:rsidRPr="00143D29">
        <w:rPr>
          <w:rFonts w:cs="Verdana"/>
          <w:bCs/>
          <w:lang w:val="es-ES_tradnl"/>
        </w:rPr>
        <w:t xml:space="preserve">. Sentencia de 3 de septiembre de 2012. Serie C No. 249. </w:t>
      </w:r>
    </w:p>
    <w:p w14:paraId="1B113075" w14:textId="77777777" w:rsidR="00D4299B" w:rsidRPr="00143D29" w:rsidRDefault="00D4299B" w:rsidP="00130785">
      <w:pPr>
        <w:pStyle w:val="Textonotapie"/>
        <w:tabs>
          <w:tab w:val="left" w:pos="709"/>
        </w:tabs>
        <w:spacing w:after="0"/>
        <w:rPr>
          <w:lang w:val="es-ES_tradnl"/>
        </w:rPr>
      </w:pPr>
    </w:p>
  </w:footnote>
  <w:footnote w:id="600">
    <w:p w14:paraId="7D7CC65A"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Sentencia de 20 octubre de 2016, Serie C No. 318, párr. 341.</w:t>
      </w:r>
    </w:p>
    <w:p w14:paraId="36D26055" w14:textId="77777777" w:rsidR="00D4299B" w:rsidRPr="00143D29" w:rsidRDefault="00D4299B" w:rsidP="00130785">
      <w:pPr>
        <w:pStyle w:val="Textonotapie"/>
        <w:tabs>
          <w:tab w:val="left" w:pos="709"/>
        </w:tabs>
        <w:rPr>
          <w:lang w:val="es-ES_tradnl"/>
        </w:rPr>
      </w:pPr>
    </w:p>
  </w:footnote>
  <w:footnote w:id="601">
    <w:p w14:paraId="3FC67D9D" w14:textId="77777777" w:rsidR="00D4299B" w:rsidRPr="00143D29" w:rsidRDefault="00D4299B" w:rsidP="00130785">
      <w:pPr>
        <w:pStyle w:val="Textonotapie"/>
        <w:tabs>
          <w:tab w:val="left" w:pos="709"/>
        </w:tabs>
        <w:spacing w:after="0"/>
        <w:rPr>
          <w:rFonts w:cs="Verdana"/>
          <w:bCs/>
          <w:lang w:val="es-ES_tradnl"/>
        </w:rPr>
      </w:pPr>
      <w:r w:rsidRPr="00143D29">
        <w:rPr>
          <w:rStyle w:val="Refdenotaalpie"/>
          <w:lang w:val="es-ES_tradnl"/>
        </w:rPr>
        <w:footnoteRef/>
      </w:r>
      <w:r w:rsidRPr="00143D29">
        <w:rPr>
          <w:rFonts w:cs="Times New Roman"/>
          <w:b/>
          <w:lang w:val="es-ES_tradnl"/>
        </w:rPr>
        <w:t xml:space="preserve"> </w:t>
      </w:r>
      <w:r w:rsidRPr="00143D29">
        <w:rPr>
          <w:rFonts w:cs="Times New Roman"/>
          <w:b/>
          <w:lang w:val="es-ES_tradnl"/>
        </w:rPr>
        <w:tab/>
        <w:t xml:space="preserve"> </w:t>
      </w:r>
      <w:r w:rsidRPr="00143D29">
        <w:rPr>
          <w:rFonts w:cs="Times New Roman"/>
          <w:lang w:val="es-ES_tradnl"/>
        </w:rPr>
        <w:t xml:space="preserve">Por ejemplo, la Corte IDH ha referido que la redacción del artículo 1.1 deja abiertos los criterios con la inclusión del término “otra condición social” para incorporar así a otras categorías que no hubiesen sido explícitamente indicadas. Así, la expresión “cualquier otra condición social” del artículo 1.1. de la Convención debe ser interpretada por la Corte, en consecuencia, en la perspectiva de la opción más favorable a la persona y de la evolución de los derechos fundamentales en el derecho internacional contemporáneo. </w:t>
      </w:r>
      <w:r w:rsidRPr="00143D29">
        <w:rPr>
          <w:rFonts w:cs="Times New Roman"/>
          <w:i/>
          <w:lang w:val="es-ES_tradnl"/>
        </w:rPr>
        <w:t>Cfr.</w:t>
      </w:r>
      <w:r w:rsidRPr="00143D29">
        <w:rPr>
          <w:rFonts w:cs="Times New Roman"/>
          <w:lang w:val="es-ES_tradnl"/>
        </w:rPr>
        <w:t xml:space="preserve"> </w:t>
      </w:r>
      <w:r w:rsidRPr="00143D29">
        <w:rPr>
          <w:rFonts w:cs="Verdana"/>
          <w:bCs/>
          <w:i/>
          <w:lang w:val="es-ES_tradnl"/>
        </w:rPr>
        <w:t xml:space="preserve">Caso </w:t>
      </w:r>
      <w:proofErr w:type="spellStart"/>
      <w:r w:rsidRPr="00143D29">
        <w:rPr>
          <w:rFonts w:cs="Verdana"/>
          <w:bCs/>
          <w:i/>
          <w:lang w:val="es-ES_tradnl"/>
        </w:rPr>
        <w:t>Atala</w:t>
      </w:r>
      <w:proofErr w:type="spellEnd"/>
      <w:r w:rsidRPr="00143D29">
        <w:rPr>
          <w:rFonts w:cs="Verdana"/>
          <w:bCs/>
          <w:i/>
          <w:lang w:val="es-ES_tradnl"/>
        </w:rPr>
        <w:t xml:space="preserve"> Riffo y niñas Vs. Chile. Fondo, Reparaciones y Costas</w:t>
      </w:r>
      <w:r w:rsidRPr="00143D29">
        <w:rPr>
          <w:rFonts w:cs="Verdana"/>
          <w:bCs/>
          <w:lang w:val="es-ES_tradnl"/>
        </w:rPr>
        <w:t xml:space="preserve">. Sentencia del 24 de febrero de 2012. Serie C No. 239, párr. 85. </w:t>
      </w:r>
    </w:p>
    <w:p w14:paraId="3CCDB69E" w14:textId="77777777" w:rsidR="00D4299B" w:rsidRPr="00143D29" w:rsidRDefault="00D4299B" w:rsidP="00130785">
      <w:pPr>
        <w:pStyle w:val="Textonotapie"/>
        <w:tabs>
          <w:tab w:val="left" w:pos="709"/>
        </w:tabs>
        <w:spacing w:after="0"/>
        <w:rPr>
          <w:lang w:val="es-ES_tradnl"/>
        </w:rPr>
      </w:pPr>
    </w:p>
  </w:footnote>
  <w:footnote w:id="602">
    <w:p w14:paraId="3AE3A949" w14:textId="77777777" w:rsidR="00D4299B" w:rsidRPr="00143D29" w:rsidRDefault="00D4299B" w:rsidP="00130785">
      <w:pPr>
        <w:pStyle w:val="Prrafodelista"/>
        <w:tabs>
          <w:tab w:val="left" w:pos="709"/>
        </w:tabs>
        <w:ind w:left="0"/>
        <w:rPr>
          <w:rFonts w:cs="System Font Regular"/>
          <w:i/>
          <w:color w:val="16191F"/>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rFonts w:cs="System Font Regular"/>
          <w:color w:val="16191F"/>
          <w:sz w:val="16"/>
          <w:szCs w:val="16"/>
          <w:lang w:val="es-ES_tradnl"/>
        </w:rPr>
        <w:t xml:space="preserve">Con anterioridad, la Corte ha ampliado el catálogo de categorías de protección especial que se encontraban expresas en el artículo 1.1 de la Convención Americana que fue aprobada en 1969. Así en la </w:t>
      </w:r>
      <w:r w:rsidRPr="00143D29">
        <w:rPr>
          <w:rFonts w:cs="System Font Regular"/>
          <w:i/>
          <w:color w:val="16191F"/>
          <w:sz w:val="16"/>
          <w:szCs w:val="16"/>
          <w:lang w:val="es-ES_tradnl"/>
        </w:rPr>
        <w:t xml:space="preserve">Opinión Consultiva No. 18, sobre la condición Jurídica y derechos de los migrantes indocumentados, </w:t>
      </w:r>
      <w:r w:rsidRPr="00143D29">
        <w:rPr>
          <w:rFonts w:cs="System Font Regular"/>
          <w:color w:val="16191F"/>
          <w:sz w:val="16"/>
          <w:szCs w:val="16"/>
          <w:lang w:val="es-ES_tradnl"/>
        </w:rPr>
        <w:t>del 2003, además de la “</w:t>
      </w:r>
      <w:r w:rsidRPr="00143D29">
        <w:rPr>
          <w:rFonts w:cs="Tahoma"/>
          <w:sz w:val="16"/>
          <w:szCs w:val="16"/>
          <w:lang w:val="es-ES_tradnl"/>
        </w:rPr>
        <w:t>raza, color, sexo, idioma, religión, opiniones políticas o de cualquier otra índole, origen nacional o social, posición económica, nacimiento o cualquier otra condición social”, también consideró el “género, la edad, el patrimonio y el estado civil” como categorías –no expresas- de especial protección a la luz del artículo 1.1 de la Convención Americana</w:t>
      </w:r>
      <w:r w:rsidRPr="00143D29">
        <w:rPr>
          <w:sz w:val="16"/>
          <w:szCs w:val="16"/>
          <w:lang w:val="es-ES_tradnl"/>
        </w:rPr>
        <w:t xml:space="preserve">. </w:t>
      </w:r>
      <w:r w:rsidRPr="00143D29">
        <w:rPr>
          <w:i/>
          <w:sz w:val="16"/>
          <w:szCs w:val="16"/>
          <w:lang w:val="es-ES_tradnl"/>
        </w:rPr>
        <w:t xml:space="preserve">Cfr. </w:t>
      </w:r>
      <w:r w:rsidRPr="00143D29">
        <w:rPr>
          <w:rFonts w:cs="Verdana"/>
          <w:bCs/>
          <w:i/>
          <w:sz w:val="16"/>
          <w:szCs w:val="16"/>
          <w:lang w:val="es-ES_tradnl"/>
        </w:rPr>
        <w:t xml:space="preserve">Condición jurídica y derechos de los migrantes indocumentados. </w:t>
      </w:r>
      <w:r w:rsidRPr="00143D29">
        <w:rPr>
          <w:rFonts w:cs="Verdana"/>
          <w:bCs/>
          <w:sz w:val="16"/>
          <w:szCs w:val="16"/>
          <w:lang w:val="es-ES_tradnl"/>
        </w:rPr>
        <w:t xml:space="preserve">Opinión Consultiva OC-18/03 de 17 de septiembre de 2003. Serie A No. 18, </w:t>
      </w:r>
      <w:r w:rsidRPr="00143D29">
        <w:rPr>
          <w:rFonts w:cs="Tahoma"/>
          <w:sz w:val="16"/>
          <w:szCs w:val="16"/>
          <w:lang w:val="es-ES_tradnl"/>
        </w:rPr>
        <w:t>párr. 101.</w:t>
      </w:r>
    </w:p>
    <w:p w14:paraId="4AE21FD9" w14:textId="77777777" w:rsidR="00D4299B" w:rsidRPr="00143D29" w:rsidRDefault="00D4299B" w:rsidP="00130785">
      <w:pPr>
        <w:pStyle w:val="Textonotapie"/>
        <w:tabs>
          <w:tab w:val="left" w:pos="709"/>
        </w:tabs>
        <w:spacing w:after="0"/>
        <w:rPr>
          <w:lang w:val="es-ES_tradnl"/>
        </w:rPr>
      </w:pPr>
    </w:p>
  </w:footnote>
  <w:footnote w:id="603">
    <w:p w14:paraId="5FECA8DD" w14:textId="77777777" w:rsidR="00D4299B" w:rsidRPr="00143D29" w:rsidRDefault="00D4299B" w:rsidP="00130785">
      <w:pPr>
        <w:pStyle w:val="Textonotapie"/>
        <w:tabs>
          <w:tab w:val="left" w:pos="709"/>
        </w:tabs>
        <w:spacing w:after="0"/>
        <w:rPr>
          <w:rFonts w:cs="Verdana"/>
          <w:bCs/>
          <w:lang w:val="es-ES_tradnl"/>
        </w:rPr>
      </w:pPr>
      <w:r w:rsidRPr="00143D29">
        <w:rPr>
          <w:rStyle w:val="Refdenotaalpie"/>
          <w:lang w:val="es-ES_tradnl"/>
        </w:rPr>
        <w:footnoteRef/>
      </w:r>
      <w:r w:rsidRPr="00143D29">
        <w:rPr>
          <w:rFonts w:cs="Times New Roman"/>
          <w:lang w:val="es-ES_tradnl"/>
        </w:rPr>
        <w:tab/>
        <w:t>En el caso</w:t>
      </w:r>
      <w:r w:rsidRPr="00143D29">
        <w:rPr>
          <w:rFonts w:cs="Times New Roman"/>
          <w:i/>
          <w:lang w:val="es-ES_tradnl"/>
        </w:rPr>
        <w:t xml:space="preserve"> </w:t>
      </w:r>
      <w:proofErr w:type="spellStart"/>
      <w:r w:rsidRPr="00143D29">
        <w:rPr>
          <w:rFonts w:cs="Times New Roman"/>
          <w:i/>
          <w:lang w:val="es-ES_tradnl"/>
        </w:rPr>
        <w:t>Atala</w:t>
      </w:r>
      <w:proofErr w:type="spellEnd"/>
      <w:r w:rsidRPr="00143D29">
        <w:rPr>
          <w:rFonts w:cs="Times New Roman"/>
          <w:i/>
          <w:lang w:val="es-ES_tradnl"/>
        </w:rPr>
        <w:t xml:space="preserve"> Riffo y niñas Vs. Chile</w:t>
      </w:r>
      <w:r w:rsidRPr="00143D29">
        <w:rPr>
          <w:rFonts w:cs="Times New Roman"/>
          <w:lang w:val="es-ES_tradnl"/>
        </w:rPr>
        <w:t xml:space="preserve">, a partir de la cláusula </w:t>
      </w:r>
      <w:r w:rsidRPr="00143D29">
        <w:rPr>
          <w:rFonts w:cs="Times New Roman"/>
          <w:i/>
          <w:lang w:val="es-ES_tradnl"/>
        </w:rPr>
        <w:t>“otra condición social”</w:t>
      </w:r>
      <w:r w:rsidRPr="00143D29">
        <w:rPr>
          <w:rFonts w:cs="Times New Roman"/>
          <w:lang w:val="es-ES_tradnl"/>
        </w:rPr>
        <w:t xml:space="preserve">, el Tribunal Interamericano tomando en consideración las obligaciones generales de respeto y garantía establecidas en el artículo 1.1 de la Convención Americana, los criterios de interpretación fijados en el artículo 29 de la dicha Convención, lo estipulado en la Convención de Viena sobre el Derecho de los Tratados, las Resoluciones de la Asamblea General de la OEA, los estándares establecidos por el Tribunal Europeo y los Organismos de Naciones Unidas, la Corte Interamericana dejó establecido que la orientación sexual y la identidad de género de las personas son categorías protegidas por la Convención. Corte IDH. </w:t>
      </w:r>
      <w:r w:rsidRPr="00143D29">
        <w:rPr>
          <w:rFonts w:cs="Verdana"/>
          <w:bCs/>
          <w:i/>
          <w:lang w:val="es-ES_tradnl"/>
        </w:rPr>
        <w:t xml:space="preserve">Caso </w:t>
      </w:r>
      <w:proofErr w:type="spellStart"/>
      <w:r w:rsidRPr="00143D29">
        <w:rPr>
          <w:rFonts w:cs="Verdana"/>
          <w:bCs/>
          <w:i/>
          <w:lang w:val="es-ES_tradnl"/>
        </w:rPr>
        <w:t>Atala</w:t>
      </w:r>
      <w:proofErr w:type="spellEnd"/>
      <w:r w:rsidRPr="00143D29">
        <w:rPr>
          <w:rFonts w:cs="Verdana"/>
          <w:bCs/>
          <w:i/>
          <w:lang w:val="es-ES_tradnl"/>
        </w:rPr>
        <w:t xml:space="preserve"> Riffo y niñas Vs. Chile. Fondo, Reparaciones y Costas</w:t>
      </w:r>
      <w:r w:rsidRPr="00143D29">
        <w:rPr>
          <w:rFonts w:cs="Verdana"/>
          <w:bCs/>
          <w:lang w:val="es-ES_tradnl"/>
        </w:rPr>
        <w:t xml:space="preserve">. Sentencia del 24 de febrero de 2012. Serie C No. 239, párr. 91. </w:t>
      </w:r>
    </w:p>
    <w:p w14:paraId="151708BE" w14:textId="77777777" w:rsidR="00D4299B" w:rsidRPr="00143D29" w:rsidRDefault="00D4299B" w:rsidP="00130785">
      <w:pPr>
        <w:pStyle w:val="Textonotapie"/>
        <w:tabs>
          <w:tab w:val="left" w:pos="709"/>
        </w:tabs>
        <w:spacing w:after="0"/>
        <w:rPr>
          <w:lang w:val="es-ES_tradnl"/>
        </w:rPr>
      </w:pPr>
    </w:p>
  </w:footnote>
  <w:footnote w:id="604">
    <w:p w14:paraId="2FB72E6D" w14:textId="77777777" w:rsidR="00D4299B" w:rsidRPr="00143D29" w:rsidRDefault="00D4299B" w:rsidP="00130785">
      <w:pPr>
        <w:pStyle w:val="Prrafodelista"/>
        <w:tabs>
          <w:tab w:val="left" w:pos="709"/>
        </w:tabs>
        <w:ind w:left="0"/>
        <w:rPr>
          <w:rFonts w:cs="Times New Roman"/>
          <w:b/>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t xml:space="preserve">En los casos </w:t>
      </w:r>
      <w:proofErr w:type="spellStart"/>
      <w:r w:rsidRPr="00143D29">
        <w:rPr>
          <w:i/>
          <w:sz w:val="16"/>
          <w:szCs w:val="16"/>
          <w:lang w:val="es-ES_tradnl"/>
        </w:rPr>
        <w:t>Ximenes</w:t>
      </w:r>
      <w:proofErr w:type="spellEnd"/>
      <w:r w:rsidRPr="00143D29">
        <w:rPr>
          <w:i/>
          <w:sz w:val="16"/>
          <w:szCs w:val="16"/>
          <w:lang w:val="es-ES_tradnl"/>
        </w:rPr>
        <w:t xml:space="preserve"> </w:t>
      </w:r>
      <w:proofErr w:type="spellStart"/>
      <w:r w:rsidRPr="00143D29">
        <w:rPr>
          <w:i/>
          <w:sz w:val="16"/>
          <w:szCs w:val="16"/>
          <w:lang w:val="es-ES_tradnl"/>
        </w:rPr>
        <w:t>Lopes</w:t>
      </w:r>
      <w:proofErr w:type="spellEnd"/>
      <w:r w:rsidRPr="00143D29">
        <w:rPr>
          <w:i/>
          <w:sz w:val="16"/>
          <w:szCs w:val="16"/>
          <w:lang w:val="es-ES_tradnl"/>
        </w:rPr>
        <w:t xml:space="preserve"> Vs. Brasil</w:t>
      </w:r>
      <w:r w:rsidRPr="00143D29">
        <w:rPr>
          <w:sz w:val="16"/>
          <w:szCs w:val="16"/>
          <w:lang w:val="es-ES_tradnl"/>
        </w:rPr>
        <w:t xml:space="preserve">; </w:t>
      </w:r>
      <w:proofErr w:type="spellStart"/>
      <w:r w:rsidRPr="00143D29">
        <w:rPr>
          <w:i/>
          <w:sz w:val="16"/>
          <w:szCs w:val="16"/>
          <w:lang w:val="es-ES_tradnl"/>
        </w:rPr>
        <w:t>Furlan</w:t>
      </w:r>
      <w:proofErr w:type="spellEnd"/>
      <w:r w:rsidRPr="00143D29">
        <w:rPr>
          <w:i/>
          <w:sz w:val="16"/>
          <w:szCs w:val="16"/>
          <w:lang w:val="es-ES_tradnl"/>
        </w:rPr>
        <w:t xml:space="preserve"> y familiares Vs. Argentina,</w:t>
      </w:r>
      <w:r w:rsidRPr="00143D29">
        <w:rPr>
          <w:sz w:val="16"/>
          <w:szCs w:val="16"/>
          <w:lang w:val="es-ES_tradnl"/>
        </w:rPr>
        <w:t xml:space="preserve"> </w:t>
      </w:r>
      <w:r w:rsidRPr="00143D29">
        <w:rPr>
          <w:i/>
          <w:sz w:val="16"/>
          <w:szCs w:val="16"/>
          <w:lang w:val="es-ES_tradnl"/>
        </w:rPr>
        <w:t>y Artavia Murillo y otros (Fecundación in Vitro) Vs. Costa Rica</w:t>
      </w:r>
      <w:r w:rsidRPr="00143D29">
        <w:rPr>
          <w:sz w:val="16"/>
          <w:szCs w:val="16"/>
          <w:lang w:val="es-ES_tradnl"/>
        </w:rPr>
        <w:t xml:space="preserve">, </w:t>
      </w:r>
      <w:r w:rsidRPr="00143D29">
        <w:rPr>
          <w:spacing w:val="-2"/>
          <w:sz w:val="16"/>
          <w:szCs w:val="16"/>
          <w:lang w:val="es-ES_tradnl"/>
        </w:rPr>
        <w:t>sin hacer mención expresa de la cláusula “otra condición social”, consideró que las personas con discapacidad son personas que dentro de las disposiciones de la Convención merecen una protección especial por su condición de vulnerabilidad</w:t>
      </w:r>
      <w:r w:rsidRPr="00143D29">
        <w:rPr>
          <w:b/>
          <w:spacing w:val="-2"/>
          <w:sz w:val="16"/>
          <w:szCs w:val="16"/>
          <w:lang w:val="es-ES_tradnl"/>
        </w:rPr>
        <w:t xml:space="preserve">. </w:t>
      </w:r>
      <w:r w:rsidRPr="00143D29">
        <w:rPr>
          <w:spacing w:val="-2"/>
          <w:sz w:val="16"/>
          <w:szCs w:val="16"/>
          <w:lang w:val="es-ES_tradnl"/>
        </w:rPr>
        <w:t>Corte IDH.</w:t>
      </w:r>
      <w:r w:rsidRPr="00143D29">
        <w:rPr>
          <w:b/>
          <w:spacing w:val="-2"/>
          <w:sz w:val="16"/>
          <w:szCs w:val="16"/>
          <w:lang w:val="es-ES_tradnl"/>
        </w:rPr>
        <w:t xml:space="preserve"> </w:t>
      </w:r>
      <w:r w:rsidRPr="00143D29">
        <w:rPr>
          <w:rFonts w:cs="Verdana"/>
          <w:bCs/>
          <w:i/>
          <w:spacing w:val="-2"/>
          <w:sz w:val="16"/>
          <w:szCs w:val="16"/>
          <w:lang w:val="es-ES_tradnl"/>
        </w:rPr>
        <w:t>Caso</w:t>
      </w:r>
      <w:r w:rsidRPr="00143D29">
        <w:rPr>
          <w:rFonts w:cs="Verdana"/>
          <w:bCs/>
          <w:i/>
          <w:sz w:val="16"/>
          <w:szCs w:val="16"/>
          <w:lang w:val="es-ES_tradnl"/>
        </w:rPr>
        <w:t xml:space="preserve"> Artavia Murillo y otros ("Fecundación in vitro") Vs. Costa Rica. Excepciones Preliminares, Fondo, Reparaciones y Costas.</w:t>
      </w:r>
      <w:r w:rsidRPr="00143D29">
        <w:rPr>
          <w:rFonts w:cs="Verdana"/>
          <w:bCs/>
          <w:sz w:val="16"/>
          <w:szCs w:val="16"/>
          <w:lang w:val="es-ES_tradnl"/>
        </w:rPr>
        <w:t xml:space="preserve"> Sentencia de 28 noviembre de 2012. </w:t>
      </w:r>
      <w:r w:rsidRPr="00143D29">
        <w:rPr>
          <w:rFonts w:cs="Verdana"/>
          <w:bCs/>
          <w:spacing w:val="-2"/>
          <w:sz w:val="16"/>
          <w:szCs w:val="16"/>
          <w:lang w:val="es-ES_tradnl"/>
        </w:rPr>
        <w:t xml:space="preserve">Serie C No. 257, </w:t>
      </w:r>
      <w:proofErr w:type="spellStart"/>
      <w:r w:rsidRPr="00143D29">
        <w:rPr>
          <w:rFonts w:cs="Verdana"/>
          <w:bCs/>
          <w:spacing w:val="-2"/>
          <w:sz w:val="16"/>
          <w:szCs w:val="16"/>
          <w:lang w:val="es-ES_tradnl"/>
        </w:rPr>
        <w:t>párrs</w:t>
      </w:r>
      <w:proofErr w:type="spellEnd"/>
      <w:r w:rsidRPr="00143D29">
        <w:rPr>
          <w:rFonts w:cs="Verdana"/>
          <w:bCs/>
          <w:spacing w:val="-2"/>
          <w:sz w:val="16"/>
          <w:szCs w:val="16"/>
          <w:lang w:val="es-ES_tradnl"/>
        </w:rPr>
        <w:t xml:space="preserve">. 292 y 285; </w:t>
      </w:r>
      <w:r w:rsidRPr="00143D29">
        <w:rPr>
          <w:rFonts w:cs="Verdana"/>
          <w:bCs/>
          <w:i/>
          <w:sz w:val="16"/>
          <w:szCs w:val="16"/>
          <w:lang w:val="es-ES_tradnl"/>
        </w:rPr>
        <w:t xml:space="preserve">Caso </w:t>
      </w:r>
      <w:proofErr w:type="spellStart"/>
      <w:r w:rsidRPr="00143D29">
        <w:rPr>
          <w:rFonts w:cs="Verdana"/>
          <w:bCs/>
          <w:i/>
          <w:sz w:val="16"/>
          <w:szCs w:val="16"/>
          <w:lang w:val="es-ES_tradnl"/>
        </w:rPr>
        <w:t>Furlan</w:t>
      </w:r>
      <w:proofErr w:type="spellEnd"/>
      <w:r w:rsidRPr="00143D29">
        <w:rPr>
          <w:rFonts w:cs="Verdana"/>
          <w:bCs/>
          <w:i/>
          <w:sz w:val="16"/>
          <w:szCs w:val="16"/>
          <w:lang w:val="es-ES_tradnl"/>
        </w:rPr>
        <w:t xml:space="preserve"> y familiares Vs. Argentina. Excepciones Preliminares, Fondo, Reparaciones y Costas</w:t>
      </w:r>
      <w:r w:rsidRPr="00143D29">
        <w:rPr>
          <w:rFonts w:cs="Verdana"/>
          <w:bCs/>
          <w:sz w:val="16"/>
          <w:szCs w:val="16"/>
          <w:lang w:val="es-ES_tradnl"/>
        </w:rPr>
        <w:t xml:space="preserve">. </w:t>
      </w:r>
      <w:r w:rsidRPr="00143D29">
        <w:rPr>
          <w:rFonts w:cs="Verdana"/>
          <w:bCs/>
          <w:spacing w:val="-2"/>
          <w:sz w:val="16"/>
          <w:szCs w:val="16"/>
          <w:lang w:val="es-ES_tradnl"/>
        </w:rPr>
        <w:t xml:space="preserve">Sentencia de 31 de agosto de 2012. Serie C No. 246, párr. 134, y </w:t>
      </w:r>
      <w:r w:rsidRPr="00143D29">
        <w:rPr>
          <w:rFonts w:cs="Verdana"/>
          <w:bCs/>
          <w:i/>
          <w:sz w:val="16"/>
          <w:szCs w:val="16"/>
          <w:lang w:val="es-ES_tradnl"/>
        </w:rPr>
        <w:t xml:space="preserve">Caso </w:t>
      </w:r>
      <w:proofErr w:type="spellStart"/>
      <w:r w:rsidRPr="00143D29">
        <w:rPr>
          <w:rFonts w:cs="Verdana"/>
          <w:bCs/>
          <w:i/>
          <w:sz w:val="16"/>
          <w:szCs w:val="16"/>
          <w:lang w:val="es-ES_tradnl"/>
        </w:rPr>
        <w:t>Ximenes</w:t>
      </w:r>
      <w:proofErr w:type="spellEnd"/>
      <w:r w:rsidRPr="00143D29">
        <w:rPr>
          <w:rFonts w:cs="Verdana"/>
          <w:bCs/>
          <w:i/>
          <w:sz w:val="16"/>
          <w:szCs w:val="16"/>
          <w:lang w:val="es-ES_tradnl"/>
        </w:rPr>
        <w:t xml:space="preserve"> </w:t>
      </w:r>
      <w:proofErr w:type="spellStart"/>
      <w:r w:rsidRPr="00143D29">
        <w:rPr>
          <w:rFonts w:cs="Verdana"/>
          <w:bCs/>
          <w:i/>
          <w:sz w:val="16"/>
          <w:szCs w:val="16"/>
          <w:lang w:val="es-ES_tradnl"/>
        </w:rPr>
        <w:t>Lopes</w:t>
      </w:r>
      <w:proofErr w:type="spellEnd"/>
      <w:r w:rsidRPr="00143D29">
        <w:rPr>
          <w:rFonts w:cs="Verdana"/>
          <w:bCs/>
          <w:i/>
          <w:sz w:val="16"/>
          <w:szCs w:val="16"/>
          <w:lang w:val="es-ES_tradnl"/>
        </w:rPr>
        <w:t xml:space="preserve"> Vs. Brasil</w:t>
      </w:r>
      <w:r w:rsidRPr="00143D29">
        <w:rPr>
          <w:rFonts w:cs="Verdana"/>
          <w:bCs/>
          <w:spacing w:val="-2"/>
          <w:sz w:val="16"/>
          <w:szCs w:val="16"/>
          <w:lang w:val="es-ES_tradnl"/>
        </w:rPr>
        <w:t>. Sentencia de 4 de julio de 2006. Serie C No. 149, párr.</w:t>
      </w:r>
      <w:r w:rsidRPr="00143D29">
        <w:rPr>
          <w:spacing w:val="-2"/>
          <w:sz w:val="16"/>
          <w:szCs w:val="16"/>
          <w:lang w:val="es-ES_tradnl"/>
        </w:rPr>
        <w:t xml:space="preserve"> 103</w:t>
      </w:r>
      <w:r w:rsidRPr="00143D29">
        <w:rPr>
          <w:sz w:val="16"/>
          <w:szCs w:val="16"/>
          <w:lang w:val="es-ES_tradnl"/>
        </w:rPr>
        <w:t>.</w:t>
      </w:r>
    </w:p>
    <w:p w14:paraId="217CD76D" w14:textId="77777777" w:rsidR="00D4299B" w:rsidRPr="00143D29" w:rsidRDefault="00D4299B" w:rsidP="00130785">
      <w:pPr>
        <w:pStyle w:val="Textonotapie"/>
        <w:tabs>
          <w:tab w:val="left" w:pos="709"/>
        </w:tabs>
        <w:spacing w:after="0"/>
        <w:rPr>
          <w:lang w:val="es-ES_tradnl"/>
        </w:rPr>
      </w:pPr>
    </w:p>
  </w:footnote>
  <w:footnote w:id="605">
    <w:p w14:paraId="4D61438B" w14:textId="77777777" w:rsidR="00D4299B" w:rsidRPr="00143D29" w:rsidRDefault="00D4299B" w:rsidP="00130785">
      <w:pPr>
        <w:pStyle w:val="Textonotapie"/>
        <w:tabs>
          <w:tab w:val="left" w:pos="709"/>
        </w:tabs>
        <w:spacing w:after="0"/>
        <w:rPr>
          <w:i/>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w:t>
      </w:r>
      <w:r w:rsidRPr="00143D29">
        <w:rPr>
          <w:i/>
          <w:lang w:val="es-ES_tradnl"/>
        </w:rPr>
        <w:t xml:space="preserve">Informe de la Relatora Especial sobre la Extrema Pobreza y los Derechos Humanos, </w:t>
      </w:r>
      <w:r w:rsidRPr="00143D29">
        <w:rPr>
          <w:lang w:val="es-ES_tradnl"/>
        </w:rPr>
        <w:t xml:space="preserve">Magdalena Sepúlveda Carmona, 4 agosto de 2011, A/66/265, párr. 18. </w:t>
      </w:r>
      <w:r w:rsidRPr="00143D29">
        <w:rPr>
          <w:i/>
          <w:lang w:val="es-ES_tradnl"/>
        </w:rPr>
        <w:t xml:space="preserve"> </w:t>
      </w:r>
    </w:p>
  </w:footnote>
  <w:footnote w:id="606">
    <w:p w14:paraId="27690842" w14:textId="77777777" w:rsidR="00D4299B" w:rsidRPr="00143D29" w:rsidRDefault="00D4299B" w:rsidP="00130785">
      <w:pPr>
        <w:pStyle w:val="Textonotapie"/>
        <w:tabs>
          <w:tab w:val="left" w:pos="709"/>
        </w:tabs>
        <w:spacing w:after="0"/>
        <w:rPr>
          <w:lang w:val="es-ES_tradnl"/>
        </w:rPr>
      </w:pPr>
    </w:p>
    <w:p w14:paraId="036EA0E0" w14:textId="77777777" w:rsidR="00D4299B" w:rsidRPr="00143D29" w:rsidRDefault="00D4299B" w:rsidP="00130785">
      <w:pPr>
        <w:pStyle w:val="Textonotapie"/>
        <w:tabs>
          <w:tab w:val="left" w:pos="709"/>
        </w:tabs>
        <w:spacing w:after="0"/>
        <w:rPr>
          <w:i/>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w:t>
      </w:r>
      <w:r w:rsidRPr="00143D29">
        <w:rPr>
          <w:i/>
          <w:lang w:val="es-ES_tradnl"/>
        </w:rPr>
        <w:t xml:space="preserve">Informe de la Relatora Especial sobre la Extrema Pobreza y los Derechos Humanos, </w:t>
      </w:r>
      <w:r w:rsidRPr="00143D29">
        <w:rPr>
          <w:lang w:val="es-ES_tradnl"/>
        </w:rPr>
        <w:t xml:space="preserve">Magdalena Sepúlveda Carmona, 4 agosto de 2011, A/66/265, nota al pie no. 7.  </w:t>
      </w:r>
      <w:r w:rsidRPr="00143D29">
        <w:rPr>
          <w:i/>
          <w:lang w:val="es-ES_tradnl"/>
        </w:rPr>
        <w:t xml:space="preserve"> </w:t>
      </w:r>
    </w:p>
    <w:p w14:paraId="461E5D22" w14:textId="77777777" w:rsidR="00D4299B" w:rsidRPr="00143D29" w:rsidRDefault="00D4299B" w:rsidP="00130785">
      <w:pPr>
        <w:pStyle w:val="Textonotapie"/>
        <w:tabs>
          <w:tab w:val="left" w:pos="709"/>
        </w:tabs>
        <w:spacing w:after="0"/>
        <w:rPr>
          <w:lang w:val="es-ES_tradnl"/>
        </w:rPr>
      </w:pPr>
    </w:p>
  </w:footnote>
  <w:footnote w:id="607">
    <w:p w14:paraId="15E7BE31" w14:textId="77777777" w:rsidR="00D4299B" w:rsidRPr="00143D29" w:rsidRDefault="00D4299B" w:rsidP="00130785">
      <w:pPr>
        <w:pStyle w:val="Textonotapie"/>
        <w:tabs>
          <w:tab w:val="left" w:pos="709"/>
        </w:tabs>
        <w:spacing w:after="0"/>
        <w:rPr>
          <w:rFonts w:cs="Verdana"/>
          <w:b/>
          <w:bCs/>
          <w:lang w:val="es-ES_tradnl"/>
        </w:rPr>
      </w:pPr>
      <w:r w:rsidRPr="00143D29">
        <w:rPr>
          <w:rStyle w:val="Refdenotaalpie"/>
          <w:lang w:val="es-ES_tradnl"/>
        </w:rPr>
        <w:footnoteRef/>
      </w:r>
      <w:r w:rsidRPr="00143D29">
        <w:rPr>
          <w:lang w:val="es-ES_tradnl"/>
        </w:rPr>
        <w:t xml:space="preserve"> </w:t>
      </w:r>
      <w:r w:rsidRPr="00143D29">
        <w:rPr>
          <w:i/>
          <w:lang w:val="es-ES_tradnl"/>
        </w:rPr>
        <w:tab/>
        <w:t>Cfr.</w:t>
      </w:r>
      <w:r w:rsidRPr="00143D29">
        <w:rPr>
          <w:lang w:val="es-ES_tradnl"/>
        </w:rPr>
        <w:t xml:space="preserve"> Corte IDH. </w:t>
      </w:r>
      <w:r w:rsidRPr="00143D29">
        <w:rPr>
          <w:rFonts w:cs="Verdana"/>
          <w:bCs/>
          <w:i/>
          <w:lang w:val="es-ES_tradnl"/>
        </w:rPr>
        <w:t>Caso Artavia Murillo y otros ("Fecundación in vitro") Vs. Costa Rica. Excepciones Preliminares, Fondo, Reparaciones y Costas</w:t>
      </w:r>
      <w:r w:rsidRPr="00143D29">
        <w:rPr>
          <w:rFonts w:cs="Verdana"/>
          <w:bCs/>
          <w:lang w:val="es-ES_tradnl"/>
        </w:rPr>
        <w:t xml:space="preserve">. Sentencia de 28 noviembre de 2012. Serie C No. 257, </w:t>
      </w:r>
      <w:proofErr w:type="spellStart"/>
      <w:r w:rsidRPr="00143D29">
        <w:rPr>
          <w:rFonts w:cs="Verdana"/>
          <w:bCs/>
          <w:lang w:val="es-ES_tradnl"/>
        </w:rPr>
        <w:t>párrs</w:t>
      </w:r>
      <w:proofErr w:type="spellEnd"/>
      <w:r w:rsidRPr="00143D29">
        <w:rPr>
          <w:rFonts w:cs="Verdana"/>
          <w:bCs/>
          <w:lang w:val="es-ES_tradnl"/>
        </w:rPr>
        <w:t>.</w:t>
      </w:r>
      <w:r w:rsidRPr="00143D29">
        <w:rPr>
          <w:lang w:val="es-ES_tradnl"/>
        </w:rPr>
        <w:t xml:space="preserve"> 292 y 285; </w:t>
      </w:r>
      <w:r w:rsidRPr="00143D29">
        <w:rPr>
          <w:rFonts w:cs="Verdana"/>
          <w:bCs/>
          <w:i/>
          <w:lang w:val="es-ES_tradnl"/>
        </w:rPr>
        <w:t xml:space="preserve">Caso </w:t>
      </w:r>
      <w:proofErr w:type="spellStart"/>
      <w:r w:rsidRPr="00143D29">
        <w:rPr>
          <w:rFonts w:cs="Verdana"/>
          <w:bCs/>
          <w:i/>
          <w:lang w:val="es-ES_tradnl"/>
        </w:rPr>
        <w:t>Furlan</w:t>
      </w:r>
      <w:proofErr w:type="spellEnd"/>
      <w:r w:rsidRPr="00143D29">
        <w:rPr>
          <w:rFonts w:cs="Verdana"/>
          <w:bCs/>
          <w:i/>
          <w:lang w:val="es-ES_tradnl"/>
        </w:rPr>
        <w:t xml:space="preserve"> y familiares Vs. Argentina. Excepciones Preliminares, Fondo, Reparaciones y Costas</w:t>
      </w:r>
      <w:r w:rsidRPr="00143D29">
        <w:rPr>
          <w:rFonts w:cs="Verdana"/>
          <w:bCs/>
          <w:lang w:val="es-ES_tradnl"/>
        </w:rPr>
        <w:t>. Sentencia de 31 de agosto de 2012. Serie C No. 246, párr. 134</w:t>
      </w:r>
      <w:r w:rsidRPr="00143D29">
        <w:rPr>
          <w:lang w:val="es-ES_tradnl"/>
        </w:rPr>
        <w:t xml:space="preserve">; </w:t>
      </w:r>
      <w:r w:rsidRPr="00143D29">
        <w:rPr>
          <w:rFonts w:cs="Verdana"/>
          <w:bCs/>
          <w:i/>
          <w:lang w:val="es-ES_tradnl"/>
        </w:rPr>
        <w:t xml:space="preserve">Caso Pueblo Indígena </w:t>
      </w:r>
      <w:proofErr w:type="spellStart"/>
      <w:r w:rsidRPr="00143D29">
        <w:rPr>
          <w:rFonts w:cs="Verdana"/>
          <w:bCs/>
          <w:i/>
          <w:lang w:val="es-ES_tradnl"/>
        </w:rPr>
        <w:t>Kichwa</w:t>
      </w:r>
      <w:proofErr w:type="spellEnd"/>
      <w:r w:rsidRPr="00143D29">
        <w:rPr>
          <w:rFonts w:cs="Verdana"/>
          <w:bCs/>
          <w:i/>
          <w:lang w:val="es-ES_tradnl"/>
        </w:rPr>
        <w:t xml:space="preserve"> de </w:t>
      </w:r>
      <w:proofErr w:type="spellStart"/>
      <w:r w:rsidRPr="00143D29">
        <w:rPr>
          <w:rFonts w:cs="Verdana"/>
          <w:bCs/>
          <w:i/>
          <w:lang w:val="es-ES_tradnl"/>
        </w:rPr>
        <w:t>Sarayaku</w:t>
      </w:r>
      <w:proofErr w:type="spellEnd"/>
      <w:r w:rsidRPr="00143D29">
        <w:rPr>
          <w:rFonts w:cs="Verdana"/>
          <w:bCs/>
          <w:i/>
          <w:lang w:val="es-ES_tradnl"/>
        </w:rPr>
        <w:t xml:space="preserve"> Vs. Ecuador. Fondo y reparaciones.</w:t>
      </w:r>
      <w:r w:rsidRPr="00143D29">
        <w:rPr>
          <w:rFonts w:cs="Verdana"/>
          <w:bCs/>
          <w:lang w:val="es-ES_tradnl"/>
        </w:rPr>
        <w:t xml:space="preserve"> Sentencia de 27 de junio de 2012. Serie C No. 245, párr. 244</w:t>
      </w:r>
      <w:r w:rsidRPr="00143D29">
        <w:rPr>
          <w:lang w:val="es-ES_tradnl"/>
        </w:rPr>
        <w:t>;</w:t>
      </w:r>
      <w:r w:rsidRPr="00143D29">
        <w:rPr>
          <w:rFonts w:cs="Verdana"/>
          <w:bCs/>
          <w:lang w:val="es-ES_tradnl"/>
        </w:rPr>
        <w:t xml:space="preserve"> </w:t>
      </w:r>
      <w:r w:rsidRPr="00143D29">
        <w:rPr>
          <w:rFonts w:cs="Verdana"/>
          <w:bCs/>
          <w:i/>
          <w:lang w:val="es-ES_tradnl"/>
        </w:rPr>
        <w:t xml:space="preserve">Caso </w:t>
      </w:r>
      <w:proofErr w:type="spellStart"/>
      <w:r w:rsidRPr="00143D29">
        <w:rPr>
          <w:rFonts w:cs="Verdana"/>
          <w:bCs/>
          <w:i/>
          <w:lang w:val="es-ES_tradnl"/>
        </w:rPr>
        <w:t>Ximenes</w:t>
      </w:r>
      <w:proofErr w:type="spellEnd"/>
      <w:r w:rsidRPr="00143D29">
        <w:rPr>
          <w:rFonts w:cs="Verdana"/>
          <w:bCs/>
          <w:i/>
          <w:lang w:val="es-ES_tradnl"/>
        </w:rPr>
        <w:t xml:space="preserve"> </w:t>
      </w:r>
      <w:proofErr w:type="spellStart"/>
      <w:r w:rsidRPr="00143D29">
        <w:rPr>
          <w:rFonts w:cs="Verdana"/>
          <w:bCs/>
          <w:i/>
          <w:lang w:val="es-ES_tradnl"/>
        </w:rPr>
        <w:t>Lopes</w:t>
      </w:r>
      <w:proofErr w:type="spellEnd"/>
      <w:r w:rsidRPr="00143D29">
        <w:rPr>
          <w:rFonts w:cs="Verdana"/>
          <w:bCs/>
          <w:i/>
          <w:lang w:val="es-ES_tradnl"/>
        </w:rPr>
        <w:t xml:space="preserve"> Vs. Brasil.</w:t>
      </w:r>
      <w:r w:rsidRPr="00143D29">
        <w:rPr>
          <w:rFonts w:cs="Verdana"/>
          <w:bCs/>
          <w:lang w:val="es-ES_tradnl"/>
        </w:rPr>
        <w:t xml:space="preserve"> Sentencia de 4 de julio de 2006. Serie C No. 149, párr. 103, y</w:t>
      </w:r>
      <w:r w:rsidRPr="00143D29">
        <w:rPr>
          <w:lang w:val="es-ES_tradnl"/>
        </w:rPr>
        <w:t xml:space="preserve"> </w:t>
      </w:r>
      <w:r w:rsidRPr="00143D29">
        <w:rPr>
          <w:rFonts w:cs="Verdana"/>
          <w:bCs/>
          <w:i/>
          <w:lang w:val="es-ES_tradnl"/>
        </w:rPr>
        <w:t>Caso de la "Masacre de Mapiripán" Vs. Colombia</w:t>
      </w:r>
      <w:r w:rsidRPr="00143D29">
        <w:rPr>
          <w:rFonts w:cs="Verdana"/>
          <w:bCs/>
          <w:lang w:val="es-ES_tradnl"/>
        </w:rPr>
        <w:t xml:space="preserve">. Sentencia de 15 de septiembre de 2005. Serie C No. 134, </w:t>
      </w:r>
      <w:proofErr w:type="spellStart"/>
      <w:r w:rsidRPr="00143D29">
        <w:rPr>
          <w:rFonts w:cs="Verdana"/>
          <w:bCs/>
          <w:lang w:val="es-ES_tradnl"/>
        </w:rPr>
        <w:t>párrs</w:t>
      </w:r>
      <w:proofErr w:type="spellEnd"/>
      <w:r w:rsidRPr="00143D29">
        <w:rPr>
          <w:rFonts w:cs="Verdana"/>
          <w:bCs/>
          <w:lang w:val="es-ES_tradnl"/>
        </w:rPr>
        <w:t>. 111 y 113.</w:t>
      </w:r>
      <w:r w:rsidRPr="00143D29">
        <w:rPr>
          <w:rFonts w:cs="Verdana"/>
          <w:b/>
          <w:bCs/>
          <w:lang w:val="es-ES_tradnl"/>
        </w:rPr>
        <w:t xml:space="preserve"> </w:t>
      </w:r>
    </w:p>
    <w:p w14:paraId="7678134C" w14:textId="77777777" w:rsidR="00D4299B" w:rsidRPr="00143D29" w:rsidRDefault="00D4299B" w:rsidP="00130785">
      <w:pPr>
        <w:pStyle w:val="Textonotapie"/>
        <w:tabs>
          <w:tab w:val="left" w:pos="709"/>
        </w:tabs>
        <w:spacing w:after="0"/>
        <w:rPr>
          <w:b/>
          <w:lang w:val="es-ES_tradnl"/>
        </w:rPr>
      </w:pPr>
      <w:r w:rsidRPr="00143D29">
        <w:rPr>
          <w:lang w:val="es-ES_tradnl"/>
        </w:rPr>
        <w:tab/>
      </w:r>
    </w:p>
  </w:footnote>
  <w:footnote w:id="608">
    <w:p w14:paraId="77893EF8" w14:textId="77777777" w:rsidR="00D4299B" w:rsidRPr="00143D29" w:rsidRDefault="00D4299B" w:rsidP="00130785">
      <w:pPr>
        <w:widowControl w:val="0"/>
        <w:tabs>
          <w:tab w:val="left" w:pos="709"/>
        </w:tabs>
        <w:autoSpaceDE w:val="0"/>
        <w:autoSpaceDN w:val="0"/>
        <w:adjustRightInd w:val="0"/>
        <w:jc w:val="both"/>
        <w:rPr>
          <w:rFonts w:cs="Times New Roman"/>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i/>
          <w:sz w:val="16"/>
          <w:szCs w:val="16"/>
        </w:rPr>
        <w:t xml:space="preserve"> Cfr.</w:t>
      </w:r>
      <w:r w:rsidRPr="00143D29">
        <w:rPr>
          <w:sz w:val="16"/>
          <w:szCs w:val="16"/>
        </w:rPr>
        <w:t xml:space="preserve"> Corte IDH. </w:t>
      </w:r>
      <w:r w:rsidRPr="00143D29">
        <w:rPr>
          <w:rFonts w:cs="Verdana"/>
          <w:bCs/>
          <w:i/>
          <w:sz w:val="16"/>
          <w:szCs w:val="16"/>
        </w:rPr>
        <w:t xml:space="preserve">Caso Comunidad Indígena </w:t>
      </w:r>
      <w:proofErr w:type="spellStart"/>
      <w:r w:rsidRPr="00143D29">
        <w:rPr>
          <w:rFonts w:cs="Verdana"/>
          <w:bCs/>
          <w:i/>
          <w:sz w:val="16"/>
          <w:szCs w:val="16"/>
        </w:rPr>
        <w:t>Sawhoyamaxa</w:t>
      </w:r>
      <w:proofErr w:type="spellEnd"/>
      <w:r w:rsidRPr="00143D29">
        <w:rPr>
          <w:rFonts w:cs="Verdana"/>
          <w:bCs/>
          <w:i/>
          <w:sz w:val="16"/>
          <w:szCs w:val="16"/>
        </w:rPr>
        <w:t xml:space="preserve"> Vs. Paraguay. Fondo, Reparaciones y Costas</w:t>
      </w:r>
      <w:r w:rsidRPr="00143D29">
        <w:rPr>
          <w:rFonts w:cs="Verdana"/>
          <w:bCs/>
          <w:sz w:val="16"/>
          <w:szCs w:val="16"/>
        </w:rPr>
        <w:t>. Sentencia de 29 de marzo de 2006. Serie C No. 146, párr. 154.  En similar sentido la Corte también ha expresado que</w:t>
      </w:r>
      <w:r w:rsidRPr="00143D29">
        <w:rPr>
          <w:rFonts w:cs="Times New Roman"/>
          <w:sz w:val="16"/>
          <w:szCs w:val="16"/>
        </w:rPr>
        <w:t xml:space="preserve"> “los Estados deben tomar en cuenta que los grupos de personas que</w:t>
      </w:r>
      <w:r w:rsidRPr="00143D29">
        <w:rPr>
          <w:sz w:val="16"/>
          <w:szCs w:val="16"/>
        </w:rPr>
        <w:t xml:space="preserve"> </w:t>
      </w:r>
      <w:r w:rsidRPr="00143D29">
        <w:rPr>
          <w:rFonts w:cs="Times New Roman"/>
          <w:sz w:val="16"/>
          <w:szCs w:val="16"/>
        </w:rPr>
        <w:t>viven en circunstancias adversas y con menos recursos, tales como las personas que viven</w:t>
      </w:r>
      <w:r w:rsidRPr="00143D29">
        <w:rPr>
          <w:rFonts w:cs="Verdana"/>
          <w:bCs/>
          <w:sz w:val="16"/>
          <w:szCs w:val="16"/>
        </w:rPr>
        <w:t xml:space="preserve"> </w:t>
      </w:r>
      <w:r w:rsidRPr="00143D29">
        <w:rPr>
          <w:rFonts w:cs="Times New Roman"/>
          <w:sz w:val="16"/>
          <w:szCs w:val="16"/>
        </w:rPr>
        <w:t xml:space="preserve">en condiciones de extrema pobreza; niños y adolescentes en situación de riesgo, y poblaciones indígenas, enfrentan un incremento del riesgo para padecer discapacidades mentales […]. Es directo y significativo el vínculo existente entre la discapacidad, por un lado, y la pobreza y la exclusión social, por otro. En razón de lo anterior, entre las medidas positivas a cargo de los Estados se encuentran aquellas necesarias para prevenir todas las formas de discapacidad prevenibles, y dar a las personas que padecen de discapacidades mentales el tratamiento preferencial apropiado a su condición”. </w:t>
      </w:r>
      <w:r w:rsidRPr="00143D29">
        <w:rPr>
          <w:rFonts w:cs="Verdana"/>
          <w:bCs/>
          <w:i/>
          <w:sz w:val="16"/>
          <w:szCs w:val="16"/>
        </w:rPr>
        <w:t xml:space="preserve">Caso </w:t>
      </w:r>
      <w:proofErr w:type="spellStart"/>
      <w:r w:rsidRPr="00143D29">
        <w:rPr>
          <w:rFonts w:cs="Verdana"/>
          <w:bCs/>
          <w:i/>
          <w:sz w:val="16"/>
          <w:szCs w:val="16"/>
        </w:rPr>
        <w:t>Ximenes</w:t>
      </w:r>
      <w:proofErr w:type="spellEnd"/>
      <w:r w:rsidRPr="00143D29">
        <w:rPr>
          <w:rFonts w:cs="Verdana"/>
          <w:bCs/>
          <w:i/>
          <w:sz w:val="16"/>
          <w:szCs w:val="16"/>
        </w:rPr>
        <w:t xml:space="preserve"> </w:t>
      </w:r>
      <w:proofErr w:type="spellStart"/>
      <w:r w:rsidRPr="00143D29">
        <w:rPr>
          <w:rFonts w:cs="Verdana"/>
          <w:bCs/>
          <w:i/>
          <w:sz w:val="16"/>
          <w:szCs w:val="16"/>
        </w:rPr>
        <w:t>Lopes</w:t>
      </w:r>
      <w:proofErr w:type="spellEnd"/>
      <w:r w:rsidRPr="00143D29">
        <w:rPr>
          <w:rFonts w:cs="Verdana"/>
          <w:bCs/>
          <w:i/>
          <w:sz w:val="16"/>
          <w:szCs w:val="16"/>
        </w:rPr>
        <w:t xml:space="preserve"> Vs. Brasil</w:t>
      </w:r>
      <w:r w:rsidRPr="00143D29">
        <w:rPr>
          <w:rFonts w:cs="Verdana"/>
          <w:bCs/>
          <w:sz w:val="16"/>
          <w:szCs w:val="16"/>
        </w:rPr>
        <w:t>. Sentencia de 4 de julio de 2006. Serie C No. 149, párr. 104</w:t>
      </w:r>
      <w:r w:rsidRPr="00143D29">
        <w:rPr>
          <w:rFonts w:cs="Times New Roman"/>
          <w:sz w:val="16"/>
          <w:szCs w:val="16"/>
        </w:rPr>
        <w:t xml:space="preserve">. En el </w:t>
      </w:r>
      <w:r w:rsidRPr="00143D29">
        <w:rPr>
          <w:rFonts w:cs="Times New Roman"/>
          <w:i/>
          <w:sz w:val="16"/>
          <w:szCs w:val="16"/>
        </w:rPr>
        <w:t xml:space="preserve">Caso </w:t>
      </w:r>
      <w:proofErr w:type="spellStart"/>
      <w:r w:rsidRPr="00143D29">
        <w:rPr>
          <w:rFonts w:cs="Times New Roman"/>
          <w:i/>
          <w:sz w:val="16"/>
          <w:szCs w:val="16"/>
        </w:rPr>
        <w:t>Xákmok</w:t>
      </w:r>
      <w:proofErr w:type="spellEnd"/>
      <w:r w:rsidRPr="00143D29">
        <w:rPr>
          <w:rFonts w:cs="Times New Roman"/>
          <w:i/>
          <w:sz w:val="16"/>
          <w:szCs w:val="16"/>
        </w:rPr>
        <w:t xml:space="preserve"> </w:t>
      </w:r>
      <w:proofErr w:type="spellStart"/>
      <w:r w:rsidRPr="00143D29">
        <w:rPr>
          <w:rFonts w:cs="Times New Roman"/>
          <w:i/>
          <w:sz w:val="16"/>
          <w:szCs w:val="16"/>
        </w:rPr>
        <w:t>Kásek</w:t>
      </w:r>
      <w:proofErr w:type="spellEnd"/>
      <w:r w:rsidRPr="00143D29">
        <w:rPr>
          <w:rFonts w:cs="Times New Roman"/>
          <w:sz w:val="16"/>
          <w:szCs w:val="16"/>
        </w:rPr>
        <w:t xml:space="preserve"> la Corte consideró que “</w:t>
      </w:r>
      <w:r w:rsidRPr="00143D29">
        <w:rPr>
          <w:rFonts w:cs="Times New Roman"/>
          <w:sz w:val="16"/>
          <w:szCs w:val="16"/>
          <w:u w:val="single"/>
        </w:rPr>
        <w:t>la extrema pobreza</w:t>
      </w:r>
      <w:r w:rsidRPr="00143D29">
        <w:rPr>
          <w:rFonts w:cs="Times New Roman"/>
          <w:sz w:val="16"/>
          <w:szCs w:val="16"/>
        </w:rPr>
        <w:t xml:space="preserve"> y la falta de adecuada atención médica a mujeres en estado de embarazo o </w:t>
      </w:r>
      <w:proofErr w:type="spellStart"/>
      <w:r w:rsidRPr="00143D29">
        <w:rPr>
          <w:rFonts w:cs="Times New Roman"/>
          <w:sz w:val="16"/>
          <w:szCs w:val="16"/>
        </w:rPr>
        <w:t>post-embarazo</w:t>
      </w:r>
      <w:proofErr w:type="spellEnd"/>
      <w:r w:rsidRPr="00143D29">
        <w:rPr>
          <w:rFonts w:cs="Times New Roman"/>
          <w:sz w:val="16"/>
          <w:szCs w:val="16"/>
        </w:rPr>
        <w:t xml:space="preserve"> son causas de alta mortalidad y morbilidad materna”. </w:t>
      </w:r>
      <w:r w:rsidRPr="00143D29">
        <w:rPr>
          <w:rFonts w:cs="Verdana"/>
          <w:bCs/>
          <w:i/>
          <w:sz w:val="16"/>
          <w:szCs w:val="16"/>
        </w:rPr>
        <w:t xml:space="preserve">Caso Comunidad Indígena </w:t>
      </w:r>
      <w:proofErr w:type="spellStart"/>
      <w:r w:rsidRPr="00143D29">
        <w:rPr>
          <w:rFonts w:cs="Verdana"/>
          <w:bCs/>
          <w:i/>
          <w:sz w:val="16"/>
          <w:szCs w:val="16"/>
        </w:rPr>
        <w:t>Xákmok</w:t>
      </w:r>
      <w:proofErr w:type="spellEnd"/>
      <w:r w:rsidRPr="00143D29">
        <w:rPr>
          <w:rFonts w:cs="Verdana"/>
          <w:bCs/>
          <w:i/>
          <w:sz w:val="16"/>
          <w:szCs w:val="16"/>
        </w:rPr>
        <w:t xml:space="preserve"> </w:t>
      </w:r>
      <w:proofErr w:type="spellStart"/>
      <w:r w:rsidRPr="00143D29">
        <w:rPr>
          <w:rFonts w:cs="Verdana"/>
          <w:bCs/>
          <w:i/>
          <w:sz w:val="16"/>
          <w:szCs w:val="16"/>
        </w:rPr>
        <w:t>Kásek</w:t>
      </w:r>
      <w:proofErr w:type="spellEnd"/>
      <w:r w:rsidRPr="00143D29">
        <w:rPr>
          <w:rFonts w:cs="Verdana"/>
          <w:bCs/>
          <w:i/>
          <w:sz w:val="16"/>
          <w:szCs w:val="16"/>
        </w:rPr>
        <w:t xml:space="preserve"> Vs. Paraguay. Fondo, Reparaciones y Costas</w:t>
      </w:r>
      <w:r w:rsidRPr="00143D29">
        <w:rPr>
          <w:rFonts w:cs="Verdana"/>
          <w:bCs/>
          <w:sz w:val="16"/>
          <w:szCs w:val="16"/>
        </w:rPr>
        <w:t>. Sentencia de 24 de agosto de 2010. Serie C No. 214, párr.</w:t>
      </w:r>
      <w:r w:rsidRPr="00143D29">
        <w:rPr>
          <w:rFonts w:cs="Times New Roman"/>
          <w:sz w:val="16"/>
          <w:szCs w:val="16"/>
        </w:rPr>
        <w:t xml:space="preserve"> 233.</w:t>
      </w:r>
    </w:p>
    <w:p w14:paraId="6741B3BE" w14:textId="77777777" w:rsidR="00D4299B" w:rsidRPr="00143D29" w:rsidRDefault="00D4299B" w:rsidP="00130785">
      <w:pPr>
        <w:widowControl w:val="0"/>
        <w:tabs>
          <w:tab w:val="left" w:pos="709"/>
        </w:tabs>
        <w:autoSpaceDE w:val="0"/>
        <w:autoSpaceDN w:val="0"/>
        <w:adjustRightInd w:val="0"/>
        <w:jc w:val="both"/>
        <w:rPr>
          <w:rFonts w:cs="Times New Roman"/>
          <w:b/>
          <w:sz w:val="16"/>
          <w:szCs w:val="16"/>
        </w:rPr>
      </w:pPr>
    </w:p>
  </w:footnote>
  <w:footnote w:id="609">
    <w:p w14:paraId="5E995F68" w14:textId="77777777" w:rsidR="00D4299B" w:rsidRPr="00143D29" w:rsidRDefault="00D4299B" w:rsidP="00130785">
      <w:pPr>
        <w:pStyle w:val="Textonotapie"/>
        <w:tabs>
          <w:tab w:val="left" w:pos="709"/>
        </w:tabs>
        <w:spacing w:after="0"/>
        <w:rPr>
          <w:rFonts w:cs="Times"/>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Sobre la multidimensionalidad de la pobreza puede verse: ONU, </w:t>
      </w:r>
      <w:r w:rsidRPr="00143D29">
        <w:rPr>
          <w:i/>
          <w:lang w:val="es-ES_tradnl"/>
        </w:rPr>
        <w:t xml:space="preserve">Informe presentado por el experto independiente encargado de la cuestión de los derechos humanos y la extrema pobreza, Sr. </w:t>
      </w:r>
      <w:proofErr w:type="spellStart"/>
      <w:r w:rsidRPr="00143D29">
        <w:rPr>
          <w:i/>
          <w:lang w:val="es-ES_tradnl"/>
        </w:rPr>
        <w:t>Arjun</w:t>
      </w:r>
      <w:proofErr w:type="spellEnd"/>
      <w:r w:rsidRPr="00143D29">
        <w:rPr>
          <w:i/>
          <w:lang w:val="es-ES_tradnl"/>
        </w:rPr>
        <w:t xml:space="preserve"> Sengupta, </w:t>
      </w:r>
      <w:r w:rsidRPr="00143D29">
        <w:rPr>
          <w:rFonts w:cs="Times"/>
          <w:lang w:val="es-ES_tradnl"/>
        </w:rPr>
        <w:t xml:space="preserve">A/HRC/5/3, 31 de mayo de 2007, </w:t>
      </w:r>
      <w:proofErr w:type="spellStart"/>
      <w:r w:rsidRPr="00143D29">
        <w:rPr>
          <w:lang w:val="es-ES_tradnl"/>
        </w:rPr>
        <w:t>párrs</w:t>
      </w:r>
      <w:proofErr w:type="spellEnd"/>
      <w:r w:rsidRPr="00143D29">
        <w:rPr>
          <w:lang w:val="es-ES_tradnl"/>
        </w:rPr>
        <w:t xml:space="preserve">. 6 al 11. </w:t>
      </w:r>
    </w:p>
  </w:footnote>
  <w:footnote w:id="610">
    <w:p w14:paraId="3CEDFB63" w14:textId="77777777" w:rsidR="00D4299B" w:rsidRPr="00143D29" w:rsidRDefault="00D4299B" w:rsidP="00130785">
      <w:pPr>
        <w:pStyle w:val="Prrafodelista"/>
        <w:tabs>
          <w:tab w:val="left" w:pos="709"/>
        </w:tabs>
        <w:ind w:left="0"/>
        <w:rPr>
          <w:rFonts w:cs="System Font Regular"/>
          <w:i/>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rFonts w:cs="System Font Regular"/>
          <w:color w:val="16191F"/>
          <w:sz w:val="16"/>
          <w:szCs w:val="16"/>
          <w:lang w:val="es-ES_tradnl"/>
        </w:rPr>
        <w:t>En similar sentido, el Comité de Derechos Económicos, Sociales y Culturales, en su Observación General No. 20, ha indicado que la inclusión de “</w:t>
      </w:r>
      <w:r w:rsidRPr="00143D29">
        <w:rPr>
          <w:rFonts w:cs="System Font Regular"/>
          <w:i/>
          <w:color w:val="16191F"/>
          <w:sz w:val="16"/>
          <w:szCs w:val="16"/>
          <w:lang w:val="es-ES_tradnl"/>
        </w:rPr>
        <w:t xml:space="preserve">cualquier otra condición social” </w:t>
      </w:r>
      <w:r w:rsidRPr="00143D29">
        <w:rPr>
          <w:rFonts w:cs="System Font Regular"/>
          <w:color w:val="16191F"/>
          <w:sz w:val="16"/>
          <w:szCs w:val="16"/>
          <w:lang w:val="es-ES_tradnl"/>
        </w:rPr>
        <w:t xml:space="preserve">indica que esta lista no es exhaustiva y que pueden incluirse otros motivos [no expresos] en esta categoría. Así ha expresado que el carácter de la discriminación varía según el contexto y evoluciona con el tiempo. Por lo tanto, la discriminación basada en “otra condición social” exige un planteamiento flexible que incluya otras formas de trato diferencial que: i) no puede justificarse de forma razonable y objetiva, y </w:t>
      </w:r>
      <w:proofErr w:type="spellStart"/>
      <w:r w:rsidRPr="00143D29">
        <w:rPr>
          <w:rFonts w:cs="System Font Regular"/>
          <w:color w:val="16191F"/>
          <w:sz w:val="16"/>
          <w:szCs w:val="16"/>
          <w:lang w:val="es-ES_tradnl"/>
        </w:rPr>
        <w:t>ii</w:t>
      </w:r>
      <w:proofErr w:type="spellEnd"/>
      <w:r w:rsidRPr="00143D29">
        <w:rPr>
          <w:rFonts w:cs="System Font Regular"/>
          <w:color w:val="16191F"/>
          <w:sz w:val="16"/>
          <w:szCs w:val="16"/>
          <w:lang w:val="es-ES_tradnl"/>
        </w:rPr>
        <w:t xml:space="preserve">) </w:t>
      </w:r>
      <w:r w:rsidRPr="00143D29">
        <w:rPr>
          <w:rFonts w:cs="System Font Regular"/>
          <w:i/>
          <w:color w:val="16191F"/>
          <w:sz w:val="16"/>
          <w:szCs w:val="16"/>
          <w:lang w:val="es-ES_tradnl"/>
        </w:rPr>
        <w:t>que tenga un carácter comparable</w:t>
      </w:r>
      <w:r w:rsidRPr="00143D29">
        <w:rPr>
          <w:rFonts w:cs="System Font Regular"/>
          <w:color w:val="16191F"/>
          <w:sz w:val="16"/>
          <w:szCs w:val="16"/>
          <w:lang w:val="es-ES_tradnl"/>
        </w:rPr>
        <w:t xml:space="preserve"> con los motivos expresos reconocidos</w:t>
      </w:r>
      <w:r w:rsidRPr="00143D29">
        <w:rPr>
          <w:rFonts w:cs="System Font Regular"/>
          <w:i/>
          <w:color w:val="16191F"/>
          <w:sz w:val="16"/>
          <w:szCs w:val="16"/>
          <w:lang w:val="es-ES_tradnl"/>
        </w:rPr>
        <w:t xml:space="preserve">. </w:t>
      </w:r>
      <w:r w:rsidRPr="00143D29">
        <w:rPr>
          <w:rFonts w:cs="System Font Regular"/>
          <w:color w:val="16191F"/>
          <w:sz w:val="16"/>
          <w:szCs w:val="16"/>
          <w:lang w:val="es-ES_tradnl"/>
        </w:rPr>
        <w:t xml:space="preserve">Estos motivos adicionales se reconocen generalmente cuando reflejan la experiencia de grupos sociales vulnerables que han sido marginados en el pasado [y/o] que lo siguen siendo en la actualidad. </w:t>
      </w:r>
      <w:r w:rsidRPr="00143D29">
        <w:rPr>
          <w:rFonts w:cs="System Font Regular"/>
          <w:sz w:val="16"/>
          <w:szCs w:val="16"/>
          <w:lang w:val="es-ES_tradnl"/>
        </w:rPr>
        <w:t xml:space="preserve">En ese sentido, el Comité DESC ha expresado que otros posibles motivos prohibidos de discriminación podrían ser producto o una intersección de dos o más causas prohibidas de discriminación, expresas o no expresas.  </w:t>
      </w:r>
      <w:r w:rsidRPr="00143D29">
        <w:rPr>
          <w:i/>
          <w:sz w:val="16"/>
          <w:szCs w:val="16"/>
          <w:lang w:val="es-ES_tradnl"/>
        </w:rPr>
        <w:t xml:space="preserve">Cfr. </w:t>
      </w:r>
      <w:r w:rsidRPr="00143D29">
        <w:rPr>
          <w:sz w:val="16"/>
          <w:szCs w:val="16"/>
          <w:lang w:val="es-ES_tradnl"/>
        </w:rPr>
        <w:t xml:space="preserve">Comité de Derechos Económicos, Sociales y Culturales, Observación General No. 20, </w:t>
      </w:r>
      <w:r w:rsidRPr="00143D29">
        <w:rPr>
          <w:i/>
          <w:sz w:val="16"/>
          <w:szCs w:val="16"/>
          <w:lang w:val="es-ES_tradnl"/>
        </w:rPr>
        <w:t>La no discriminación y los derechos económicos, sociales y culturales (artículo 2, párrafo 2 del Pacto Internacional de los Derechos Económicos, Sociales y Culturales)</w:t>
      </w:r>
      <w:r w:rsidRPr="00143D29">
        <w:rPr>
          <w:sz w:val="16"/>
          <w:szCs w:val="16"/>
          <w:lang w:val="es-ES_tradnl"/>
        </w:rPr>
        <w:t xml:space="preserve">, 2 de julio de 2009, E/C.12/GC/20, </w:t>
      </w:r>
      <w:proofErr w:type="spellStart"/>
      <w:r w:rsidRPr="00143D29">
        <w:rPr>
          <w:rFonts w:cs="System Font Regular"/>
          <w:color w:val="16191F"/>
          <w:sz w:val="16"/>
          <w:szCs w:val="16"/>
          <w:lang w:val="es-ES_tradnl"/>
        </w:rPr>
        <w:t>párrs</w:t>
      </w:r>
      <w:proofErr w:type="spellEnd"/>
      <w:r w:rsidRPr="00143D29">
        <w:rPr>
          <w:rFonts w:cs="System Font Regular"/>
          <w:color w:val="16191F"/>
          <w:sz w:val="16"/>
          <w:szCs w:val="16"/>
          <w:lang w:val="es-ES_tradnl"/>
        </w:rPr>
        <w:t>. 15 y 27.</w:t>
      </w:r>
    </w:p>
    <w:p w14:paraId="10D1E04E" w14:textId="77777777" w:rsidR="00D4299B" w:rsidRPr="00143D29" w:rsidRDefault="00D4299B" w:rsidP="00130785">
      <w:pPr>
        <w:pStyle w:val="Textonotapie"/>
        <w:tabs>
          <w:tab w:val="left" w:pos="709"/>
        </w:tabs>
        <w:spacing w:after="0"/>
        <w:rPr>
          <w:lang w:val="es-ES_tradnl"/>
        </w:rPr>
      </w:pPr>
    </w:p>
  </w:footnote>
  <w:footnote w:id="611">
    <w:p w14:paraId="5E96D3EB"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Cfr.</w:t>
      </w:r>
      <w:r w:rsidRPr="00143D29">
        <w:rPr>
          <w:lang w:val="es-ES_tradnl"/>
        </w:rPr>
        <w:t xml:space="preserve"> ONU, </w:t>
      </w:r>
      <w:r w:rsidRPr="00143D29">
        <w:rPr>
          <w:i/>
          <w:lang w:val="es-ES_tradnl"/>
        </w:rPr>
        <w:t xml:space="preserve">Informe presentado por el experto independiente encargado de la cuestión de los derechos humanos y la extrema pobreza, Sr. </w:t>
      </w:r>
      <w:proofErr w:type="spellStart"/>
      <w:r w:rsidRPr="00143D29">
        <w:rPr>
          <w:i/>
          <w:lang w:val="es-ES_tradnl"/>
        </w:rPr>
        <w:t>Arjun</w:t>
      </w:r>
      <w:proofErr w:type="spellEnd"/>
      <w:r w:rsidRPr="00143D29">
        <w:rPr>
          <w:i/>
          <w:lang w:val="es-ES_tradnl"/>
        </w:rPr>
        <w:t xml:space="preserve"> Sengupta, </w:t>
      </w:r>
      <w:r w:rsidRPr="00143D29">
        <w:rPr>
          <w:rFonts w:cs="Times"/>
          <w:lang w:val="es-ES_tradnl"/>
        </w:rPr>
        <w:t>A/HRC/5/3, 31 de mayo de 2007</w:t>
      </w:r>
      <w:r w:rsidRPr="00143D29">
        <w:rPr>
          <w:lang w:val="es-ES_tradnl"/>
        </w:rPr>
        <w:t>, párr. 9.</w:t>
      </w:r>
    </w:p>
    <w:p w14:paraId="5B4CD86E" w14:textId="77777777" w:rsidR="00D4299B" w:rsidRPr="00143D29" w:rsidRDefault="00D4299B" w:rsidP="00130785">
      <w:pPr>
        <w:pStyle w:val="Textonotapie"/>
        <w:tabs>
          <w:tab w:val="left" w:pos="709"/>
        </w:tabs>
        <w:spacing w:after="0"/>
        <w:rPr>
          <w:lang w:val="es-ES_tradnl"/>
        </w:rPr>
      </w:pPr>
    </w:p>
  </w:footnote>
  <w:footnote w:id="612">
    <w:p w14:paraId="2E17C9AE" w14:textId="77777777" w:rsidR="00D4299B" w:rsidRPr="00143D29" w:rsidRDefault="00D4299B" w:rsidP="00130785">
      <w:pPr>
        <w:widowControl w:val="0"/>
        <w:tabs>
          <w:tab w:val="left" w:pos="709"/>
        </w:tabs>
        <w:autoSpaceDE w:val="0"/>
        <w:autoSpaceDN w:val="0"/>
        <w:adjustRightInd w:val="0"/>
        <w:jc w:val="both"/>
        <w:rPr>
          <w:rFonts w:cs="Times"/>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i/>
          <w:sz w:val="16"/>
          <w:szCs w:val="16"/>
        </w:rPr>
        <w:t>Cfr.</w:t>
      </w:r>
      <w:r w:rsidRPr="00143D29">
        <w:rPr>
          <w:sz w:val="16"/>
          <w:szCs w:val="16"/>
        </w:rPr>
        <w:t xml:space="preserve"> ONU, </w:t>
      </w:r>
      <w:r w:rsidRPr="00143D29">
        <w:rPr>
          <w:rFonts w:cs="Times New Roman"/>
          <w:i/>
          <w:sz w:val="16"/>
          <w:szCs w:val="16"/>
        </w:rPr>
        <w:t xml:space="preserve">Informe de la Sra. </w:t>
      </w:r>
      <w:proofErr w:type="spellStart"/>
      <w:r w:rsidRPr="00143D29">
        <w:rPr>
          <w:rFonts w:cs="Times New Roman"/>
          <w:i/>
          <w:sz w:val="16"/>
          <w:szCs w:val="16"/>
        </w:rPr>
        <w:t>Joy</w:t>
      </w:r>
      <w:proofErr w:type="spellEnd"/>
      <w:r w:rsidRPr="00143D29">
        <w:rPr>
          <w:rFonts w:cs="Times New Roman"/>
          <w:i/>
          <w:sz w:val="16"/>
          <w:szCs w:val="16"/>
        </w:rPr>
        <w:t xml:space="preserve"> </w:t>
      </w:r>
      <w:proofErr w:type="spellStart"/>
      <w:r w:rsidRPr="00143D29">
        <w:rPr>
          <w:rFonts w:cs="Times New Roman"/>
          <w:i/>
          <w:sz w:val="16"/>
          <w:szCs w:val="16"/>
        </w:rPr>
        <w:t>Ngozi</w:t>
      </w:r>
      <w:proofErr w:type="spellEnd"/>
      <w:r w:rsidRPr="00143D29">
        <w:rPr>
          <w:rFonts w:cs="Times New Roman"/>
          <w:i/>
          <w:sz w:val="16"/>
          <w:szCs w:val="16"/>
        </w:rPr>
        <w:t xml:space="preserve"> </w:t>
      </w:r>
      <w:proofErr w:type="spellStart"/>
      <w:r w:rsidRPr="00143D29">
        <w:rPr>
          <w:rFonts w:cs="Times New Roman"/>
          <w:i/>
          <w:sz w:val="16"/>
          <w:szCs w:val="16"/>
        </w:rPr>
        <w:t>Ezeilo</w:t>
      </w:r>
      <w:proofErr w:type="spellEnd"/>
      <w:r w:rsidRPr="00143D29">
        <w:rPr>
          <w:rFonts w:cs="Times New Roman"/>
          <w:i/>
          <w:sz w:val="16"/>
          <w:szCs w:val="16"/>
        </w:rPr>
        <w:t>, Relatora Especial sobre la trata de personas, especialmente mujeres y niños</w:t>
      </w:r>
      <w:r w:rsidRPr="00143D29">
        <w:rPr>
          <w:rFonts w:cs="Times New Roman"/>
          <w:sz w:val="16"/>
          <w:szCs w:val="16"/>
        </w:rPr>
        <w:t xml:space="preserve">, 6 de agosto de 2014, A/69/269, </w:t>
      </w:r>
      <w:proofErr w:type="spellStart"/>
      <w:r w:rsidRPr="00143D29">
        <w:rPr>
          <w:rFonts w:cs="Times New Roman"/>
          <w:sz w:val="16"/>
          <w:szCs w:val="16"/>
        </w:rPr>
        <w:t>párrs</w:t>
      </w:r>
      <w:proofErr w:type="spellEnd"/>
      <w:r w:rsidRPr="00143D29">
        <w:rPr>
          <w:rFonts w:cs="Times New Roman"/>
          <w:sz w:val="16"/>
          <w:szCs w:val="16"/>
        </w:rPr>
        <w:t xml:space="preserve">. 12 y 17. f; ONU, </w:t>
      </w:r>
      <w:r w:rsidRPr="00143D29">
        <w:rPr>
          <w:rFonts w:cs="Times"/>
          <w:i/>
          <w:sz w:val="16"/>
          <w:szCs w:val="16"/>
        </w:rPr>
        <w:t xml:space="preserve">Informe de la Relatora Especial sobre la trata de personas, especialmente mujeres y niños, </w:t>
      </w:r>
      <w:proofErr w:type="spellStart"/>
      <w:r w:rsidRPr="00143D29">
        <w:rPr>
          <w:rFonts w:cs="Times"/>
          <w:i/>
          <w:sz w:val="16"/>
          <w:szCs w:val="16"/>
        </w:rPr>
        <w:t>Joy</w:t>
      </w:r>
      <w:proofErr w:type="spellEnd"/>
      <w:r w:rsidRPr="00143D29">
        <w:rPr>
          <w:rFonts w:cs="Times"/>
          <w:i/>
          <w:sz w:val="16"/>
          <w:szCs w:val="16"/>
        </w:rPr>
        <w:t xml:space="preserve"> </w:t>
      </w:r>
      <w:proofErr w:type="spellStart"/>
      <w:r w:rsidRPr="00143D29">
        <w:rPr>
          <w:rFonts w:cs="Times"/>
          <w:i/>
          <w:sz w:val="16"/>
          <w:szCs w:val="16"/>
        </w:rPr>
        <w:t>Ngozi</w:t>
      </w:r>
      <w:proofErr w:type="spellEnd"/>
      <w:r w:rsidRPr="00143D29">
        <w:rPr>
          <w:rFonts w:cs="Times"/>
          <w:i/>
          <w:sz w:val="16"/>
          <w:szCs w:val="16"/>
        </w:rPr>
        <w:t xml:space="preserve"> </w:t>
      </w:r>
      <w:proofErr w:type="spellStart"/>
      <w:r w:rsidRPr="00143D29">
        <w:rPr>
          <w:rFonts w:cs="Times"/>
          <w:i/>
          <w:sz w:val="16"/>
          <w:szCs w:val="16"/>
        </w:rPr>
        <w:t>Ezeilo</w:t>
      </w:r>
      <w:proofErr w:type="spellEnd"/>
      <w:r w:rsidRPr="00143D29">
        <w:rPr>
          <w:rFonts w:cs="Times"/>
          <w:sz w:val="16"/>
          <w:szCs w:val="16"/>
        </w:rPr>
        <w:t xml:space="preserve">, 1 de abril de 2014, A/HRC/26/37, párr. 41, y ONU, </w:t>
      </w:r>
      <w:r w:rsidRPr="00143D29">
        <w:rPr>
          <w:rFonts w:cs="Times"/>
          <w:i/>
          <w:sz w:val="16"/>
          <w:szCs w:val="16"/>
        </w:rPr>
        <w:t>Mandato de la Relatora Especial sobre la trata de personas, especialmente mujeres y niños</w:t>
      </w:r>
      <w:r w:rsidRPr="00143D29">
        <w:rPr>
          <w:rFonts w:cs="Times"/>
          <w:sz w:val="16"/>
          <w:szCs w:val="16"/>
        </w:rPr>
        <w:t xml:space="preserve">, 17 de julio de 2014 A/HRC/RES/26/8.  </w:t>
      </w:r>
    </w:p>
    <w:p w14:paraId="61A0EA41" w14:textId="77777777" w:rsidR="00D4299B" w:rsidRPr="00143D29" w:rsidRDefault="00D4299B" w:rsidP="00130785">
      <w:pPr>
        <w:pStyle w:val="Textonotapie"/>
        <w:tabs>
          <w:tab w:val="left" w:pos="709"/>
        </w:tabs>
        <w:spacing w:after="0"/>
        <w:rPr>
          <w:lang w:val="es-ES_tradnl"/>
        </w:rPr>
      </w:pPr>
      <w:r w:rsidRPr="00143D29">
        <w:rPr>
          <w:lang w:val="es-ES_tradnl"/>
        </w:rPr>
        <w:t xml:space="preserve"> </w:t>
      </w:r>
    </w:p>
  </w:footnote>
  <w:footnote w:id="613">
    <w:p w14:paraId="7547BBD7"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w:t>
      </w:r>
      <w:r w:rsidRPr="00143D29">
        <w:rPr>
          <w:i/>
          <w:lang w:val="es-ES_tradnl"/>
        </w:rPr>
        <w:t>Principios Rectores sobre extrema pobreza y derechos humanos,</w:t>
      </w:r>
      <w:r w:rsidRPr="00143D29">
        <w:rPr>
          <w:lang w:val="es-ES_tradnl"/>
        </w:rPr>
        <w:t xml:space="preserve"> aprobados por el Consejo de Derechos Humanos, 27 de </w:t>
      </w:r>
      <w:proofErr w:type="gramStart"/>
      <w:r w:rsidRPr="00143D29">
        <w:rPr>
          <w:lang w:val="es-ES_tradnl"/>
        </w:rPr>
        <w:t>Septiembre</w:t>
      </w:r>
      <w:proofErr w:type="gramEnd"/>
      <w:r w:rsidRPr="00143D29">
        <w:rPr>
          <w:lang w:val="es-ES_tradnl"/>
        </w:rPr>
        <w:t xml:space="preserve"> de 2012, Resolución 21/11, principio </w:t>
      </w:r>
      <w:r w:rsidRPr="00143D29">
        <w:rPr>
          <w:rFonts w:cs="Times"/>
          <w:lang w:val="es-ES_tradnl"/>
        </w:rPr>
        <w:t>83.</w:t>
      </w:r>
    </w:p>
  </w:footnote>
  <w:footnote w:id="614">
    <w:p w14:paraId="5BFE2D73" w14:textId="77777777" w:rsidR="00D4299B" w:rsidRPr="00143D29" w:rsidRDefault="00D4299B" w:rsidP="00130785">
      <w:pPr>
        <w:pStyle w:val="Textonotapie"/>
        <w:tabs>
          <w:tab w:val="left" w:pos="709"/>
        </w:tabs>
        <w:spacing w:after="0"/>
        <w:rPr>
          <w:lang w:val="es-ES_tradnl"/>
        </w:rPr>
      </w:pPr>
    </w:p>
    <w:p w14:paraId="412288D7" w14:textId="77777777" w:rsidR="00D4299B" w:rsidRPr="00143D29" w:rsidRDefault="00D4299B" w:rsidP="00130785">
      <w:pPr>
        <w:widowControl w:val="0"/>
        <w:tabs>
          <w:tab w:val="left" w:pos="709"/>
        </w:tabs>
        <w:autoSpaceDE w:val="0"/>
        <w:autoSpaceDN w:val="0"/>
        <w:adjustRightInd w:val="0"/>
        <w:jc w:val="both"/>
        <w:rPr>
          <w:sz w:val="16"/>
          <w:szCs w:val="16"/>
        </w:rPr>
      </w:pPr>
      <w:r w:rsidRPr="00143D29">
        <w:rPr>
          <w:rStyle w:val="Refdenotaalpie"/>
          <w:sz w:val="16"/>
          <w:szCs w:val="16"/>
        </w:rPr>
        <w:footnoteRef/>
      </w:r>
      <w:r w:rsidRPr="00143D29">
        <w:rPr>
          <w:sz w:val="16"/>
          <w:szCs w:val="16"/>
        </w:rPr>
        <w:t xml:space="preserve"> </w:t>
      </w:r>
      <w:r w:rsidRPr="00143D29">
        <w:rPr>
          <w:sz w:val="16"/>
          <w:szCs w:val="16"/>
        </w:rPr>
        <w:tab/>
        <w:t xml:space="preserve">ONU, </w:t>
      </w:r>
      <w:r w:rsidRPr="00143D29">
        <w:rPr>
          <w:i/>
          <w:sz w:val="16"/>
          <w:szCs w:val="16"/>
        </w:rPr>
        <w:t>Informe de la Relatora especial sobre las formas contemporáneas de la esclavitud, incluidas sus causas y sus consecuencias</w:t>
      </w:r>
      <w:r w:rsidRPr="00143D29">
        <w:rPr>
          <w:sz w:val="16"/>
          <w:szCs w:val="16"/>
        </w:rPr>
        <w:t xml:space="preserve">, </w:t>
      </w:r>
      <w:r w:rsidRPr="00143D29">
        <w:rPr>
          <w:spacing w:val="-2"/>
          <w:sz w:val="16"/>
          <w:szCs w:val="16"/>
        </w:rPr>
        <w:t xml:space="preserve">Promoción y protección de todos los derechos humanos, civiles, políticos, económicos, sociales y culturales, incluido el derecho al desarrollo, </w:t>
      </w:r>
      <w:r w:rsidRPr="00143D29">
        <w:rPr>
          <w:rFonts w:cs="Times"/>
          <w:spacing w:val="-2"/>
          <w:sz w:val="16"/>
          <w:szCs w:val="16"/>
        </w:rPr>
        <w:t>A/HRC/12/21,</w:t>
      </w:r>
      <w:r w:rsidRPr="00143D29">
        <w:rPr>
          <w:rFonts w:cs="Times"/>
          <w:sz w:val="16"/>
          <w:szCs w:val="16"/>
        </w:rPr>
        <w:t xml:space="preserve"> </w:t>
      </w:r>
      <w:r w:rsidRPr="00143D29">
        <w:rPr>
          <w:rFonts w:cs="Times"/>
          <w:spacing w:val="-2"/>
          <w:sz w:val="16"/>
          <w:szCs w:val="16"/>
        </w:rPr>
        <w:t>10 de julio de 2009,</w:t>
      </w:r>
      <w:r w:rsidRPr="00143D29">
        <w:rPr>
          <w:rFonts w:cs="Times"/>
          <w:sz w:val="16"/>
          <w:szCs w:val="16"/>
        </w:rPr>
        <w:t xml:space="preserve"> párr. 48.</w:t>
      </w:r>
    </w:p>
    <w:p w14:paraId="64E887CE" w14:textId="77777777" w:rsidR="00D4299B" w:rsidRPr="00143D29" w:rsidRDefault="00D4299B" w:rsidP="00130785">
      <w:pPr>
        <w:pStyle w:val="Textonotapie"/>
        <w:tabs>
          <w:tab w:val="left" w:pos="709"/>
        </w:tabs>
        <w:spacing w:after="0"/>
        <w:rPr>
          <w:lang w:val="es-ES_tradnl"/>
        </w:rPr>
      </w:pPr>
    </w:p>
  </w:footnote>
  <w:footnote w:id="615">
    <w:p w14:paraId="47AED2A9" w14:textId="77777777" w:rsidR="00D4299B" w:rsidRPr="00143D29" w:rsidRDefault="00D4299B" w:rsidP="00130785">
      <w:pPr>
        <w:widowControl w:val="0"/>
        <w:tabs>
          <w:tab w:val="left" w:pos="709"/>
        </w:tabs>
        <w:autoSpaceDE w:val="0"/>
        <w:autoSpaceDN w:val="0"/>
        <w:adjustRightInd w:val="0"/>
        <w:jc w:val="both"/>
        <w:rPr>
          <w:sz w:val="16"/>
          <w:szCs w:val="16"/>
        </w:rPr>
      </w:pPr>
      <w:r w:rsidRPr="00143D29">
        <w:rPr>
          <w:rStyle w:val="Refdenotaalpie"/>
          <w:sz w:val="16"/>
          <w:szCs w:val="16"/>
        </w:rPr>
        <w:footnoteRef/>
      </w:r>
      <w:r w:rsidRPr="00143D29">
        <w:rPr>
          <w:sz w:val="16"/>
          <w:szCs w:val="16"/>
        </w:rPr>
        <w:t xml:space="preserve"> </w:t>
      </w:r>
      <w:r w:rsidRPr="00143D29">
        <w:rPr>
          <w:sz w:val="16"/>
          <w:szCs w:val="16"/>
        </w:rPr>
        <w:tab/>
        <w:t xml:space="preserve">ONU, </w:t>
      </w:r>
      <w:r w:rsidRPr="00143D29">
        <w:rPr>
          <w:i/>
          <w:sz w:val="16"/>
          <w:szCs w:val="16"/>
        </w:rPr>
        <w:t>Informe de la Relatora Especial sobre las formas contemporáneas de la esclavitud, incluidas sus causas y consecuencias</w:t>
      </w:r>
      <w:r w:rsidRPr="00143D29">
        <w:rPr>
          <w:sz w:val="16"/>
          <w:szCs w:val="16"/>
        </w:rPr>
        <w:t xml:space="preserve">. Informe temático sobre las dificultades y enseñanzas de la lucha contra las formas contemporáneas de la esclavitud,  1 de julio de 2013, </w:t>
      </w:r>
      <w:r w:rsidRPr="00143D29">
        <w:rPr>
          <w:rFonts w:cs="Times"/>
          <w:sz w:val="16"/>
          <w:szCs w:val="16"/>
        </w:rPr>
        <w:t>A/HRC/24/43, párr.  38.</w:t>
      </w:r>
    </w:p>
    <w:p w14:paraId="18D47BA8" w14:textId="77777777" w:rsidR="00D4299B" w:rsidRPr="00143D29" w:rsidRDefault="00D4299B" w:rsidP="00130785">
      <w:pPr>
        <w:pStyle w:val="Textonotapie"/>
        <w:tabs>
          <w:tab w:val="left" w:pos="709"/>
        </w:tabs>
        <w:spacing w:after="0"/>
        <w:rPr>
          <w:lang w:val="es-ES_tradnl"/>
        </w:rPr>
      </w:pPr>
    </w:p>
  </w:footnote>
  <w:footnote w:id="616">
    <w:p w14:paraId="2A98A2D7"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rFonts w:cs="Verdana"/>
          <w:bCs/>
          <w:i/>
          <w:lang w:val="es-ES_tradnl"/>
        </w:rPr>
        <w:t xml:space="preserve">Caso Gonzales </w:t>
      </w:r>
      <w:proofErr w:type="spellStart"/>
      <w:r w:rsidRPr="00143D29">
        <w:rPr>
          <w:rFonts w:cs="Verdana"/>
          <w:bCs/>
          <w:i/>
          <w:lang w:val="es-ES_tradnl"/>
        </w:rPr>
        <w:t>Lluy</w:t>
      </w:r>
      <w:proofErr w:type="spellEnd"/>
      <w:r w:rsidRPr="00143D29">
        <w:rPr>
          <w:rFonts w:cs="Verdana"/>
          <w:bCs/>
          <w:i/>
          <w:lang w:val="es-ES_tradnl"/>
        </w:rPr>
        <w:t xml:space="preserve"> y otros Vs. Ecuador. Excepciones Preliminares, Fondo, Reparaciones y Costas. </w:t>
      </w:r>
      <w:r w:rsidRPr="00143D29">
        <w:rPr>
          <w:rFonts w:cs="Verdana"/>
          <w:bCs/>
          <w:lang w:val="es-ES_tradnl"/>
        </w:rPr>
        <w:t xml:space="preserve">Sentencia de 1 de septiembre de 2015. Serie C No. 298, párr. 290. </w:t>
      </w:r>
    </w:p>
    <w:p w14:paraId="3CABDE88" w14:textId="77777777" w:rsidR="00D4299B" w:rsidRPr="00143D29" w:rsidRDefault="00D4299B" w:rsidP="00130785">
      <w:pPr>
        <w:pStyle w:val="Textonotapie"/>
        <w:tabs>
          <w:tab w:val="left" w:pos="709"/>
        </w:tabs>
        <w:spacing w:after="0"/>
        <w:rPr>
          <w:lang w:val="es-ES_tradnl"/>
        </w:rPr>
      </w:pPr>
    </w:p>
  </w:footnote>
  <w:footnote w:id="617">
    <w:p w14:paraId="2884EBBD"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Véase: </w:t>
      </w:r>
      <w:r w:rsidRPr="00143D29">
        <w:rPr>
          <w:rFonts w:cs="Verdana"/>
          <w:bCs/>
          <w:lang w:val="es-ES_tradnl"/>
        </w:rPr>
        <w:t xml:space="preserve">Corte IDH. </w:t>
      </w:r>
      <w:r w:rsidRPr="00143D29">
        <w:rPr>
          <w:rFonts w:cs="Verdana"/>
          <w:bCs/>
          <w:i/>
          <w:lang w:val="es-ES_tradnl"/>
        </w:rPr>
        <w:t>Caso Artavia Murillo y otros ("Fecundación in vitro") Vs. Costa Rica. Excepciones Preliminares, Fondo, Reparaciones y Costas.</w:t>
      </w:r>
      <w:r w:rsidRPr="00143D29">
        <w:rPr>
          <w:rFonts w:cs="Verdana"/>
          <w:bCs/>
          <w:lang w:val="es-ES_tradnl"/>
        </w:rPr>
        <w:t xml:space="preserve"> Sentencia de 28 noviembre de 2012. Serie C No. 257, </w:t>
      </w:r>
      <w:proofErr w:type="gramStart"/>
      <w:r w:rsidRPr="00143D29">
        <w:rPr>
          <w:rFonts w:cs="Verdana"/>
          <w:bCs/>
          <w:lang w:val="es-ES_tradnl"/>
        </w:rPr>
        <w:t xml:space="preserve">y  </w:t>
      </w:r>
      <w:r w:rsidRPr="00143D29">
        <w:rPr>
          <w:rFonts w:cs="Verdana"/>
          <w:bCs/>
          <w:i/>
          <w:lang w:val="es-ES_tradnl"/>
        </w:rPr>
        <w:t>Caso</w:t>
      </w:r>
      <w:proofErr w:type="gramEnd"/>
      <w:r w:rsidRPr="00143D29">
        <w:rPr>
          <w:rFonts w:cs="Verdana"/>
          <w:bCs/>
          <w:i/>
          <w:lang w:val="es-ES_tradnl"/>
        </w:rPr>
        <w:t xml:space="preserve"> Gonzales </w:t>
      </w:r>
      <w:proofErr w:type="spellStart"/>
      <w:r w:rsidRPr="00143D29">
        <w:rPr>
          <w:rFonts w:cs="Verdana"/>
          <w:bCs/>
          <w:i/>
          <w:lang w:val="es-ES_tradnl"/>
        </w:rPr>
        <w:t>Lluy</w:t>
      </w:r>
      <w:proofErr w:type="spellEnd"/>
      <w:r w:rsidRPr="00143D29">
        <w:rPr>
          <w:rFonts w:cs="Verdana"/>
          <w:bCs/>
          <w:i/>
          <w:lang w:val="es-ES_tradnl"/>
        </w:rPr>
        <w:t xml:space="preserve"> y otros Vs. Ecuador. Excepciones Preliminares, Fondo, Reparaciones y Costas</w:t>
      </w:r>
      <w:r w:rsidRPr="00143D29">
        <w:rPr>
          <w:rFonts w:cs="Verdana"/>
          <w:bCs/>
          <w:lang w:val="es-ES_tradnl"/>
        </w:rPr>
        <w:t>. Sentencia de 1 de septiembre de 2015. Serie C No. 298.</w:t>
      </w:r>
    </w:p>
    <w:p w14:paraId="0E546D75" w14:textId="77777777" w:rsidR="00D4299B" w:rsidRPr="00143D29" w:rsidRDefault="00D4299B" w:rsidP="00130785">
      <w:pPr>
        <w:pStyle w:val="Textonotapie"/>
        <w:tabs>
          <w:tab w:val="left" w:pos="709"/>
        </w:tabs>
        <w:spacing w:after="0"/>
        <w:rPr>
          <w:lang w:val="es-ES_tradnl"/>
        </w:rPr>
      </w:pPr>
    </w:p>
  </w:footnote>
  <w:footnote w:id="618">
    <w:p w14:paraId="57F7D308"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proofErr w:type="spellStart"/>
      <w:r w:rsidRPr="00143D29">
        <w:rPr>
          <w:spacing w:val="-2"/>
          <w:lang w:val="es-ES_tradnl"/>
        </w:rPr>
        <w:t>Maurino</w:t>
      </w:r>
      <w:proofErr w:type="spellEnd"/>
      <w:r w:rsidRPr="00143D29">
        <w:rPr>
          <w:spacing w:val="-2"/>
          <w:lang w:val="es-ES_tradnl"/>
        </w:rPr>
        <w:t>, Gustavo, “</w:t>
      </w:r>
      <w:r w:rsidRPr="00143D29">
        <w:rPr>
          <w:lang w:val="es-ES_tradnl"/>
        </w:rPr>
        <w:t>Pobreza y discriminación: la protección constitucional para los más humildes”</w:t>
      </w:r>
      <w:r w:rsidRPr="00143D29">
        <w:rPr>
          <w:i/>
          <w:lang w:val="es-ES_tradnl"/>
        </w:rPr>
        <w:t xml:space="preserve">, </w:t>
      </w:r>
      <w:r w:rsidRPr="00143D29">
        <w:rPr>
          <w:spacing w:val="-2"/>
          <w:lang w:val="es-ES_tradnl"/>
        </w:rPr>
        <w:t xml:space="preserve">en Alegre, Marcelo y </w:t>
      </w:r>
      <w:proofErr w:type="spellStart"/>
      <w:r w:rsidRPr="00143D29">
        <w:rPr>
          <w:spacing w:val="-2"/>
          <w:lang w:val="es-ES_tradnl"/>
        </w:rPr>
        <w:t>Gargarella</w:t>
      </w:r>
      <w:proofErr w:type="spellEnd"/>
      <w:r w:rsidRPr="00143D29">
        <w:rPr>
          <w:spacing w:val="-2"/>
          <w:lang w:val="es-ES_tradnl"/>
        </w:rPr>
        <w:t>, Roberto (</w:t>
      </w:r>
      <w:proofErr w:type="spellStart"/>
      <w:r w:rsidRPr="00143D29">
        <w:rPr>
          <w:spacing w:val="-2"/>
          <w:lang w:val="es-ES_tradnl"/>
        </w:rPr>
        <w:t>Coords</w:t>
      </w:r>
      <w:proofErr w:type="spellEnd"/>
      <w:r w:rsidRPr="00143D29">
        <w:rPr>
          <w:spacing w:val="-2"/>
          <w:lang w:val="es-ES_tradnl"/>
        </w:rPr>
        <w:t>.),</w:t>
      </w:r>
      <w:r w:rsidRPr="00143D29">
        <w:rPr>
          <w:lang w:val="es-ES_tradnl"/>
        </w:rPr>
        <w:t xml:space="preserve"> </w:t>
      </w:r>
      <w:r w:rsidRPr="00143D29">
        <w:rPr>
          <w:i/>
          <w:lang w:val="es-ES_tradnl"/>
        </w:rPr>
        <w:t>El derecho a la igualdad. Aportes para un constitucionalismo igualitario</w:t>
      </w:r>
      <w:r w:rsidRPr="00143D29">
        <w:rPr>
          <w:i/>
          <w:spacing w:val="-2"/>
          <w:lang w:val="es-ES_tradnl"/>
        </w:rPr>
        <w:t xml:space="preserve">, </w:t>
      </w:r>
      <w:r w:rsidRPr="00143D29">
        <w:rPr>
          <w:spacing w:val="-2"/>
          <w:lang w:val="es-ES_tradnl"/>
        </w:rPr>
        <w:t>2da ed., Buenos Aires, Abeledo Perrot-Igualitaria-ACIJ, 2012, pp. 265-295, en</w:t>
      </w:r>
      <w:r w:rsidRPr="00143D29">
        <w:rPr>
          <w:lang w:val="es-ES_tradnl"/>
        </w:rPr>
        <w:t xml:space="preserve"> </w:t>
      </w:r>
      <w:r w:rsidRPr="00143D29">
        <w:rPr>
          <w:spacing w:val="-2"/>
          <w:lang w:val="es-ES_tradnl"/>
        </w:rPr>
        <w:t>p. 284.</w:t>
      </w:r>
    </w:p>
    <w:p w14:paraId="5967B637" w14:textId="77777777" w:rsidR="00D4299B" w:rsidRPr="00143D29" w:rsidRDefault="00D4299B" w:rsidP="00130785">
      <w:pPr>
        <w:pStyle w:val="Textonotapie"/>
        <w:tabs>
          <w:tab w:val="left" w:pos="709"/>
        </w:tabs>
        <w:rPr>
          <w:lang w:val="es-ES_tradnl"/>
        </w:rPr>
      </w:pPr>
    </w:p>
  </w:footnote>
  <w:footnote w:id="619">
    <w:p w14:paraId="7AC653CA" w14:textId="77777777" w:rsidR="00D4299B" w:rsidRPr="00143D29" w:rsidRDefault="00D4299B" w:rsidP="00130785">
      <w:pPr>
        <w:pStyle w:val="Textonotapie"/>
        <w:tabs>
          <w:tab w:val="left" w:pos="709"/>
        </w:tabs>
        <w:rPr>
          <w:lang w:val="es-ES"/>
        </w:rPr>
      </w:pPr>
      <w:r w:rsidRPr="00143D29">
        <w:rPr>
          <w:rStyle w:val="Refdenotaalpie"/>
        </w:rPr>
        <w:footnoteRef/>
      </w:r>
      <w:r w:rsidRPr="00143D29">
        <w:rPr>
          <w:lang w:val="es-ES"/>
        </w:rPr>
        <w:t xml:space="preserve"> </w:t>
      </w:r>
      <w:r w:rsidRPr="00143D29">
        <w:rPr>
          <w:lang w:val="es-ES"/>
        </w:rPr>
        <w:tab/>
      </w:r>
      <w:r w:rsidRPr="00143D29">
        <w:rPr>
          <w:i/>
          <w:lang w:val="es-ES_tradnl"/>
        </w:rPr>
        <w:t>Cfr.</w:t>
      </w:r>
      <w:r w:rsidRPr="00143D29">
        <w:rPr>
          <w:lang w:val="es-ES_tradnl"/>
        </w:rPr>
        <w:t xml:space="preserve"> ONU, </w:t>
      </w:r>
      <w:r w:rsidRPr="00143D29">
        <w:rPr>
          <w:rFonts w:cs="Optima"/>
          <w:lang w:val="es-ES_tradnl"/>
        </w:rPr>
        <w:t xml:space="preserve">Comisión Económica para América Latina y el Caribe (CEPAL), </w:t>
      </w:r>
      <w:r w:rsidRPr="00143D29">
        <w:rPr>
          <w:rFonts w:cs="Optima"/>
          <w:i/>
          <w:iCs/>
          <w:lang w:val="es-ES_tradnl"/>
        </w:rPr>
        <w:t>Panorama Social de América Latina, 2015</w:t>
      </w:r>
      <w:r w:rsidRPr="00143D29">
        <w:rPr>
          <w:rFonts w:cs="Optima"/>
          <w:lang w:val="es-ES_tradnl"/>
        </w:rPr>
        <w:t>, (LC/G.2691-P), Santiago, 2016, pp. 20 y 21.</w:t>
      </w:r>
    </w:p>
  </w:footnote>
  <w:footnote w:id="620">
    <w:p w14:paraId="2589573C" w14:textId="77777777" w:rsidR="00D4299B" w:rsidRPr="00143D29" w:rsidRDefault="00D4299B" w:rsidP="00130785">
      <w:pPr>
        <w:shd w:val="clear" w:color="auto" w:fill="FFFFFF"/>
        <w:tabs>
          <w:tab w:val="left" w:pos="709"/>
        </w:tabs>
        <w:jc w:val="both"/>
        <w:rPr>
          <w:rFonts w:cs="Times"/>
          <w:i/>
          <w:iCs/>
          <w:sz w:val="16"/>
          <w:szCs w:val="16"/>
          <w:lang w:val="es-ES"/>
        </w:rPr>
      </w:pPr>
      <w:r w:rsidRPr="00143D29">
        <w:rPr>
          <w:rStyle w:val="Refdenotaalpie"/>
          <w:sz w:val="16"/>
          <w:szCs w:val="16"/>
        </w:rPr>
        <w:footnoteRef/>
      </w:r>
      <w:r w:rsidRPr="00143D29">
        <w:rPr>
          <w:i/>
          <w:sz w:val="16"/>
          <w:szCs w:val="16"/>
        </w:rPr>
        <w:tab/>
        <w:t>Cfr.</w:t>
      </w:r>
      <w:r w:rsidRPr="00143D29">
        <w:rPr>
          <w:sz w:val="16"/>
          <w:szCs w:val="16"/>
        </w:rPr>
        <w:t xml:space="preserve"> TEDH </w:t>
      </w:r>
      <w:proofErr w:type="spellStart"/>
      <w:r w:rsidRPr="00143D29">
        <w:rPr>
          <w:rFonts w:cs="Times"/>
          <w:i/>
          <w:iCs/>
          <w:sz w:val="16"/>
          <w:szCs w:val="16"/>
          <w:lang w:val="es-ES"/>
        </w:rPr>
        <w:t>Broniowski</w:t>
      </w:r>
      <w:proofErr w:type="spellEnd"/>
      <w:r w:rsidRPr="00143D29">
        <w:rPr>
          <w:rFonts w:cs="Times"/>
          <w:i/>
          <w:iCs/>
          <w:sz w:val="16"/>
          <w:szCs w:val="16"/>
          <w:lang w:val="es-ES"/>
        </w:rPr>
        <w:t xml:space="preserve"> Vs. Polonia</w:t>
      </w:r>
      <w:r w:rsidRPr="00143D29">
        <w:rPr>
          <w:rFonts w:cs="Times"/>
          <w:i/>
          <w:iCs/>
          <w:spacing w:val="-2"/>
          <w:sz w:val="16"/>
          <w:szCs w:val="16"/>
          <w:lang w:val="es-ES"/>
        </w:rPr>
        <w:t xml:space="preserve">, </w:t>
      </w:r>
      <w:r w:rsidRPr="00143D29">
        <w:rPr>
          <w:rFonts w:cs="Times"/>
          <w:spacing w:val="-2"/>
          <w:sz w:val="16"/>
          <w:szCs w:val="16"/>
          <w:lang w:val="es-ES"/>
        </w:rPr>
        <w:t xml:space="preserve">No. 31443/96, Sentencia de 22 de junio de 2004, </w:t>
      </w:r>
      <w:proofErr w:type="spellStart"/>
      <w:r w:rsidRPr="00143D29">
        <w:rPr>
          <w:rFonts w:cs="Times"/>
          <w:spacing w:val="-2"/>
          <w:sz w:val="16"/>
          <w:szCs w:val="16"/>
          <w:lang w:val="es-ES"/>
        </w:rPr>
        <w:t>párrs</w:t>
      </w:r>
      <w:proofErr w:type="spellEnd"/>
      <w:r w:rsidRPr="00143D29">
        <w:rPr>
          <w:rFonts w:cs="Times"/>
          <w:spacing w:val="-2"/>
          <w:sz w:val="16"/>
          <w:szCs w:val="16"/>
          <w:lang w:val="es-ES"/>
        </w:rPr>
        <w:t>.</w:t>
      </w:r>
      <w:r w:rsidRPr="00143D29">
        <w:rPr>
          <w:rFonts w:cs="Times"/>
          <w:color w:val="FF0000"/>
          <w:spacing w:val="-2"/>
          <w:sz w:val="16"/>
          <w:szCs w:val="16"/>
          <w:lang w:val="es-ES"/>
        </w:rPr>
        <w:t xml:space="preserve"> </w:t>
      </w:r>
      <w:r w:rsidRPr="00143D29">
        <w:rPr>
          <w:rFonts w:cs="Arial"/>
          <w:color w:val="000000"/>
          <w:spacing w:val="-2"/>
          <w:sz w:val="16"/>
          <w:szCs w:val="16"/>
        </w:rPr>
        <w:t>190 y 191</w:t>
      </w:r>
      <w:r w:rsidRPr="00143D29">
        <w:rPr>
          <w:rFonts w:cs="Arial"/>
          <w:color w:val="000000"/>
          <w:sz w:val="16"/>
          <w:szCs w:val="16"/>
        </w:rPr>
        <w:t>.</w:t>
      </w:r>
    </w:p>
    <w:p w14:paraId="20E44D2D" w14:textId="77777777" w:rsidR="00D4299B" w:rsidRPr="00143D29" w:rsidRDefault="00D4299B" w:rsidP="00130785">
      <w:pPr>
        <w:pStyle w:val="Textonotapie"/>
        <w:tabs>
          <w:tab w:val="left" w:pos="709"/>
        </w:tabs>
        <w:spacing w:after="0"/>
        <w:rPr>
          <w:lang w:val="es-ES_tradnl"/>
        </w:rPr>
      </w:pPr>
      <w:r w:rsidRPr="00143D29">
        <w:rPr>
          <w:lang w:val="es-ES_tradnl"/>
        </w:rPr>
        <w:t xml:space="preserve"> </w:t>
      </w:r>
    </w:p>
  </w:footnote>
  <w:footnote w:id="621">
    <w:p w14:paraId="7171698C" w14:textId="77777777" w:rsidR="00D4299B" w:rsidRPr="00143D29" w:rsidRDefault="00D4299B" w:rsidP="00130785">
      <w:pPr>
        <w:widowControl w:val="0"/>
        <w:tabs>
          <w:tab w:val="left" w:pos="709"/>
        </w:tabs>
        <w:autoSpaceDE w:val="0"/>
        <w:autoSpaceDN w:val="0"/>
        <w:adjustRightInd w:val="0"/>
        <w:jc w:val="both"/>
        <w:rPr>
          <w:rFonts w:cs="Times"/>
          <w:sz w:val="16"/>
          <w:szCs w:val="16"/>
        </w:rPr>
      </w:pPr>
      <w:r w:rsidRPr="00143D29">
        <w:rPr>
          <w:rStyle w:val="Refdenotaalpie"/>
          <w:sz w:val="16"/>
          <w:szCs w:val="16"/>
        </w:rPr>
        <w:footnoteRef/>
      </w:r>
      <w:r w:rsidRPr="00143D29">
        <w:rPr>
          <w:sz w:val="16"/>
          <w:szCs w:val="16"/>
        </w:rPr>
        <w:t xml:space="preserve"> </w:t>
      </w:r>
      <w:r w:rsidRPr="00143D29">
        <w:rPr>
          <w:sz w:val="16"/>
          <w:szCs w:val="16"/>
        </w:rPr>
        <w:tab/>
        <w:t xml:space="preserve">El fundamento jurídico que ha utilizado el Tribunal Europeo ha sido </w:t>
      </w:r>
      <w:r w:rsidRPr="00143D29">
        <w:rPr>
          <w:rFonts w:cs="Times"/>
          <w:sz w:val="16"/>
          <w:szCs w:val="16"/>
        </w:rPr>
        <w:t xml:space="preserve">el art. 46.1, conforme al cual los Estados se comprometen a cumplir las sentencias del Tribunal en los litigios en que sean parte. Además, el art. 1 que establece la obligación general de los Estados de respetar los derechos humanos y en el art. 19, que dispone que la función del Tribunal es asegurar que los Estados respeten los compromisos resultantes del CEDH. </w:t>
      </w:r>
    </w:p>
    <w:p w14:paraId="26EB1486" w14:textId="77777777" w:rsidR="00D4299B" w:rsidRPr="00143D29" w:rsidRDefault="00D4299B" w:rsidP="00130785">
      <w:pPr>
        <w:pStyle w:val="Textonotapie"/>
        <w:tabs>
          <w:tab w:val="left" w:pos="709"/>
        </w:tabs>
        <w:spacing w:after="0"/>
        <w:rPr>
          <w:lang w:val="es-ES_tradnl"/>
        </w:rPr>
      </w:pPr>
    </w:p>
  </w:footnote>
  <w:footnote w:id="622">
    <w:p w14:paraId="237F2B7A" w14:textId="77777777" w:rsidR="00D4299B" w:rsidRPr="00143D29" w:rsidRDefault="00D4299B" w:rsidP="00130785">
      <w:pPr>
        <w:shd w:val="clear" w:color="auto" w:fill="FFFFFF"/>
        <w:tabs>
          <w:tab w:val="left" w:pos="709"/>
        </w:tabs>
        <w:jc w:val="both"/>
        <w:rPr>
          <w:rFonts w:cs="Arial"/>
          <w:color w:val="000000"/>
          <w:sz w:val="16"/>
          <w:szCs w:val="16"/>
        </w:rPr>
      </w:pPr>
      <w:r w:rsidRPr="00143D29">
        <w:rPr>
          <w:rStyle w:val="Refdenotaalpie"/>
          <w:sz w:val="16"/>
          <w:szCs w:val="16"/>
        </w:rPr>
        <w:footnoteRef/>
      </w:r>
      <w:r w:rsidRPr="00143D29">
        <w:rPr>
          <w:sz w:val="16"/>
          <w:szCs w:val="16"/>
        </w:rPr>
        <w:t xml:space="preserve"> </w:t>
      </w:r>
      <w:r w:rsidRPr="00143D29">
        <w:rPr>
          <w:sz w:val="16"/>
          <w:szCs w:val="16"/>
        </w:rPr>
        <w:tab/>
        <w:t xml:space="preserve">Al respecto, sobre las implicaciones de un procedimiento de una sentencia piloto, el TEDH ha considerado que estas se basan en la existencia de un problema generalizado y sistémico que tiene como consecuencia que un conjunto de personas se vean afectadas de manera adversa. Así, mediante las denominadas medidas generales a nivel nacional, se pretende que tengan en cuenta a todas las personas afectadas y, de este modo, remediar el defecto sistémico en el que se basa la violación declarada por la Corte. De este modo, las sentencias piloto, son un enfoque judicial que usa el TEDH para remediar problemas sistémicos y estructurales en el orden jurídico nacional. </w:t>
      </w:r>
      <w:r w:rsidRPr="00143D29">
        <w:rPr>
          <w:i/>
          <w:sz w:val="16"/>
          <w:szCs w:val="16"/>
        </w:rPr>
        <w:t>Cfr.</w:t>
      </w:r>
      <w:r w:rsidRPr="00143D29">
        <w:rPr>
          <w:sz w:val="16"/>
          <w:szCs w:val="16"/>
        </w:rPr>
        <w:t xml:space="preserve"> TEDH </w:t>
      </w:r>
      <w:proofErr w:type="spellStart"/>
      <w:r w:rsidRPr="00143D29">
        <w:rPr>
          <w:rFonts w:cs="Times"/>
          <w:i/>
          <w:iCs/>
          <w:sz w:val="16"/>
          <w:szCs w:val="16"/>
          <w:lang w:val="es-ES"/>
        </w:rPr>
        <w:t>Broniowski</w:t>
      </w:r>
      <w:proofErr w:type="spellEnd"/>
      <w:r w:rsidRPr="00143D29">
        <w:rPr>
          <w:rFonts w:cs="Times"/>
          <w:i/>
          <w:iCs/>
          <w:sz w:val="16"/>
          <w:szCs w:val="16"/>
          <w:lang w:val="es-ES"/>
        </w:rPr>
        <w:t xml:space="preserve"> Vs. Polonia,</w:t>
      </w:r>
      <w:r w:rsidRPr="00143D29">
        <w:rPr>
          <w:rFonts w:cs="Times"/>
          <w:iCs/>
          <w:sz w:val="16"/>
          <w:szCs w:val="16"/>
          <w:lang w:val="es-ES"/>
        </w:rPr>
        <w:t xml:space="preserve"> No. </w:t>
      </w:r>
      <w:r w:rsidRPr="00143D29">
        <w:rPr>
          <w:rFonts w:cs="Times"/>
          <w:sz w:val="16"/>
          <w:szCs w:val="16"/>
          <w:lang w:val="es-ES"/>
        </w:rPr>
        <w:t xml:space="preserve">31443/96, Sentencia Cumplimiento de 28 de septiembre de 2005, </w:t>
      </w:r>
      <w:proofErr w:type="spellStart"/>
      <w:r w:rsidRPr="00143D29">
        <w:rPr>
          <w:rFonts w:cs="Times"/>
          <w:sz w:val="16"/>
          <w:szCs w:val="16"/>
          <w:lang w:val="es-ES"/>
        </w:rPr>
        <w:t>párrs</w:t>
      </w:r>
      <w:proofErr w:type="spellEnd"/>
      <w:r w:rsidRPr="00143D29">
        <w:rPr>
          <w:rFonts w:cs="Times"/>
          <w:sz w:val="16"/>
          <w:szCs w:val="16"/>
          <w:lang w:val="es-ES"/>
        </w:rPr>
        <w:t>.</w:t>
      </w:r>
      <w:r w:rsidRPr="00143D29">
        <w:rPr>
          <w:rFonts w:cs="Times"/>
          <w:color w:val="FF0000"/>
          <w:sz w:val="16"/>
          <w:szCs w:val="16"/>
          <w:lang w:val="es-ES"/>
        </w:rPr>
        <w:t xml:space="preserve"> </w:t>
      </w:r>
      <w:r w:rsidRPr="00143D29">
        <w:rPr>
          <w:sz w:val="16"/>
          <w:szCs w:val="16"/>
        </w:rPr>
        <w:t xml:space="preserve">34 y 35. </w:t>
      </w:r>
    </w:p>
    <w:p w14:paraId="60B3B625" w14:textId="77777777" w:rsidR="00D4299B" w:rsidRPr="00143D29" w:rsidRDefault="00D4299B" w:rsidP="00130785">
      <w:pPr>
        <w:pStyle w:val="Textonotapie"/>
        <w:tabs>
          <w:tab w:val="left" w:pos="709"/>
        </w:tabs>
        <w:spacing w:after="0"/>
        <w:rPr>
          <w:lang w:val="es-ES_tradnl"/>
        </w:rPr>
      </w:pPr>
    </w:p>
  </w:footnote>
  <w:footnote w:id="623">
    <w:p w14:paraId="695F8693" w14:textId="77777777" w:rsidR="00D4299B" w:rsidRPr="00143D29" w:rsidRDefault="00D4299B" w:rsidP="00130785">
      <w:pPr>
        <w:shd w:val="clear" w:color="auto" w:fill="FFFFFF"/>
        <w:tabs>
          <w:tab w:val="left" w:pos="709"/>
        </w:tabs>
        <w:jc w:val="both"/>
        <w:rPr>
          <w:rFonts w:cs="Arial"/>
          <w:color w:val="000000"/>
          <w:sz w:val="16"/>
          <w:szCs w:val="16"/>
        </w:rPr>
      </w:pPr>
      <w:r w:rsidRPr="00143D29">
        <w:rPr>
          <w:rStyle w:val="Refdenotaalpie"/>
          <w:sz w:val="16"/>
          <w:szCs w:val="16"/>
        </w:rPr>
        <w:footnoteRef/>
      </w:r>
      <w:r w:rsidRPr="00143D29">
        <w:rPr>
          <w:sz w:val="16"/>
          <w:szCs w:val="16"/>
        </w:rPr>
        <w:t xml:space="preserve"> </w:t>
      </w:r>
      <w:r w:rsidRPr="00143D29">
        <w:rPr>
          <w:sz w:val="16"/>
          <w:szCs w:val="16"/>
        </w:rPr>
        <w:tab/>
      </w:r>
      <w:r w:rsidRPr="00143D29">
        <w:rPr>
          <w:i/>
          <w:sz w:val="16"/>
          <w:szCs w:val="16"/>
        </w:rPr>
        <w:t>Cfr.</w:t>
      </w:r>
      <w:r w:rsidRPr="00143D29">
        <w:rPr>
          <w:sz w:val="16"/>
          <w:szCs w:val="16"/>
        </w:rPr>
        <w:t xml:space="preserve"> TEDH </w:t>
      </w:r>
      <w:proofErr w:type="spellStart"/>
      <w:r w:rsidRPr="00143D29">
        <w:rPr>
          <w:rFonts w:cs="Times"/>
          <w:i/>
          <w:iCs/>
          <w:sz w:val="16"/>
          <w:szCs w:val="16"/>
          <w:lang w:val="es-ES"/>
        </w:rPr>
        <w:t>Broniowski</w:t>
      </w:r>
      <w:proofErr w:type="spellEnd"/>
      <w:r w:rsidRPr="00143D29">
        <w:rPr>
          <w:rFonts w:cs="Times"/>
          <w:i/>
          <w:iCs/>
          <w:sz w:val="16"/>
          <w:szCs w:val="16"/>
          <w:lang w:val="es-ES"/>
        </w:rPr>
        <w:t xml:space="preserve"> Vs. Polonia, </w:t>
      </w:r>
      <w:r w:rsidRPr="00143D29">
        <w:rPr>
          <w:rFonts w:cs="Times"/>
          <w:sz w:val="16"/>
          <w:szCs w:val="16"/>
          <w:lang w:val="es-ES"/>
        </w:rPr>
        <w:t>No. 31443/96, Sentencia de 22 de junio de 2004, párr.</w:t>
      </w:r>
      <w:r w:rsidRPr="00143D29">
        <w:rPr>
          <w:rFonts w:cs="Times"/>
          <w:color w:val="FF0000"/>
          <w:sz w:val="16"/>
          <w:szCs w:val="16"/>
          <w:lang w:val="es-ES"/>
        </w:rPr>
        <w:t xml:space="preserve"> </w:t>
      </w:r>
      <w:r w:rsidRPr="00143D29">
        <w:rPr>
          <w:rFonts w:cs="Arial"/>
          <w:color w:val="000000"/>
          <w:sz w:val="16"/>
          <w:szCs w:val="16"/>
        </w:rPr>
        <w:t>189.</w:t>
      </w:r>
    </w:p>
    <w:p w14:paraId="10BAAD24" w14:textId="77777777" w:rsidR="00D4299B" w:rsidRPr="00143D29" w:rsidRDefault="00D4299B" w:rsidP="00130785">
      <w:pPr>
        <w:shd w:val="clear" w:color="auto" w:fill="FFFFFF"/>
        <w:tabs>
          <w:tab w:val="left" w:pos="709"/>
        </w:tabs>
        <w:jc w:val="both"/>
        <w:rPr>
          <w:rFonts w:cs="Arial"/>
          <w:color w:val="000000"/>
          <w:sz w:val="16"/>
          <w:szCs w:val="16"/>
        </w:rPr>
      </w:pPr>
    </w:p>
  </w:footnote>
  <w:footnote w:id="624">
    <w:p w14:paraId="6490FB98" w14:textId="77777777" w:rsidR="00D4299B" w:rsidRPr="00143D29" w:rsidRDefault="00D4299B" w:rsidP="00130785">
      <w:pPr>
        <w:widowControl w:val="0"/>
        <w:autoSpaceDE w:val="0"/>
        <w:autoSpaceDN w:val="0"/>
        <w:adjustRightInd w:val="0"/>
        <w:jc w:val="both"/>
        <w:rPr>
          <w:rFonts w:ascii="Times" w:hAnsi="Times" w:cs="Times"/>
          <w:lang w:val="es-ES"/>
        </w:rPr>
      </w:pPr>
      <w:r w:rsidRPr="00143D29">
        <w:rPr>
          <w:rStyle w:val="Refdenotaalpie"/>
          <w:sz w:val="16"/>
          <w:szCs w:val="16"/>
        </w:rPr>
        <w:footnoteRef/>
      </w:r>
      <w:r w:rsidRPr="00143D29">
        <w:rPr>
          <w:sz w:val="16"/>
          <w:szCs w:val="16"/>
        </w:rPr>
        <w:t xml:space="preserve"> </w:t>
      </w:r>
      <w:r w:rsidRPr="00143D29">
        <w:rPr>
          <w:sz w:val="16"/>
          <w:szCs w:val="16"/>
        </w:rPr>
        <w:tab/>
        <w:t xml:space="preserve">Véase, entre otros, </w:t>
      </w:r>
      <w:r w:rsidRPr="00143D29">
        <w:rPr>
          <w:rFonts w:cs="Times"/>
          <w:i/>
          <w:iCs/>
          <w:sz w:val="16"/>
          <w:szCs w:val="16"/>
          <w:lang w:val="es-ES"/>
        </w:rPr>
        <w:t xml:space="preserve">1. Caso </w:t>
      </w:r>
      <w:proofErr w:type="spellStart"/>
      <w:r w:rsidRPr="00143D29">
        <w:rPr>
          <w:rFonts w:cs="Times"/>
          <w:i/>
          <w:iCs/>
          <w:sz w:val="16"/>
          <w:szCs w:val="16"/>
          <w:lang w:val="es-ES"/>
        </w:rPr>
        <w:t>Broniowski</w:t>
      </w:r>
      <w:proofErr w:type="spellEnd"/>
      <w:r w:rsidRPr="00143D29">
        <w:rPr>
          <w:rFonts w:cs="Times"/>
          <w:i/>
          <w:iCs/>
          <w:sz w:val="16"/>
          <w:szCs w:val="16"/>
          <w:lang w:val="es-ES"/>
        </w:rPr>
        <w:t xml:space="preserve"> Vs. Polonia, </w:t>
      </w:r>
      <w:r w:rsidRPr="00143D29">
        <w:rPr>
          <w:rFonts w:cs="Times"/>
          <w:sz w:val="16"/>
          <w:szCs w:val="16"/>
          <w:lang w:val="es-ES"/>
        </w:rPr>
        <w:t xml:space="preserve">No. 31443/96, Sentencia  de 22 de junio de 2004; </w:t>
      </w:r>
      <w:r w:rsidRPr="00143D29">
        <w:rPr>
          <w:rFonts w:cs="Times"/>
          <w:iCs/>
          <w:sz w:val="16"/>
          <w:szCs w:val="16"/>
          <w:lang w:val="es-ES"/>
        </w:rPr>
        <w:t xml:space="preserve">2. </w:t>
      </w:r>
      <w:r w:rsidRPr="00143D29">
        <w:rPr>
          <w:rFonts w:cs="Times"/>
          <w:i/>
          <w:iCs/>
          <w:sz w:val="16"/>
          <w:szCs w:val="16"/>
          <w:lang w:val="es-ES"/>
        </w:rPr>
        <w:t>Caso Hutten-</w:t>
      </w:r>
      <w:proofErr w:type="spellStart"/>
      <w:r w:rsidRPr="00143D29">
        <w:rPr>
          <w:rFonts w:cs="Times"/>
          <w:i/>
          <w:iCs/>
          <w:sz w:val="16"/>
          <w:szCs w:val="16"/>
          <w:lang w:val="es-ES"/>
        </w:rPr>
        <w:t>Czapska</w:t>
      </w:r>
      <w:proofErr w:type="spellEnd"/>
      <w:r w:rsidRPr="00143D29">
        <w:rPr>
          <w:rFonts w:cs="Times"/>
          <w:i/>
          <w:iCs/>
          <w:sz w:val="16"/>
          <w:szCs w:val="16"/>
          <w:lang w:val="es-ES"/>
        </w:rPr>
        <w:t xml:space="preserve"> Vs. Polonia</w:t>
      </w:r>
      <w:r w:rsidRPr="00143D29">
        <w:rPr>
          <w:rFonts w:cs="Times"/>
          <w:sz w:val="16"/>
          <w:szCs w:val="16"/>
          <w:lang w:val="es-ES"/>
        </w:rPr>
        <w:t xml:space="preserve">, No. 35014/97, Sentencia de 19 de junio de 2006; </w:t>
      </w:r>
      <w:r w:rsidRPr="00143D29">
        <w:rPr>
          <w:rFonts w:cs="Times"/>
          <w:iCs/>
          <w:sz w:val="16"/>
          <w:szCs w:val="16"/>
          <w:lang w:val="es-ES"/>
        </w:rPr>
        <w:t>3.</w:t>
      </w:r>
      <w:r w:rsidRPr="00143D29">
        <w:rPr>
          <w:rFonts w:cs="Times"/>
          <w:i/>
          <w:iCs/>
          <w:sz w:val="16"/>
          <w:szCs w:val="16"/>
          <w:lang w:val="es-ES"/>
        </w:rPr>
        <w:t xml:space="preserve"> Caso </w:t>
      </w:r>
      <w:proofErr w:type="spellStart"/>
      <w:r w:rsidRPr="00143D29">
        <w:rPr>
          <w:rFonts w:cs="Times"/>
          <w:i/>
          <w:iCs/>
          <w:sz w:val="16"/>
          <w:szCs w:val="16"/>
          <w:lang w:val="es-ES"/>
        </w:rPr>
        <w:t>Sejdovic</w:t>
      </w:r>
      <w:proofErr w:type="spellEnd"/>
      <w:r w:rsidRPr="00143D29">
        <w:rPr>
          <w:rFonts w:cs="Times"/>
          <w:i/>
          <w:iCs/>
          <w:sz w:val="16"/>
          <w:szCs w:val="16"/>
          <w:lang w:val="es-ES"/>
        </w:rPr>
        <w:t xml:space="preserve"> Vs. Italia</w:t>
      </w:r>
      <w:r w:rsidRPr="00143D29">
        <w:rPr>
          <w:rFonts w:cs="Times"/>
          <w:sz w:val="16"/>
          <w:szCs w:val="16"/>
          <w:lang w:val="es-ES"/>
        </w:rPr>
        <w:t xml:space="preserve">, No. 56581/00, Sentencia de 10 de noviembre de 2004; </w:t>
      </w:r>
      <w:r w:rsidRPr="00143D29">
        <w:rPr>
          <w:rFonts w:cs="Times"/>
          <w:iCs/>
          <w:sz w:val="16"/>
          <w:szCs w:val="16"/>
          <w:lang w:val="es-ES"/>
        </w:rPr>
        <w:t xml:space="preserve">4. </w:t>
      </w:r>
      <w:r w:rsidRPr="00143D29">
        <w:rPr>
          <w:rFonts w:cs="Times"/>
          <w:i/>
          <w:iCs/>
          <w:sz w:val="16"/>
          <w:szCs w:val="16"/>
          <w:lang w:val="es-ES"/>
        </w:rPr>
        <w:t xml:space="preserve">Caso </w:t>
      </w:r>
      <w:proofErr w:type="spellStart"/>
      <w:r w:rsidRPr="00143D29">
        <w:rPr>
          <w:rFonts w:cs="Times"/>
          <w:i/>
          <w:iCs/>
          <w:sz w:val="16"/>
          <w:szCs w:val="16"/>
          <w:lang w:val="es-ES"/>
        </w:rPr>
        <w:t>Burdov</w:t>
      </w:r>
      <w:proofErr w:type="spellEnd"/>
      <w:r w:rsidRPr="00143D29">
        <w:rPr>
          <w:rFonts w:cs="Times"/>
          <w:i/>
          <w:iCs/>
          <w:sz w:val="16"/>
          <w:szCs w:val="16"/>
          <w:lang w:val="es-ES"/>
        </w:rPr>
        <w:t xml:space="preserve"> (No. 2) Vs. Rusia, </w:t>
      </w:r>
      <w:r w:rsidRPr="00143D29">
        <w:rPr>
          <w:rFonts w:cs="Times"/>
          <w:iCs/>
          <w:sz w:val="16"/>
          <w:szCs w:val="16"/>
          <w:lang w:val="es-ES"/>
        </w:rPr>
        <w:t>No</w:t>
      </w:r>
      <w:r w:rsidRPr="00143D29">
        <w:rPr>
          <w:rFonts w:cs="Times"/>
          <w:sz w:val="16"/>
          <w:szCs w:val="16"/>
          <w:lang w:val="es-ES"/>
        </w:rPr>
        <w:t xml:space="preserve">. 33509/04, Sentencia del 15 de enero de 2009; </w:t>
      </w:r>
      <w:r w:rsidRPr="00143D29">
        <w:rPr>
          <w:bCs/>
          <w:sz w:val="16"/>
          <w:szCs w:val="16"/>
        </w:rPr>
        <w:t xml:space="preserve">5. Caso </w:t>
      </w:r>
      <w:proofErr w:type="spellStart"/>
      <w:r w:rsidRPr="00143D29">
        <w:rPr>
          <w:bCs/>
          <w:i/>
          <w:sz w:val="16"/>
          <w:szCs w:val="16"/>
        </w:rPr>
        <w:t>Suljagic</w:t>
      </w:r>
      <w:proofErr w:type="spellEnd"/>
      <w:r w:rsidRPr="00143D29">
        <w:rPr>
          <w:bCs/>
          <w:i/>
          <w:sz w:val="16"/>
          <w:szCs w:val="16"/>
        </w:rPr>
        <w:t xml:space="preserve"> Vs. Bosnia y Herzegovina</w:t>
      </w:r>
      <w:r w:rsidRPr="00143D29">
        <w:rPr>
          <w:bCs/>
          <w:sz w:val="16"/>
          <w:szCs w:val="16"/>
        </w:rPr>
        <w:t xml:space="preserve">, No. </w:t>
      </w:r>
      <w:r w:rsidRPr="00143D29">
        <w:rPr>
          <w:rFonts w:cs="Arial"/>
          <w:sz w:val="16"/>
          <w:szCs w:val="16"/>
          <w:lang w:val="es-ES"/>
        </w:rPr>
        <w:t xml:space="preserve">27912/02, </w:t>
      </w:r>
      <w:r w:rsidRPr="00143D29">
        <w:rPr>
          <w:bCs/>
          <w:sz w:val="16"/>
          <w:szCs w:val="16"/>
        </w:rPr>
        <w:t xml:space="preserve"> Sentencia de 3 de noviembre de 2009; </w:t>
      </w:r>
      <w:r w:rsidRPr="00143D29">
        <w:rPr>
          <w:rFonts w:cs="Times"/>
          <w:sz w:val="16"/>
          <w:szCs w:val="16"/>
          <w:lang w:val="es-ES"/>
        </w:rPr>
        <w:t xml:space="preserve"> </w:t>
      </w:r>
      <w:r w:rsidRPr="00143D29">
        <w:rPr>
          <w:rFonts w:cs="Times"/>
          <w:iCs/>
          <w:sz w:val="16"/>
          <w:szCs w:val="16"/>
          <w:lang w:val="es-ES"/>
        </w:rPr>
        <w:t>6.</w:t>
      </w:r>
      <w:r w:rsidRPr="00143D29">
        <w:rPr>
          <w:rFonts w:cs="Times"/>
          <w:i/>
          <w:iCs/>
          <w:sz w:val="16"/>
          <w:szCs w:val="16"/>
          <w:lang w:val="es-ES"/>
        </w:rPr>
        <w:t xml:space="preserve"> Caso </w:t>
      </w:r>
      <w:proofErr w:type="spellStart"/>
      <w:r w:rsidRPr="00143D29">
        <w:rPr>
          <w:rFonts w:cs="Times"/>
          <w:i/>
          <w:iCs/>
          <w:sz w:val="16"/>
          <w:szCs w:val="16"/>
          <w:lang w:val="es-ES"/>
        </w:rPr>
        <w:t>Olaru</w:t>
      </w:r>
      <w:proofErr w:type="spellEnd"/>
      <w:r w:rsidRPr="00143D29">
        <w:rPr>
          <w:rFonts w:cs="Times"/>
          <w:i/>
          <w:iCs/>
          <w:sz w:val="16"/>
          <w:szCs w:val="16"/>
          <w:lang w:val="es-ES"/>
        </w:rPr>
        <w:t xml:space="preserve"> y otros Vs. Moldavia</w:t>
      </w:r>
      <w:r w:rsidRPr="00143D29">
        <w:rPr>
          <w:rFonts w:cs="Times"/>
          <w:sz w:val="16"/>
          <w:szCs w:val="16"/>
          <w:lang w:val="es-ES"/>
        </w:rPr>
        <w:t xml:space="preserve">, No. 476/07, 22539/05, 17911/08 y 13136/07, Sentencia de 28 de julio de 2009;  </w:t>
      </w:r>
      <w:r w:rsidRPr="00143D29">
        <w:rPr>
          <w:rFonts w:cs="Times"/>
          <w:iCs/>
          <w:sz w:val="16"/>
          <w:szCs w:val="16"/>
          <w:lang w:val="es-ES"/>
        </w:rPr>
        <w:t>7.</w:t>
      </w:r>
      <w:r w:rsidRPr="00143D29">
        <w:rPr>
          <w:rFonts w:cs="Times"/>
          <w:i/>
          <w:iCs/>
          <w:sz w:val="16"/>
          <w:szCs w:val="16"/>
          <w:lang w:val="es-ES"/>
        </w:rPr>
        <w:t xml:space="preserve"> Caso </w:t>
      </w:r>
      <w:proofErr w:type="spellStart"/>
      <w:r w:rsidRPr="00143D29">
        <w:rPr>
          <w:rFonts w:cs="Times"/>
          <w:i/>
          <w:iCs/>
          <w:sz w:val="16"/>
          <w:szCs w:val="16"/>
          <w:lang w:val="es-ES"/>
        </w:rPr>
        <w:t>Yurig</w:t>
      </w:r>
      <w:proofErr w:type="spellEnd"/>
      <w:r w:rsidRPr="00143D29">
        <w:rPr>
          <w:rFonts w:cs="Times"/>
          <w:i/>
          <w:iCs/>
          <w:sz w:val="16"/>
          <w:szCs w:val="16"/>
          <w:lang w:val="es-ES"/>
        </w:rPr>
        <w:t xml:space="preserve"> </w:t>
      </w:r>
      <w:proofErr w:type="spellStart"/>
      <w:r w:rsidRPr="00143D29">
        <w:rPr>
          <w:rFonts w:cs="Times"/>
          <w:i/>
          <w:iCs/>
          <w:sz w:val="16"/>
          <w:szCs w:val="16"/>
          <w:lang w:val="es-ES"/>
        </w:rPr>
        <w:t>Nikolayevich</w:t>
      </w:r>
      <w:proofErr w:type="spellEnd"/>
      <w:r w:rsidRPr="00143D29">
        <w:rPr>
          <w:rFonts w:cs="Times"/>
          <w:i/>
          <w:iCs/>
          <w:sz w:val="16"/>
          <w:szCs w:val="16"/>
          <w:lang w:val="es-ES"/>
        </w:rPr>
        <w:t xml:space="preserve"> Ivanov Vs. Ucrania</w:t>
      </w:r>
      <w:r w:rsidRPr="00143D29">
        <w:rPr>
          <w:rFonts w:cs="Times"/>
          <w:sz w:val="16"/>
          <w:szCs w:val="16"/>
          <w:lang w:val="es-ES"/>
        </w:rPr>
        <w:t xml:space="preserve">, No. 40450/04, Sentencia de 15 de octubre de 2009; </w:t>
      </w:r>
      <w:r w:rsidRPr="00143D29">
        <w:rPr>
          <w:bCs/>
          <w:sz w:val="16"/>
          <w:szCs w:val="16"/>
        </w:rPr>
        <w:t xml:space="preserve">8. Caso </w:t>
      </w:r>
      <w:proofErr w:type="spellStart"/>
      <w:r w:rsidRPr="00143D29">
        <w:rPr>
          <w:bCs/>
          <w:i/>
          <w:sz w:val="16"/>
          <w:szCs w:val="16"/>
        </w:rPr>
        <w:t>Rumpf</w:t>
      </w:r>
      <w:proofErr w:type="spellEnd"/>
      <w:r w:rsidRPr="00143D29">
        <w:rPr>
          <w:bCs/>
          <w:i/>
          <w:sz w:val="16"/>
          <w:szCs w:val="16"/>
        </w:rPr>
        <w:t xml:space="preserve"> Vs. Alemania, </w:t>
      </w:r>
      <w:r w:rsidRPr="00143D29">
        <w:rPr>
          <w:bCs/>
          <w:sz w:val="16"/>
          <w:szCs w:val="16"/>
        </w:rPr>
        <w:t xml:space="preserve">No. 46344/06, Sentencia de 2 de septiembre de 2010; 9. </w:t>
      </w:r>
      <w:r w:rsidRPr="00143D29">
        <w:rPr>
          <w:bCs/>
          <w:i/>
          <w:sz w:val="16"/>
          <w:szCs w:val="16"/>
        </w:rPr>
        <w:t xml:space="preserve">Caso </w:t>
      </w:r>
      <w:proofErr w:type="spellStart"/>
      <w:r w:rsidRPr="00143D29">
        <w:rPr>
          <w:bCs/>
          <w:i/>
          <w:sz w:val="16"/>
          <w:szCs w:val="16"/>
        </w:rPr>
        <w:t>Athanasiou</w:t>
      </w:r>
      <w:proofErr w:type="spellEnd"/>
      <w:r w:rsidRPr="00143D29">
        <w:rPr>
          <w:bCs/>
          <w:i/>
          <w:sz w:val="16"/>
          <w:szCs w:val="16"/>
        </w:rPr>
        <w:t xml:space="preserve"> and </w:t>
      </w:r>
      <w:proofErr w:type="spellStart"/>
      <w:r w:rsidRPr="00143D29">
        <w:rPr>
          <w:bCs/>
          <w:i/>
          <w:sz w:val="16"/>
          <w:szCs w:val="16"/>
        </w:rPr>
        <w:t>Others</w:t>
      </w:r>
      <w:proofErr w:type="spellEnd"/>
      <w:r w:rsidRPr="00143D29">
        <w:rPr>
          <w:bCs/>
          <w:i/>
          <w:sz w:val="16"/>
          <w:szCs w:val="16"/>
        </w:rPr>
        <w:t xml:space="preserve"> Vs. Grecia</w:t>
      </w:r>
      <w:r w:rsidRPr="00143D29">
        <w:rPr>
          <w:bCs/>
          <w:sz w:val="16"/>
          <w:szCs w:val="16"/>
        </w:rPr>
        <w:t xml:space="preserve">, No. </w:t>
      </w:r>
      <w:r w:rsidRPr="00143D29">
        <w:rPr>
          <w:rFonts w:cs="Verdana"/>
          <w:sz w:val="16"/>
          <w:szCs w:val="16"/>
          <w:lang w:val="es-ES"/>
        </w:rPr>
        <w:t>50973/08</w:t>
      </w:r>
      <w:r w:rsidRPr="00143D29">
        <w:rPr>
          <w:bCs/>
          <w:sz w:val="16"/>
          <w:szCs w:val="16"/>
        </w:rPr>
        <w:t xml:space="preserve">, Sentencia de 21 de diciembre de 2010; 10. </w:t>
      </w:r>
      <w:r w:rsidRPr="00143D29">
        <w:rPr>
          <w:bCs/>
          <w:i/>
          <w:sz w:val="16"/>
          <w:szCs w:val="16"/>
        </w:rPr>
        <w:t xml:space="preserve">Caso </w:t>
      </w:r>
      <w:proofErr w:type="spellStart"/>
      <w:r w:rsidRPr="00143D29">
        <w:rPr>
          <w:bCs/>
          <w:i/>
          <w:sz w:val="16"/>
          <w:szCs w:val="16"/>
        </w:rPr>
        <w:t>Greens</w:t>
      </w:r>
      <w:proofErr w:type="spellEnd"/>
      <w:r w:rsidRPr="00143D29">
        <w:rPr>
          <w:bCs/>
          <w:i/>
          <w:sz w:val="16"/>
          <w:szCs w:val="16"/>
        </w:rPr>
        <w:t xml:space="preserve"> and M.T. Vs. Reino Unido,</w:t>
      </w:r>
      <w:r w:rsidRPr="00143D29">
        <w:rPr>
          <w:bCs/>
          <w:sz w:val="16"/>
          <w:szCs w:val="16"/>
        </w:rPr>
        <w:t xml:space="preserve"> No. </w:t>
      </w:r>
      <w:r w:rsidRPr="00143D29">
        <w:rPr>
          <w:rFonts w:cs="Verdana"/>
          <w:sz w:val="16"/>
          <w:szCs w:val="16"/>
          <w:lang w:val="es-ES"/>
        </w:rPr>
        <w:t>60041/08 y 60054/08</w:t>
      </w:r>
      <w:r w:rsidRPr="00143D29">
        <w:rPr>
          <w:bCs/>
          <w:sz w:val="16"/>
          <w:szCs w:val="16"/>
        </w:rPr>
        <w:t xml:space="preserve">, Sentencia de 23 de noviembre de 2010; 11. </w:t>
      </w:r>
      <w:r w:rsidRPr="00143D29">
        <w:rPr>
          <w:rFonts w:cs="Times"/>
          <w:i/>
          <w:iCs/>
          <w:sz w:val="16"/>
          <w:szCs w:val="16"/>
          <w:lang w:val="es-ES"/>
        </w:rPr>
        <w:t xml:space="preserve">Caso </w:t>
      </w:r>
      <w:proofErr w:type="spellStart"/>
      <w:r w:rsidRPr="00143D29">
        <w:rPr>
          <w:rFonts w:cs="Times"/>
          <w:i/>
          <w:iCs/>
          <w:sz w:val="16"/>
          <w:szCs w:val="16"/>
          <w:lang w:val="es-ES"/>
        </w:rPr>
        <w:t>Maria</w:t>
      </w:r>
      <w:proofErr w:type="spellEnd"/>
      <w:r w:rsidRPr="00143D29">
        <w:rPr>
          <w:rFonts w:cs="Times"/>
          <w:i/>
          <w:iCs/>
          <w:sz w:val="16"/>
          <w:szCs w:val="16"/>
          <w:lang w:val="es-ES"/>
        </w:rPr>
        <w:t xml:space="preserve"> </w:t>
      </w:r>
      <w:proofErr w:type="spellStart"/>
      <w:r w:rsidRPr="00143D29">
        <w:rPr>
          <w:rFonts w:cs="Times"/>
          <w:i/>
          <w:iCs/>
          <w:sz w:val="16"/>
          <w:szCs w:val="16"/>
          <w:lang w:val="es-ES"/>
        </w:rPr>
        <w:t>Atanasiu</w:t>
      </w:r>
      <w:proofErr w:type="spellEnd"/>
      <w:r w:rsidRPr="00143D29">
        <w:rPr>
          <w:rFonts w:cs="Times"/>
          <w:i/>
          <w:iCs/>
          <w:sz w:val="16"/>
          <w:szCs w:val="16"/>
          <w:lang w:val="es-ES"/>
        </w:rPr>
        <w:t xml:space="preserve"> y otros Vs. Rumanía</w:t>
      </w:r>
      <w:r w:rsidRPr="00143D29">
        <w:rPr>
          <w:rFonts w:cs="Times"/>
          <w:sz w:val="16"/>
          <w:szCs w:val="16"/>
          <w:lang w:val="es-ES"/>
        </w:rPr>
        <w:t xml:space="preserve">, No. 30767/05 y 33800/06, Sentencia de 12 de octubre de 2010; 12. </w:t>
      </w:r>
      <w:r w:rsidRPr="00143D29">
        <w:rPr>
          <w:rFonts w:cs="Times"/>
          <w:i/>
          <w:sz w:val="16"/>
          <w:szCs w:val="16"/>
          <w:lang w:val="es-ES"/>
        </w:rPr>
        <w:t xml:space="preserve">Caso </w:t>
      </w:r>
      <w:proofErr w:type="spellStart"/>
      <w:r w:rsidRPr="00143D29">
        <w:rPr>
          <w:rFonts w:cs="Times"/>
          <w:i/>
          <w:iCs/>
          <w:sz w:val="16"/>
          <w:szCs w:val="16"/>
          <w:lang w:val="es-ES"/>
        </w:rPr>
        <w:t>Vassilios</w:t>
      </w:r>
      <w:proofErr w:type="spellEnd"/>
      <w:r w:rsidRPr="00143D29">
        <w:rPr>
          <w:rFonts w:cs="Times"/>
          <w:i/>
          <w:iCs/>
          <w:sz w:val="16"/>
          <w:szCs w:val="16"/>
          <w:lang w:val="es-ES"/>
        </w:rPr>
        <w:t xml:space="preserve"> </w:t>
      </w:r>
      <w:proofErr w:type="spellStart"/>
      <w:r w:rsidRPr="00143D29">
        <w:rPr>
          <w:rFonts w:cs="Times"/>
          <w:i/>
          <w:iCs/>
          <w:sz w:val="16"/>
          <w:szCs w:val="16"/>
          <w:lang w:val="es-ES"/>
        </w:rPr>
        <w:t>Athanasiou</w:t>
      </w:r>
      <w:proofErr w:type="spellEnd"/>
      <w:r w:rsidRPr="00143D29">
        <w:rPr>
          <w:rFonts w:cs="Times"/>
          <w:i/>
          <w:iCs/>
          <w:sz w:val="16"/>
          <w:szCs w:val="16"/>
          <w:lang w:val="es-ES"/>
        </w:rPr>
        <w:t xml:space="preserve"> Vs. Grecia</w:t>
      </w:r>
      <w:r w:rsidRPr="00143D29">
        <w:rPr>
          <w:rFonts w:cs="Times"/>
          <w:sz w:val="16"/>
          <w:szCs w:val="16"/>
          <w:lang w:val="es-ES"/>
        </w:rPr>
        <w:t xml:space="preserve">, No. 50973/08, Sentencia de 21 de diciembre de 2010;  13. </w:t>
      </w:r>
      <w:r w:rsidRPr="00143D29">
        <w:rPr>
          <w:rFonts w:cs="Times"/>
          <w:i/>
          <w:sz w:val="16"/>
          <w:szCs w:val="16"/>
          <w:lang w:val="es-ES"/>
        </w:rPr>
        <w:t xml:space="preserve">Caso </w:t>
      </w:r>
      <w:r w:rsidRPr="00143D29">
        <w:rPr>
          <w:rFonts w:cs="Times"/>
          <w:i/>
          <w:iCs/>
          <w:sz w:val="16"/>
          <w:szCs w:val="16"/>
          <w:lang w:val="es-ES"/>
        </w:rPr>
        <w:t xml:space="preserve">Dimitrov y </w:t>
      </w:r>
      <w:proofErr w:type="spellStart"/>
      <w:r w:rsidRPr="00143D29">
        <w:rPr>
          <w:rFonts w:cs="Times"/>
          <w:i/>
          <w:iCs/>
          <w:sz w:val="16"/>
          <w:szCs w:val="16"/>
          <w:lang w:val="es-ES"/>
        </w:rPr>
        <w:t>Hamanov</w:t>
      </w:r>
      <w:proofErr w:type="spellEnd"/>
      <w:r w:rsidRPr="00143D29">
        <w:rPr>
          <w:rFonts w:cs="Times"/>
          <w:i/>
          <w:iCs/>
          <w:sz w:val="16"/>
          <w:szCs w:val="16"/>
          <w:lang w:val="es-ES"/>
        </w:rPr>
        <w:t xml:space="preserve"> Vs. Bulgaria</w:t>
      </w:r>
      <w:r w:rsidRPr="00143D29">
        <w:rPr>
          <w:rFonts w:cs="Times"/>
          <w:sz w:val="16"/>
          <w:szCs w:val="16"/>
          <w:lang w:val="es-ES"/>
        </w:rPr>
        <w:t xml:space="preserve">, No. 48059/06, Sentencia de 10 de mayo de 2011; 14. </w:t>
      </w:r>
      <w:r w:rsidRPr="00143D29">
        <w:rPr>
          <w:rFonts w:cs="Times"/>
          <w:i/>
          <w:sz w:val="16"/>
          <w:szCs w:val="16"/>
          <w:lang w:val="es-ES"/>
        </w:rPr>
        <w:t xml:space="preserve">Caso </w:t>
      </w:r>
      <w:r w:rsidRPr="00143D29">
        <w:rPr>
          <w:rFonts w:cs="Times"/>
          <w:i/>
          <w:iCs/>
          <w:sz w:val="16"/>
          <w:szCs w:val="16"/>
          <w:lang w:val="es-ES"/>
        </w:rPr>
        <w:t>Finger Vs. Bulgaria</w:t>
      </w:r>
      <w:r w:rsidRPr="00143D29">
        <w:rPr>
          <w:rFonts w:cs="Times"/>
          <w:sz w:val="16"/>
          <w:szCs w:val="16"/>
          <w:lang w:val="es-ES"/>
        </w:rPr>
        <w:t xml:space="preserve">, No. 37346/05, Sentencia de 10 de mayo de 2011; 15. </w:t>
      </w:r>
      <w:r w:rsidRPr="00143D29">
        <w:rPr>
          <w:rFonts w:cs="Times"/>
          <w:i/>
          <w:sz w:val="16"/>
          <w:szCs w:val="16"/>
          <w:lang w:val="es-ES"/>
        </w:rPr>
        <w:t xml:space="preserve">Caso </w:t>
      </w:r>
      <w:proofErr w:type="spellStart"/>
      <w:r w:rsidRPr="00143D29">
        <w:rPr>
          <w:bCs/>
          <w:i/>
          <w:sz w:val="16"/>
          <w:szCs w:val="16"/>
        </w:rPr>
        <w:t>Ümmühan</w:t>
      </w:r>
      <w:proofErr w:type="spellEnd"/>
      <w:r w:rsidRPr="00143D29">
        <w:rPr>
          <w:bCs/>
          <w:i/>
          <w:sz w:val="16"/>
          <w:szCs w:val="16"/>
        </w:rPr>
        <w:t xml:space="preserve"> Kaplan Vs. Turquía</w:t>
      </w:r>
      <w:r w:rsidRPr="00143D29">
        <w:rPr>
          <w:bCs/>
          <w:sz w:val="16"/>
          <w:szCs w:val="16"/>
        </w:rPr>
        <w:t xml:space="preserve">, No. 24240/07, Sentencia de 20 de marzo de 2012; 16. </w:t>
      </w:r>
      <w:r w:rsidRPr="00143D29">
        <w:rPr>
          <w:bCs/>
          <w:i/>
          <w:sz w:val="16"/>
          <w:szCs w:val="16"/>
        </w:rPr>
        <w:t xml:space="preserve">Caso </w:t>
      </w:r>
      <w:proofErr w:type="spellStart"/>
      <w:r w:rsidRPr="00143D29">
        <w:rPr>
          <w:bCs/>
          <w:i/>
          <w:sz w:val="16"/>
          <w:szCs w:val="16"/>
        </w:rPr>
        <w:t>Michelioudakis</w:t>
      </w:r>
      <w:proofErr w:type="spellEnd"/>
      <w:r w:rsidRPr="00143D29">
        <w:rPr>
          <w:bCs/>
          <w:i/>
          <w:sz w:val="16"/>
          <w:szCs w:val="16"/>
        </w:rPr>
        <w:t xml:space="preserve"> Vs. Grecia, </w:t>
      </w:r>
      <w:r w:rsidRPr="00143D29">
        <w:rPr>
          <w:bCs/>
          <w:sz w:val="16"/>
          <w:szCs w:val="16"/>
        </w:rPr>
        <w:t xml:space="preserve">No. 40150/09, Sentencia de 3 de abril de 2012; 17. </w:t>
      </w:r>
      <w:r w:rsidRPr="00143D29">
        <w:rPr>
          <w:bCs/>
          <w:i/>
          <w:sz w:val="16"/>
          <w:szCs w:val="16"/>
        </w:rPr>
        <w:t xml:space="preserve">Caso </w:t>
      </w:r>
      <w:proofErr w:type="spellStart"/>
      <w:r w:rsidRPr="00143D29">
        <w:rPr>
          <w:bCs/>
          <w:i/>
          <w:sz w:val="16"/>
          <w:szCs w:val="16"/>
        </w:rPr>
        <w:t>Glykantzi</w:t>
      </w:r>
      <w:proofErr w:type="spellEnd"/>
      <w:r w:rsidRPr="00143D29">
        <w:rPr>
          <w:bCs/>
          <w:i/>
          <w:sz w:val="16"/>
          <w:szCs w:val="16"/>
        </w:rPr>
        <w:t xml:space="preserve"> Vs. Grecia</w:t>
      </w:r>
      <w:r w:rsidRPr="00143D29">
        <w:rPr>
          <w:bCs/>
          <w:sz w:val="16"/>
          <w:szCs w:val="16"/>
        </w:rPr>
        <w:t xml:space="preserve">, No. 40150/09, Sentencia de 30 de octubre de 2012; 18. Caso </w:t>
      </w:r>
      <w:proofErr w:type="spellStart"/>
      <w:r w:rsidRPr="00143D29">
        <w:rPr>
          <w:bCs/>
          <w:sz w:val="16"/>
          <w:szCs w:val="16"/>
        </w:rPr>
        <w:t>Kuric</w:t>
      </w:r>
      <w:proofErr w:type="spellEnd"/>
      <w:r w:rsidRPr="00143D29">
        <w:rPr>
          <w:bCs/>
          <w:sz w:val="16"/>
          <w:szCs w:val="16"/>
        </w:rPr>
        <w:t xml:space="preserve">́ y Otros </w:t>
      </w:r>
      <w:r w:rsidRPr="00143D29">
        <w:rPr>
          <w:bCs/>
          <w:i/>
          <w:sz w:val="16"/>
          <w:szCs w:val="16"/>
        </w:rPr>
        <w:t>Vs.</w:t>
      </w:r>
      <w:r w:rsidRPr="00143D29">
        <w:rPr>
          <w:bCs/>
          <w:sz w:val="16"/>
          <w:szCs w:val="16"/>
        </w:rPr>
        <w:t xml:space="preserve"> Eslovenia, No. 26828/06, Sentencia de 26 de </w:t>
      </w:r>
      <w:r w:rsidRPr="00143D29">
        <w:rPr>
          <w:bCs/>
          <w:spacing w:val="-2"/>
          <w:sz w:val="16"/>
          <w:szCs w:val="16"/>
        </w:rPr>
        <w:t xml:space="preserve">junio de </w:t>
      </w:r>
      <w:r w:rsidRPr="00143D29">
        <w:rPr>
          <w:spacing w:val="-2"/>
          <w:sz w:val="16"/>
          <w:szCs w:val="16"/>
        </w:rPr>
        <w:t xml:space="preserve">2012; </w:t>
      </w:r>
      <w:r w:rsidRPr="00143D29">
        <w:rPr>
          <w:bCs/>
          <w:spacing w:val="-2"/>
          <w:sz w:val="16"/>
          <w:szCs w:val="16"/>
        </w:rPr>
        <w:t xml:space="preserve">19. </w:t>
      </w:r>
      <w:r w:rsidRPr="00143D29">
        <w:rPr>
          <w:bCs/>
          <w:i/>
          <w:spacing w:val="-2"/>
          <w:sz w:val="16"/>
          <w:szCs w:val="16"/>
        </w:rPr>
        <w:t xml:space="preserve">Caso </w:t>
      </w:r>
      <w:proofErr w:type="spellStart"/>
      <w:r w:rsidRPr="00143D29">
        <w:rPr>
          <w:bCs/>
          <w:spacing w:val="-2"/>
          <w:sz w:val="16"/>
          <w:szCs w:val="16"/>
        </w:rPr>
        <w:t>Ananyev</w:t>
      </w:r>
      <w:proofErr w:type="spellEnd"/>
      <w:r w:rsidRPr="00143D29">
        <w:rPr>
          <w:bCs/>
          <w:spacing w:val="-2"/>
          <w:sz w:val="16"/>
          <w:szCs w:val="16"/>
        </w:rPr>
        <w:t xml:space="preserve"> y Otros Vs. Rusia, No. </w:t>
      </w:r>
      <w:r w:rsidRPr="00143D29">
        <w:rPr>
          <w:rFonts w:cs="Verdana"/>
          <w:spacing w:val="-2"/>
          <w:sz w:val="16"/>
          <w:szCs w:val="16"/>
          <w:lang w:val="es-ES"/>
        </w:rPr>
        <w:t>42525/07 y 60800/08</w:t>
      </w:r>
      <w:r w:rsidRPr="00143D29">
        <w:rPr>
          <w:rFonts w:cs="Times"/>
          <w:spacing w:val="-2"/>
          <w:sz w:val="16"/>
          <w:szCs w:val="16"/>
          <w:lang w:val="es-ES"/>
        </w:rPr>
        <w:t xml:space="preserve">, </w:t>
      </w:r>
      <w:r w:rsidRPr="00143D29">
        <w:rPr>
          <w:bCs/>
          <w:spacing w:val="-2"/>
          <w:sz w:val="16"/>
          <w:szCs w:val="16"/>
        </w:rPr>
        <w:t xml:space="preserve">Sentencia 10 de enero de </w:t>
      </w:r>
      <w:r w:rsidRPr="00143D29">
        <w:rPr>
          <w:spacing w:val="-2"/>
          <w:sz w:val="16"/>
          <w:szCs w:val="16"/>
        </w:rPr>
        <w:t xml:space="preserve">2012; </w:t>
      </w:r>
      <w:r w:rsidRPr="00143D29">
        <w:rPr>
          <w:bCs/>
          <w:spacing w:val="-2"/>
          <w:sz w:val="16"/>
          <w:szCs w:val="16"/>
        </w:rPr>
        <w:t xml:space="preserve">20. </w:t>
      </w:r>
      <w:r w:rsidRPr="00143D29">
        <w:rPr>
          <w:bCs/>
          <w:i/>
          <w:spacing w:val="-2"/>
          <w:sz w:val="16"/>
          <w:szCs w:val="16"/>
        </w:rPr>
        <w:t xml:space="preserve">Caso </w:t>
      </w:r>
      <w:proofErr w:type="spellStart"/>
      <w:r w:rsidRPr="00143D29">
        <w:rPr>
          <w:bCs/>
          <w:i/>
          <w:spacing w:val="-2"/>
          <w:sz w:val="16"/>
          <w:szCs w:val="16"/>
        </w:rPr>
        <w:t>Manushaqe</w:t>
      </w:r>
      <w:proofErr w:type="spellEnd"/>
      <w:r w:rsidRPr="00143D29">
        <w:rPr>
          <w:bCs/>
          <w:i/>
          <w:spacing w:val="-2"/>
          <w:sz w:val="16"/>
          <w:szCs w:val="16"/>
        </w:rPr>
        <w:t xml:space="preserve"> Puto y Otros Vs. Albania, </w:t>
      </w:r>
      <w:r w:rsidRPr="00143D29">
        <w:rPr>
          <w:bCs/>
          <w:spacing w:val="-2"/>
          <w:sz w:val="16"/>
          <w:szCs w:val="16"/>
        </w:rPr>
        <w:t xml:space="preserve">No. </w:t>
      </w:r>
      <w:r w:rsidRPr="00143D29">
        <w:rPr>
          <w:rFonts w:cs="Verdana"/>
          <w:spacing w:val="-2"/>
          <w:sz w:val="16"/>
          <w:szCs w:val="16"/>
          <w:lang w:val="es-ES"/>
        </w:rPr>
        <w:t xml:space="preserve">604/07, 43628/07, 46684/07 y 34770/09; </w:t>
      </w:r>
      <w:r w:rsidRPr="00143D29">
        <w:rPr>
          <w:bCs/>
          <w:spacing w:val="-2"/>
          <w:sz w:val="16"/>
          <w:szCs w:val="16"/>
        </w:rPr>
        <w:t xml:space="preserve">Sentencia de 31 de julio de 2012; 21. </w:t>
      </w:r>
      <w:r w:rsidRPr="00143D29">
        <w:rPr>
          <w:bCs/>
          <w:i/>
          <w:spacing w:val="-2"/>
          <w:sz w:val="16"/>
          <w:szCs w:val="16"/>
        </w:rPr>
        <w:t xml:space="preserve">Caso </w:t>
      </w:r>
      <w:proofErr w:type="spellStart"/>
      <w:r w:rsidRPr="00143D29">
        <w:rPr>
          <w:bCs/>
          <w:i/>
          <w:spacing w:val="-2"/>
          <w:sz w:val="16"/>
          <w:szCs w:val="16"/>
        </w:rPr>
        <w:t>Torreggiani</w:t>
      </w:r>
      <w:proofErr w:type="spellEnd"/>
      <w:r w:rsidRPr="00143D29">
        <w:rPr>
          <w:bCs/>
          <w:i/>
          <w:spacing w:val="-2"/>
          <w:sz w:val="16"/>
          <w:szCs w:val="16"/>
        </w:rPr>
        <w:t xml:space="preserve"> y Otros Vs. Italia, </w:t>
      </w:r>
      <w:r w:rsidRPr="00143D29">
        <w:rPr>
          <w:bCs/>
          <w:spacing w:val="-2"/>
          <w:sz w:val="16"/>
          <w:szCs w:val="16"/>
        </w:rPr>
        <w:t xml:space="preserve">No. </w:t>
      </w:r>
      <w:r w:rsidRPr="00143D29">
        <w:rPr>
          <w:rFonts w:cs="Verdana"/>
          <w:spacing w:val="-2"/>
          <w:sz w:val="16"/>
          <w:szCs w:val="16"/>
          <w:lang w:val="es-ES"/>
        </w:rPr>
        <w:t>43517/09</w:t>
      </w:r>
      <w:r w:rsidRPr="00143D29">
        <w:rPr>
          <w:bCs/>
          <w:spacing w:val="-2"/>
          <w:sz w:val="16"/>
          <w:szCs w:val="16"/>
        </w:rPr>
        <w:t>, Sentencia de 8 de enero de 2013; 22</w:t>
      </w:r>
      <w:r w:rsidRPr="00143D29">
        <w:rPr>
          <w:bCs/>
          <w:sz w:val="16"/>
          <w:szCs w:val="16"/>
        </w:rPr>
        <w:t xml:space="preserve">. </w:t>
      </w:r>
      <w:r w:rsidRPr="00143D29">
        <w:rPr>
          <w:bCs/>
          <w:i/>
          <w:sz w:val="16"/>
          <w:szCs w:val="16"/>
        </w:rPr>
        <w:t>Caso M.C. y Otros Vs. Italia</w:t>
      </w:r>
      <w:r w:rsidRPr="00143D29">
        <w:rPr>
          <w:bCs/>
          <w:sz w:val="16"/>
          <w:szCs w:val="16"/>
        </w:rPr>
        <w:t xml:space="preserve">, No. 5376/11, Sentencia de 3 de septiembre de 2013; 23. </w:t>
      </w:r>
      <w:r w:rsidRPr="00143D29">
        <w:rPr>
          <w:bCs/>
          <w:i/>
          <w:sz w:val="16"/>
          <w:szCs w:val="16"/>
        </w:rPr>
        <w:t xml:space="preserve">Caso </w:t>
      </w:r>
      <w:proofErr w:type="spellStart"/>
      <w:r w:rsidRPr="00143D29">
        <w:rPr>
          <w:bCs/>
          <w:i/>
          <w:sz w:val="16"/>
          <w:szCs w:val="16"/>
        </w:rPr>
        <w:t>Gerasimov</w:t>
      </w:r>
      <w:proofErr w:type="spellEnd"/>
      <w:r w:rsidRPr="00143D29">
        <w:rPr>
          <w:bCs/>
          <w:i/>
          <w:sz w:val="16"/>
          <w:szCs w:val="16"/>
        </w:rPr>
        <w:t xml:space="preserve"> ay Otros Vs. Rusia, </w:t>
      </w:r>
      <w:r w:rsidRPr="00143D29">
        <w:rPr>
          <w:bCs/>
          <w:sz w:val="16"/>
          <w:szCs w:val="16"/>
        </w:rPr>
        <w:t xml:space="preserve">No. </w:t>
      </w:r>
      <w:r w:rsidRPr="00143D29">
        <w:rPr>
          <w:rFonts w:cs="Calibri"/>
          <w:sz w:val="16"/>
          <w:szCs w:val="16"/>
          <w:lang w:val="es-ES"/>
        </w:rPr>
        <w:t>29920/05, 3553/06, 18876/10, 61186/10, 21176/11, 36112/11, 36426/11, 40841/11, 45381/11, 55929/11 y 60822/11</w:t>
      </w:r>
      <w:r w:rsidRPr="00143D29">
        <w:rPr>
          <w:bCs/>
          <w:sz w:val="16"/>
          <w:szCs w:val="16"/>
        </w:rPr>
        <w:t xml:space="preserve">, Sentencia de julio de 2014; 24. </w:t>
      </w:r>
      <w:r w:rsidRPr="00143D29">
        <w:rPr>
          <w:bCs/>
          <w:i/>
          <w:sz w:val="16"/>
          <w:szCs w:val="16"/>
        </w:rPr>
        <w:t xml:space="preserve">Caso </w:t>
      </w:r>
      <w:proofErr w:type="spellStart"/>
      <w:r w:rsidRPr="00143D29">
        <w:rPr>
          <w:bCs/>
          <w:i/>
          <w:sz w:val="16"/>
          <w:szCs w:val="16"/>
        </w:rPr>
        <w:t>Ali</w:t>
      </w:r>
      <w:r w:rsidRPr="00143D29">
        <w:rPr>
          <w:rFonts w:cs="Arial"/>
          <w:bCs/>
          <w:i/>
          <w:sz w:val="16"/>
          <w:szCs w:val="16"/>
        </w:rPr>
        <w:t>š</w:t>
      </w:r>
      <w:r w:rsidRPr="00143D29">
        <w:rPr>
          <w:bCs/>
          <w:i/>
          <w:sz w:val="16"/>
          <w:szCs w:val="16"/>
        </w:rPr>
        <w:t>i</w:t>
      </w:r>
      <w:r w:rsidRPr="00143D29">
        <w:rPr>
          <w:rFonts w:cs="Arial"/>
          <w:bCs/>
          <w:i/>
          <w:sz w:val="16"/>
          <w:szCs w:val="16"/>
        </w:rPr>
        <w:t>c</w:t>
      </w:r>
      <w:proofErr w:type="spellEnd"/>
      <w:r w:rsidRPr="00143D29">
        <w:rPr>
          <w:rFonts w:cs="Arial"/>
          <w:bCs/>
          <w:i/>
          <w:sz w:val="16"/>
          <w:szCs w:val="16"/>
        </w:rPr>
        <w:t xml:space="preserve">́ </w:t>
      </w:r>
      <w:r w:rsidRPr="00143D29">
        <w:rPr>
          <w:bCs/>
          <w:i/>
          <w:sz w:val="16"/>
          <w:szCs w:val="16"/>
        </w:rPr>
        <w:t>y Otros Vs. Bosnia y Herzegovina, Croacia, “</w:t>
      </w:r>
      <w:proofErr w:type="spellStart"/>
      <w:r w:rsidRPr="00143D29">
        <w:rPr>
          <w:bCs/>
          <w:i/>
          <w:sz w:val="16"/>
          <w:szCs w:val="16"/>
        </w:rPr>
        <w:t>the</w:t>
      </w:r>
      <w:proofErr w:type="spellEnd"/>
      <w:r w:rsidRPr="00143D29">
        <w:rPr>
          <w:bCs/>
          <w:i/>
          <w:sz w:val="16"/>
          <w:szCs w:val="16"/>
        </w:rPr>
        <w:t xml:space="preserve"> </w:t>
      </w:r>
      <w:proofErr w:type="spellStart"/>
      <w:r w:rsidRPr="00143D29">
        <w:rPr>
          <w:bCs/>
          <w:i/>
          <w:sz w:val="16"/>
          <w:szCs w:val="16"/>
        </w:rPr>
        <w:t>former</w:t>
      </w:r>
      <w:proofErr w:type="spellEnd"/>
      <w:r w:rsidRPr="00143D29">
        <w:rPr>
          <w:bCs/>
          <w:i/>
          <w:sz w:val="16"/>
          <w:szCs w:val="16"/>
        </w:rPr>
        <w:t xml:space="preserve"> </w:t>
      </w:r>
      <w:proofErr w:type="spellStart"/>
      <w:r w:rsidRPr="00143D29">
        <w:rPr>
          <w:bCs/>
          <w:i/>
          <w:sz w:val="16"/>
          <w:szCs w:val="16"/>
        </w:rPr>
        <w:t>Yugoslav</w:t>
      </w:r>
      <w:proofErr w:type="spellEnd"/>
      <w:r w:rsidRPr="00143D29">
        <w:rPr>
          <w:bCs/>
          <w:i/>
          <w:sz w:val="16"/>
          <w:szCs w:val="16"/>
        </w:rPr>
        <w:t xml:space="preserve"> </w:t>
      </w:r>
      <w:proofErr w:type="spellStart"/>
      <w:r w:rsidRPr="00143D29">
        <w:rPr>
          <w:bCs/>
          <w:i/>
          <w:sz w:val="16"/>
          <w:szCs w:val="16"/>
        </w:rPr>
        <w:t>Republic</w:t>
      </w:r>
      <w:proofErr w:type="spellEnd"/>
      <w:r w:rsidRPr="00143D29">
        <w:rPr>
          <w:bCs/>
          <w:i/>
          <w:sz w:val="16"/>
          <w:szCs w:val="16"/>
        </w:rPr>
        <w:t xml:space="preserve"> </w:t>
      </w:r>
      <w:proofErr w:type="spellStart"/>
      <w:r w:rsidRPr="00143D29">
        <w:rPr>
          <w:bCs/>
          <w:i/>
          <w:sz w:val="16"/>
          <w:szCs w:val="16"/>
        </w:rPr>
        <w:t>of</w:t>
      </w:r>
      <w:proofErr w:type="spellEnd"/>
      <w:r w:rsidRPr="00143D29">
        <w:rPr>
          <w:bCs/>
          <w:i/>
          <w:sz w:val="16"/>
          <w:szCs w:val="16"/>
        </w:rPr>
        <w:t xml:space="preserve"> Macedonia”, Serbia y Eslovenia, </w:t>
      </w:r>
      <w:r w:rsidRPr="00143D29">
        <w:rPr>
          <w:bCs/>
          <w:sz w:val="16"/>
          <w:szCs w:val="16"/>
        </w:rPr>
        <w:t>No. 60642/08,</w:t>
      </w:r>
      <w:r w:rsidRPr="00143D29">
        <w:rPr>
          <w:bCs/>
          <w:i/>
          <w:sz w:val="16"/>
          <w:szCs w:val="16"/>
        </w:rPr>
        <w:t xml:space="preserve"> </w:t>
      </w:r>
      <w:r w:rsidRPr="00143D29">
        <w:rPr>
          <w:bCs/>
          <w:sz w:val="16"/>
          <w:szCs w:val="16"/>
        </w:rPr>
        <w:t xml:space="preserve">Sentencia de 16 de julio de 2014;  25. </w:t>
      </w:r>
      <w:r w:rsidRPr="00143D29">
        <w:rPr>
          <w:bCs/>
          <w:i/>
          <w:sz w:val="16"/>
          <w:szCs w:val="16"/>
        </w:rPr>
        <w:t xml:space="preserve">Caso </w:t>
      </w:r>
      <w:proofErr w:type="spellStart"/>
      <w:r w:rsidRPr="00143D29">
        <w:rPr>
          <w:bCs/>
          <w:i/>
          <w:sz w:val="16"/>
          <w:szCs w:val="16"/>
        </w:rPr>
        <w:t>Gazso</w:t>
      </w:r>
      <w:proofErr w:type="spellEnd"/>
      <w:r w:rsidRPr="00143D29">
        <w:rPr>
          <w:bCs/>
          <w:i/>
          <w:sz w:val="16"/>
          <w:szCs w:val="16"/>
        </w:rPr>
        <w:t>́ Vs. Hungría</w:t>
      </w:r>
      <w:r w:rsidRPr="00143D29">
        <w:rPr>
          <w:bCs/>
          <w:sz w:val="16"/>
          <w:szCs w:val="16"/>
        </w:rPr>
        <w:t xml:space="preserve">, No. </w:t>
      </w:r>
      <w:r w:rsidRPr="00143D29">
        <w:rPr>
          <w:rFonts w:cs="Calibri"/>
          <w:sz w:val="16"/>
          <w:szCs w:val="16"/>
          <w:lang w:val="es-ES"/>
        </w:rPr>
        <w:t>48322/12</w:t>
      </w:r>
      <w:r w:rsidRPr="00143D29">
        <w:rPr>
          <w:bCs/>
          <w:sz w:val="16"/>
          <w:szCs w:val="16"/>
        </w:rPr>
        <w:t xml:space="preserve">, Sentencia de 16 de julio de 2015; 26. </w:t>
      </w:r>
      <w:r w:rsidRPr="00143D29">
        <w:rPr>
          <w:bCs/>
          <w:i/>
          <w:sz w:val="16"/>
          <w:szCs w:val="16"/>
        </w:rPr>
        <w:t xml:space="preserve">Caso </w:t>
      </w:r>
      <w:proofErr w:type="spellStart"/>
      <w:r w:rsidRPr="00143D29">
        <w:rPr>
          <w:bCs/>
          <w:i/>
          <w:sz w:val="16"/>
          <w:szCs w:val="16"/>
        </w:rPr>
        <w:t>Neshkov</w:t>
      </w:r>
      <w:proofErr w:type="spellEnd"/>
      <w:r w:rsidRPr="00143D29">
        <w:rPr>
          <w:bCs/>
          <w:i/>
          <w:sz w:val="16"/>
          <w:szCs w:val="16"/>
        </w:rPr>
        <w:t xml:space="preserve"> y Otros</w:t>
      </w:r>
      <w:r w:rsidRPr="00143D29">
        <w:rPr>
          <w:bCs/>
          <w:sz w:val="16"/>
          <w:szCs w:val="16"/>
        </w:rPr>
        <w:t xml:space="preserve"> </w:t>
      </w:r>
      <w:r w:rsidRPr="00143D29">
        <w:rPr>
          <w:bCs/>
          <w:i/>
          <w:sz w:val="16"/>
          <w:szCs w:val="16"/>
        </w:rPr>
        <w:t>Vs. Bulgaria</w:t>
      </w:r>
      <w:r w:rsidRPr="00143D29">
        <w:rPr>
          <w:bCs/>
          <w:sz w:val="16"/>
          <w:szCs w:val="16"/>
        </w:rPr>
        <w:t xml:space="preserve">, No. </w:t>
      </w:r>
      <w:r w:rsidRPr="00143D29">
        <w:rPr>
          <w:rFonts w:cs="Calibri"/>
          <w:sz w:val="16"/>
          <w:szCs w:val="16"/>
          <w:lang w:val="es-ES"/>
        </w:rPr>
        <w:t>36925/10, 21487/12, 72893/12, 73196/12, 77718/12 y 9717/13</w:t>
      </w:r>
      <w:r w:rsidRPr="00143D29">
        <w:rPr>
          <w:bCs/>
          <w:sz w:val="16"/>
          <w:szCs w:val="16"/>
        </w:rPr>
        <w:t xml:space="preserve">, Sentencia de 27 de enero de 2015; 27. </w:t>
      </w:r>
      <w:r w:rsidRPr="00143D29">
        <w:rPr>
          <w:bCs/>
          <w:i/>
          <w:sz w:val="16"/>
          <w:szCs w:val="16"/>
        </w:rPr>
        <w:t>Caso Varga y Otros Vs. Hungría</w:t>
      </w:r>
      <w:r w:rsidRPr="00143D29">
        <w:rPr>
          <w:bCs/>
          <w:sz w:val="16"/>
          <w:szCs w:val="16"/>
        </w:rPr>
        <w:t xml:space="preserve">, No. </w:t>
      </w:r>
      <w:r w:rsidRPr="00143D29">
        <w:rPr>
          <w:rFonts w:cs="Calibri"/>
          <w:sz w:val="16"/>
          <w:szCs w:val="16"/>
          <w:lang w:val="es-ES"/>
        </w:rPr>
        <w:t>14097/12, 45135/12, 73712/12, 34001/13, 44055/13 y 64586/13</w:t>
      </w:r>
      <w:r w:rsidRPr="00143D29">
        <w:rPr>
          <w:bCs/>
          <w:sz w:val="16"/>
          <w:szCs w:val="16"/>
        </w:rPr>
        <w:t>, Sentencia de 10 de marzo de 2015; y 28</w:t>
      </w:r>
      <w:r w:rsidRPr="00143D29">
        <w:rPr>
          <w:bCs/>
          <w:i/>
          <w:sz w:val="16"/>
          <w:szCs w:val="16"/>
        </w:rPr>
        <w:t xml:space="preserve">. Caso </w:t>
      </w:r>
      <w:r w:rsidRPr="00143D29">
        <w:rPr>
          <w:rFonts w:cs="Verdana"/>
          <w:bCs/>
          <w:i/>
          <w:sz w:val="16"/>
          <w:szCs w:val="16"/>
          <w:lang w:val="es-ES"/>
        </w:rPr>
        <w:t>W.D. Vs. Bélgica</w:t>
      </w:r>
      <w:r w:rsidRPr="00143D29">
        <w:rPr>
          <w:rFonts w:cs="Verdana"/>
          <w:bCs/>
          <w:sz w:val="16"/>
          <w:szCs w:val="16"/>
          <w:lang w:val="es-ES"/>
        </w:rPr>
        <w:t xml:space="preserve">, No. 73548/13. Sentencia de 6 de septiembre de 2016. </w:t>
      </w:r>
    </w:p>
    <w:p w14:paraId="2910D4EE" w14:textId="77777777" w:rsidR="00D4299B" w:rsidRPr="00143D29" w:rsidRDefault="00D4299B" w:rsidP="00130785">
      <w:pPr>
        <w:pStyle w:val="Textonotapie"/>
        <w:tabs>
          <w:tab w:val="left" w:pos="709"/>
        </w:tabs>
        <w:rPr>
          <w:lang w:val="es-ES_tradnl"/>
        </w:rPr>
      </w:pPr>
    </w:p>
  </w:footnote>
  <w:footnote w:id="625">
    <w:p w14:paraId="05C578B8" w14:textId="77777777" w:rsidR="00D4299B" w:rsidRPr="00143D29" w:rsidRDefault="00D4299B" w:rsidP="00130785">
      <w:pPr>
        <w:pStyle w:val="Prrafodelista"/>
        <w:tabs>
          <w:tab w:val="left" w:pos="709"/>
        </w:tabs>
        <w:ind w:left="0"/>
        <w:rPr>
          <w:rFonts w:cs="System Font Regular"/>
          <w:i/>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i/>
          <w:sz w:val="16"/>
          <w:szCs w:val="16"/>
          <w:lang w:val="es-ES_tradnl"/>
        </w:rPr>
        <w:t xml:space="preserve">Cfr. </w:t>
      </w:r>
      <w:r w:rsidRPr="00143D29">
        <w:rPr>
          <w:sz w:val="16"/>
          <w:szCs w:val="16"/>
          <w:lang w:val="es-ES_tradnl"/>
        </w:rPr>
        <w:t xml:space="preserve">Comité de Derechos Económicos, Sociales y Culturales, Observación General No. 20, </w:t>
      </w:r>
      <w:r w:rsidRPr="00143D29">
        <w:rPr>
          <w:i/>
          <w:sz w:val="16"/>
          <w:szCs w:val="16"/>
          <w:lang w:val="es-ES_tradnl"/>
        </w:rPr>
        <w:t>La no discriminación y los derechos económicos, sociales y culturales (artículo 2, párrafo 2 del Pacto Internacional de los Derechos Económicos, Sociales y Culturales)</w:t>
      </w:r>
      <w:r w:rsidRPr="00143D29">
        <w:rPr>
          <w:sz w:val="16"/>
          <w:szCs w:val="16"/>
          <w:lang w:val="es-ES_tradnl"/>
        </w:rPr>
        <w:t xml:space="preserve">, 2 de julio de 2009, E/C.12/GC/20, </w:t>
      </w:r>
      <w:r w:rsidRPr="00143D29">
        <w:rPr>
          <w:rFonts w:cs="System Font Regular"/>
          <w:color w:val="16191F"/>
          <w:sz w:val="16"/>
          <w:szCs w:val="16"/>
          <w:lang w:val="es-ES_tradnl"/>
        </w:rPr>
        <w:t>párr. 6.</w:t>
      </w:r>
    </w:p>
  </w:footnote>
  <w:footnote w:id="626">
    <w:p w14:paraId="03B4DE8C" w14:textId="77777777" w:rsidR="00D4299B" w:rsidRPr="00143D29" w:rsidRDefault="00D4299B" w:rsidP="00130785">
      <w:pPr>
        <w:pStyle w:val="NormalWeb"/>
        <w:tabs>
          <w:tab w:val="left" w:pos="709"/>
        </w:tabs>
        <w:jc w:val="both"/>
        <w:rPr>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t xml:space="preserve">ONU, </w:t>
      </w:r>
      <w:proofErr w:type="spellStart"/>
      <w:r w:rsidRPr="00143D29">
        <w:rPr>
          <w:sz w:val="16"/>
          <w:szCs w:val="16"/>
          <w:lang w:val="es-ES_tradnl"/>
        </w:rPr>
        <w:t>Comite</w:t>
      </w:r>
      <w:proofErr w:type="spellEnd"/>
      <w:r w:rsidRPr="00143D29">
        <w:rPr>
          <w:sz w:val="16"/>
          <w:szCs w:val="16"/>
          <w:lang w:val="es-ES_tradnl"/>
        </w:rPr>
        <w:t xml:space="preserve">́ para la </w:t>
      </w:r>
      <w:proofErr w:type="spellStart"/>
      <w:r w:rsidRPr="00143D29">
        <w:rPr>
          <w:sz w:val="16"/>
          <w:szCs w:val="16"/>
          <w:lang w:val="es-ES_tradnl"/>
        </w:rPr>
        <w:t>Eliminación</w:t>
      </w:r>
      <w:proofErr w:type="spellEnd"/>
      <w:r w:rsidRPr="00143D29">
        <w:rPr>
          <w:sz w:val="16"/>
          <w:szCs w:val="16"/>
          <w:lang w:val="es-ES_tradnl"/>
        </w:rPr>
        <w:t xml:space="preserve"> de la </w:t>
      </w:r>
      <w:proofErr w:type="spellStart"/>
      <w:r w:rsidRPr="00143D29">
        <w:rPr>
          <w:sz w:val="16"/>
          <w:szCs w:val="16"/>
          <w:lang w:val="es-ES_tradnl"/>
        </w:rPr>
        <w:t>Discriminación</w:t>
      </w:r>
      <w:proofErr w:type="spellEnd"/>
      <w:r w:rsidRPr="00143D29">
        <w:rPr>
          <w:sz w:val="16"/>
          <w:szCs w:val="16"/>
          <w:lang w:val="es-ES_tradnl"/>
        </w:rPr>
        <w:t xml:space="preserve"> contra la Mujer, </w:t>
      </w:r>
      <w:r w:rsidRPr="00143D29">
        <w:rPr>
          <w:rFonts w:cs="Times"/>
          <w:bCs/>
          <w:i/>
          <w:sz w:val="16"/>
          <w:szCs w:val="16"/>
          <w:lang w:val="es-ES_tradnl"/>
        </w:rPr>
        <w:t>Recomendación General No. 28 relativa a las obligaciones básicas de los Estados partes de conformidad con el artículo 2 de la Convención sobre la eliminación de todas las formas de discriminación contra la mujer</w:t>
      </w:r>
      <w:r w:rsidRPr="00143D29">
        <w:rPr>
          <w:rFonts w:cs="Times"/>
          <w:bCs/>
          <w:sz w:val="16"/>
          <w:szCs w:val="16"/>
          <w:lang w:val="es-ES_tradnl"/>
        </w:rPr>
        <w:t xml:space="preserve">, </w:t>
      </w:r>
      <w:r w:rsidRPr="00143D29">
        <w:rPr>
          <w:sz w:val="16"/>
          <w:szCs w:val="16"/>
          <w:lang w:val="es-ES_tradnl"/>
        </w:rPr>
        <w:t>16 de diciembre de 2010, CEDAW/C/GC/28, párr. 16</w:t>
      </w:r>
      <w:r w:rsidRPr="00143D29">
        <w:rPr>
          <w:rFonts w:cs="System Font Regular"/>
          <w:color w:val="16191F"/>
          <w:sz w:val="16"/>
          <w:szCs w:val="16"/>
          <w:lang w:val="es-ES_tradnl"/>
        </w:rPr>
        <w:t xml:space="preserve">. En igual sentido sobre la discriminación estructural que sufren las mujeres la Relatora Especial ha expresado que: </w:t>
      </w:r>
      <w:r w:rsidRPr="00143D29">
        <w:rPr>
          <w:i/>
          <w:sz w:val="16"/>
          <w:szCs w:val="16"/>
          <w:lang w:val="es-ES_tradnl"/>
        </w:rPr>
        <w:t xml:space="preserve">17. La discriminación y la violencia que se reflejan en los homicidios de mujeres relacionados con el género pueden interpretarse como múltiples círculos concéntricos, cada uno de los cuales </w:t>
      </w:r>
      <w:proofErr w:type="spellStart"/>
      <w:r w:rsidRPr="00143D29">
        <w:rPr>
          <w:i/>
          <w:sz w:val="16"/>
          <w:szCs w:val="16"/>
          <w:lang w:val="es-ES_tradnl"/>
        </w:rPr>
        <w:t>intersecta</w:t>
      </w:r>
      <w:proofErr w:type="spellEnd"/>
      <w:r w:rsidRPr="00143D29">
        <w:rPr>
          <w:i/>
          <w:sz w:val="16"/>
          <w:szCs w:val="16"/>
          <w:lang w:val="es-ES_tradnl"/>
        </w:rPr>
        <w:t xml:space="preserve"> el otro</w:t>
      </w:r>
      <w:r w:rsidRPr="00143D29">
        <w:rPr>
          <w:sz w:val="16"/>
          <w:szCs w:val="16"/>
          <w:lang w:val="es-ES_tradnl"/>
        </w:rPr>
        <w:t xml:space="preserve">. Estos círculos incluyen </w:t>
      </w:r>
      <w:r w:rsidRPr="00143D29">
        <w:rPr>
          <w:i/>
          <w:sz w:val="16"/>
          <w:szCs w:val="16"/>
          <w:lang w:val="es-ES_tradnl"/>
        </w:rPr>
        <w:t>factores estructurales, institucionales, interpersonales e individuales</w:t>
      </w:r>
      <w:r w:rsidRPr="00143D29">
        <w:rPr>
          <w:sz w:val="16"/>
          <w:szCs w:val="16"/>
          <w:lang w:val="es-ES_tradnl"/>
        </w:rPr>
        <w:t xml:space="preserve">. Los </w:t>
      </w:r>
      <w:r w:rsidRPr="00143D29">
        <w:rPr>
          <w:i/>
          <w:sz w:val="16"/>
          <w:szCs w:val="16"/>
          <w:lang w:val="es-ES_tradnl"/>
        </w:rPr>
        <w:t>factores estructurales</w:t>
      </w:r>
      <w:r w:rsidRPr="00143D29">
        <w:rPr>
          <w:sz w:val="16"/>
          <w:szCs w:val="16"/>
          <w:lang w:val="es-ES_tradnl"/>
        </w:rPr>
        <w:t xml:space="preserve"> son los sistemas sociales, económicos y políticos al </w:t>
      </w:r>
      <w:proofErr w:type="spellStart"/>
      <w:r w:rsidRPr="00143D29">
        <w:rPr>
          <w:sz w:val="16"/>
          <w:szCs w:val="16"/>
          <w:lang w:val="es-ES_tradnl"/>
        </w:rPr>
        <w:t>macronivel</w:t>
      </w:r>
      <w:proofErr w:type="spellEnd"/>
      <w:r w:rsidRPr="00143D29">
        <w:rPr>
          <w:sz w:val="16"/>
          <w:szCs w:val="16"/>
          <w:lang w:val="es-ES_tradnl"/>
        </w:rPr>
        <w:t xml:space="preserve">; los </w:t>
      </w:r>
      <w:r w:rsidRPr="00143D29">
        <w:rPr>
          <w:i/>
          <w:sz w:val="16"/>
          <w:szCs w:val="16"/>
          <w:lang w:val="es-ES_tradnl"/>
        </w:rPr>
        <w:t>factores institucionales</w:t>
      </w:r>
      <w:r w:rsidRPr="00143D29">
        <w:rPr>
          <w:sz w:val="16"/>
          <w:szCs w:val="16"/>
          <w:lang w:val="es-ES_tradnl"/>
        </w:rPr>
        <w:t xml:space="preserve"> son las instituciones y redes sociales formales o informales; los </w:t>
      </w:r>
      <w:r w:rsidRPr="00143D29">
        <w:rPr>
          <w:i/>
          <w:sz w:val="16"/>
          <w:szCs w:val="16"/>
          <w:lang w:val="es-ES_tradnl"/>
        </w:rPr>
        <w:t xml:space="preserve">factores interpersonales </w:t>
      </w:r>
      <w:r w:rsidRPr="00143D29">
        <w:rPr>
          <w:sz w:val="16"/>
          <w:szCs w:val="16"/>
          <w:lang w:val="es-ES_tradnl"/>
        </w:rPr>
        <w:t xml:space="preserve">consisten en las relaciones personales entre parejas, entre familiares y dentro de la comunidad y los </w:t>
      </w:r>
      <w:r w:rsidRPr="00143D29">
        <w:rPr>
          <w:i/>
          <w:sz w:val="16"/>
          <w:szCs w:val="16"/>
          <w:lang w:val="es-ES_tradnl"/>
        </w:rPr>
        <w:t xml:space="preserve">factores individuales </w:t>
      </w:r>
      <w:r w:rsidRPr="00143D29">
        <w:rPr>
          <w:sz w:val="16"/>
          <w:szCs w:val="16"/>
          <w:lang w:val="es-ES_tradnl"/>
        </w:rPr>
        <w:t>incluyen la personalidad y la capacidad individual para responder a la violencia</w:t>
      </w:r>
      <w:r w:rsidRPr="00143D29">
        <w:rPr>
          <w:i/>
          <w:sz w:val="16"/>
          <w:szCs w:val="16"/>
          <w:lang w:val="es-ES_tradnl"/>
        </w:rPr>
        <w:t xml:space="preserve">. </w:t>
      </w:r>
      <w:r w:rsidRPr="00143D29">
        <w:rPr>
          <w:rFonts w:cs="Times"/>
          <w:bCs/>
          <w:i/>
          <w:sz w:val="16"/>
          <w:szCs w:val="16"/>
          <w:lang w:val="es-ES_tradnl"/>
        </w:rPr>
        <w:t>Informe de la Relatora Especial sobre la violencia contra la mujer, sus causas y sus consecuencias</w:t>
      </w:r>
      <w:r w:rsidRPr="00143D29">
        <w:rPr>
          <w:rFonts w:cs="Times"/>
          <w:bCs/>
          <w:sz w:val="16"/>
          <w:szCs w:val="16"/>
          <w:lang w:val="es-ES_tradnl"/>
        </w:rPr>
        <w:t xml:space="preserve">, </w:t>
      </w:r>
      <w:proofErr w:type="spellStart"/>
      <w:r w:rsidRPr="00143D29">
        <w:rPr>
          <w:rFonts w:cs="Times"/>
          <w:bCs/>
          <w:sz w:val="16"/>
          <w:szCs w:val="16"/>
          <w:lang w:val="es-ES_tradnl"/>
        </w:rPr>
        <w:t>Rashida</w:t>
      </w:r>
      <w:proofErr w:type="spellEnd"/>
      <w:r w:rsidRPr="00143D29">
        <w:rPr>
          <w:rFonts w:cs="Times"/>
          <w:bCs/>
          <w:sz w:val="16"/>
          <w:szCs w:val="16"/>
          <w:lang w:val="es-ES_tradnl"/>
        </w:rPr>
        <w:t xml:space="preserve"> </w:t>
      </w:r>
      <w:proofErr w:type="spellStart"/>
      <w:r w:rsidRPr="00143D29">
        <w:rPr>
          <w:rFonts w:cs="Times"/>
          <w:bCs/>
          <w:sz w:val="16"/>
          <w:szCs w:val="16"/>
          <w:lang w:val="es-ES_tradnl"/>
        </w:rPr>
        <w:t>Manjoo</w:t>
      </w:r>
      <w:proofErr w:type="spellEnd"/>
      <w:r w:rsidRPr="00143D29">
        <w:rPr>
          <w:rFonts w:cs="Times"/>
          <w:bCs/>
          <w:sz w:val="16"/>
          <w:szCs w:val="16"/>
          <w:lang w:val="es-ES_tradnl"/>
        </w:rPr>
        <w:t xml:space="preserve">, </w:t>
      </w:r>
      <w:r w:rsidRPr="00143D29">
        <w:rPr>
          <w:sz w:val="16"/>
          <w:szCs w:val="16"/>
          <w:lang w:val="es-ES_tradnl"/>
        </w:rPr>
        <w:t xml:space="preserve">23 de mayo de 2012, A/HRC/20/16. </w:t>
      </w:r>
    </w:p>
  </w:footnote>
  <w:footnote w:id="627">
    <w:p w14:paraId="4CCA6113" w14:textId="77777777" w:rsidR="00D4299B" w:rsidRPr="00143D29" w:rsidRDefault="00D4299B" w:rsidP="00130785">
      <w:pPr>
        <w:pStyle w:val="NormalWeb"/>
        <w:tabs>
          <w:tab w:val="left" w:pos="709"/>
        </w:tabs>
        <w:jc w:val="both"/>
        <w:rPr>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t xml:space="preserve">ONU, </w:t>
      </w:r>
      <w:proofErr w:type="spellStart"/>
      <w:r w:rsidRPr="00143D29">
        <w:rPr>
          <w:sz w:val="16"/>
          <w:szCs w:val="16"/>
          <w:lang w:val="es-ES_tradnl"/>
        </w:rPr>
        <w:t>Comite</w:t>
      </w:r>
      <w:proofErr w:type="spellEnd"/>
      <w:r w:rsidRPr="00143D29">
        <w:rPr>
          <w:sz w:val="16"/>
          <w:szCs w:val="16"/>
          <w:lang w:val="es-ES_tradnl"/>
        </w:rPr>
        <w:t xml:space="preserve">́ para la </w:t>
      </w:r>
      <w:proofErr w:type="spellStart"/>
      <w:r w:rsidRPr="00143D29">
        <w:rPr>
          <w:sz w:val="16"/>
          <w:szCs w:val="16"/>
          <w:lang w:val="es-ES_tradnl"/>
        </w:rPr>
        <w:t>Eliminación</w:t>
      </w:r>
      <w:proofErr w:type="spellEnd"/>
      <w:r w:rsidRPr="00143D29">
        <w:rPr>
          <w:sz w:val="16"/>
          <w:szCs w:val="16"/>
          <w:lang w:val="es-ES_tradnl"/>
        </w:rPr>
        <w:t xml:space="preserve"> de la </w:t>
      </w:r>
      <w:proofErr w:type="spellStart"/>
      <w:r w:rsidRPr="00143D29">
        <w:rPr>
          <w:sz w:val="16"/>
          <w:szCs w:val="16"/>
          <w:lang w:val="es-ES_tradnl"/>
        </w:rPr>
        <w:t>Discriminación</w:t>
      </w:r>
      <w:proofErr w:type="spellEnd"/>
      <w:r w:rsidRPr="00143D29">
        <w:rPr>
          <w:sz w:val="16"/>
          <w:szCs w:val="16"/>
          <w:lang w:val="es-ES_tradnl"/>
        </w:rPr>
        <w:t xml:space="preserve"> Racial</w:t>
      </w:r>
      <w:r w:rsidRPr="00143D29">
        <w:rPr>
          <w:i/>
          <w:sz w:val="16"/>
          <w:szCs w:val="16"/>
          <w:lang w:val="es-ES_tradnl"/>
        </w:rPr>
        <w:t xml:space="preserve">, </w:t>
      </w:r>
      <w:proofErr w:type="spellStart"/>
      <w:r w:rsidRPr="00143D29">
        <w:rPr>
          <w:i/>
          <w:sz w:val="16"/>
          <w:szCs w:val="16"/>
          <w:lang w:val="es-ES_tradnl"/>
        </w:rPr>
        <w:t>Recomendación</w:t>
      </w:r>
      <w:proofErr w:type="spellEnd"/>
      <w:r w:rsidRPr="00143D29">
        <w:rPr>
          <w:i/>
          <w:sz w:val="16"/>
          <w:szCs w:val="16"/>
          <w:lang w:val="es-ES_tradnl"/>
        </w:rPr>
        <w:t xml:space="preserve"> General No. 34 sobre </w:t>
      </w:r>
      <w:proofErr w:type="spellStart"/>
      <w:r w:rsidRPr="00143D29">
        <w:rPr>
          <w:i/>
          <w:sz w:val="16"/>
          <w:szCs w:val="16"/>
          <w:lang w:val="es-ES_tradnl"/>
        </w:rPr>
        <w:t>Discriminación</w:t>
      </w:r>
      <w:proofErr w:type="spellEnd"/>
      <w:r w:rsidRPr="00143D29">
        <w:rPr>
          <w:i/>
          <w:sz w:val="16"/>
          <w:szCs w:val="16"/>
          <w:lang w:val="es-ES_tradnl"/>
        </w:rPr>
        <w:t xml:space="preserve"> racial contra afrodescendientes</w:t>
      </w:r>
      <w:r w:rsidRPr="00143D29">
        <w:rPr>
          <w:sz w:val="16"/>
          <w:szCs w:val="16"/>
          <w:lang w:val="es-ES_tradnl"/>
        </w:rPr>
        <w:t>, 3 de octubre de 2011, CERD/C/GC/34, párr. 6.</w:t>
      </w:r>
    </w:p>
  </w:footnote>
  <w:footnote w:id="628">
    <w:p w14:paraId="0AFAE2EF"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ab/>
        <w:t xml:space="preserve">ONU, Comité para los Derechos de las Personas con Discapacidad, </w:t>
      </w:r>
      <w:r w:rsidRPr="00143D29">
        <w:rPr>
          <w:i/>
          <w:lang w:val="es-ES_tradnl"/>
        </w:rPr>
        <w:t>Observación General No. 3 sobre Mujeres y niñas con discapacidad</w:t>
      </w:r>
      <w:r w:rsidRPr="00143D29">
        <w:rPr>
          <w:lang w:val="es-ES_tradnl"/>
        </w:rPr>
        <w:t xml:space="preserve">, 2 de septiembre de 2016, </w:t>
      </w:r>
      <w:r w:rsidRPr="00143D29">
        <w:rPr>
          <w:rFonts w:eastAsia="Times New Roman" w:cs="Times New Roman"/>
          <w:lang w:val="es-ES_tradnl"/>
        </w:rPr>
        <w:t xml:space="preserve">CRPD/C/GC/3, párr. 17.e. </w:t>
      </w:r>
    </w:p>
    <w:p w14:paraId="55E093CF" w14:textId="77777777" w:rsidR="00D4299B" w:rsidRPr="00143D29" w:rsidRDefault="00D4299B" w:rsidP="00130785">
      <w:pPr>
        <w:pStyle w:val="Textonotapie"/>
        <w:tabs>
          <w:tab w:val="left" w:pos="709"/>
        </w:tabs>
        <w:spacing w:after="0"/>
        <w:rPr>
          <w:lang w:val="es-ES_tradnl"/>
        </w:rPr>
      </w:pPr>
    </w:p>
  </w:footnote>
  <w:footnote w:id="629">
    <w:p w14:paraId="239353C1"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ab/>
        <w:t xml:space="preserve">ONU, </w:t>
      </w:r>
      <w:r w:rsidRPr="00143D29">
        <w:rPr>
          <w:i/>
          <w:lang w:val="es-ES_tradnl"/>
        </w:rPr>
        <w:t xml:space="preserve">Informe del Relator Especial de Naciones Unidas sobre el Derecho a la Alimentación, Oliver de </w:t>
      </w:r>
      <w:proofErr w:type="spellStart"/>
      <w:r w:rsidRPr="00143D29">
        <w:rPr>
          <w:i/>
          <w:lang w:val="es-ES_tradnl"/>
        </w:rPr>
        <w:t>Schutter</w:t>
      </w:r>
      <w:proofErr w:type="spellEnd"/>
      <w:r w:rsidRPr="00143D29">
        <w:rPr>
          <w:i/>
          <w:lang w:val="es-ES_tradnl"/>
        </w:rPr>
        <w:t>, Hacer de la crisis una oportunidad: fortalecer el multilateralismo</w:t>
      </w:r>
      <w:r w:rsidRPr="00143D29">
        <w:rPr>
          <w:lang w:val="es-ES_tradnl"/>
        </w:rPr>
        <w:t xml:space="preserve">, 21 de julio de 2009, A/HCR/12/31, párr. 30. </w:t>
      </w:r>
    </w:p>
    <w:p w14:paraId="6600C7A3" w14:textId="77777777" w:rsidR="00D4299B" w:rsidRPr="00143D29" w:rsidRDefault="00D4299B" w:rsidP="00130785">
      <w:pPr>
        <w:pStyle w:val="Textonotapie"/>
        <w:tabs>
          <w:tab w:val="left" w:pos="709"/>
        </w:tabs>
        <w:spacing w:after="0"/>
        <w:rPr>
          <w:lang w:val="es-ES_tradnl"/>
        </w:rPr>
      </w:pPr>
    </w:p>
  </w:footnote>
  <w:footnote w:id="630">
    <w:p w14:paraId="46F79EB7" w14:textId="77777777" w:rsidR="00D4299B" w:rsidRPr="00143D29" w:rsidRDefault="00D4299B" w:rsidP="00130785">
      <w:pPr>
        <w:widowControl w:val="0"/>
        <w:tabs>
          <w:tab w:val="left" w:pos="709"/>
        </w:tabs>
        <w:autoSpaceDE w:val="0"/>
        <w:autoSpaceDN w:val="0"/>
        <w:adjustRightInd w:val="0"/>
        <w:jc w:val="both"/>
        <w:rPr>
          <w:rFonts w:cs="Times"/>
          <w:sz w:val="16"/>
          <w:szCs w:val="16"/>
        </w:rPr>
      </w:pPr>
      <w:r w:rsidRPr="00143D29">
        <w:rPr>
          <w:rStyle w:val="Refdenotaalpie"/>
          <w:sz w:val="16"/>
          <w:szCs w:val="16"/>
        </w:rPr>
        <w:footnoteRef/>
      </w:r>
      <w:r w:rsidRPr="00143D29">
        <w:rPr>
          <w:sz w:val="16"/>
          <w:szCs w:val="16"/>
        </w:rPr>
        <w:t xml:space="preserve"> </w:t>
      </w:r>
      <w:r w:rsidRPr="00143D29">
        <w:rPr>
          <w:sz w:val="16"/>
          <w:szCs w:val="16"/>
        </w:rPr>
        <w:tab/>
        <w:t xml:space="preserve">En este sentido Roberto Saba señala que </w:t>
      </w:r>
      <w:r w:rsidRPr="00143D29">
        <w:rPr>
          <w:rFonts w:cs="Times"/>
          <w:sz w:val="16"/>
          <w:szCs w:val="16"/>
        </w:rPr>
        <w:t xml:space="preserve">es necesario resaltar que la condición de pobre estructural </w:t>
      </w:r>
      <w:r w:rsidRPr="00143D29">
        <w:rPr>
          <w:rFonts w:cs="Times"/>
          <w:i/>
          <w:sz w:val="16"/>
          <w:szCs w:val="16"/>
        </w:rPr>
        <w:t>coincide muchas veces</w:t>
      </w:r>
      <w:r w:rsidRPr="00143D29">
        <w:rPr>
          <w:rFonts w:cs="Times"/>
          <w:sz w:val="16"/>
          <w:szCs w:val="16"/>
        </w:rPr>
        <w:t xml:space="preserve"> -pero no necesariamente- con otros rasgos de la identidad o de la personalidad que también son característicos de grupos sometidos o sojuzgados, como la etnia o el género y que, combinados con la pobreza estructural, refuerzan ese carácter de grupo sometido o sojuzgado. Señala, además, que la conformación, y la consiguiente identificación, de este grupo de personas, no resulta ser una tarea sencilla. Sin embargo, propone -a modo ilustrativo y no limitativo- que hay tres situaciones concretas que podrían señalar la existencia de un grupo sometido, caracterizado por compartir una situación de pobreza estructural: i) la concentración geográfica del grupo de personas en espacios donde sólo habitan personas igualmente pobres; </w:t>
      </w:r>
      <w:proofErr w:type="spellStart"/>
      <w:r w:rsidRPr="00143D29">
        <w:rPr>
          <w:rFonts w:cs="Times"/>
          <w:sz w:val="16"/>
          <w:szCs w:val="16"/>
        </w:rPr>
        <w:t>ii</w:t>
      </w:r>
      <w:proofErr w:type="spellEnd"/>
      <w:r w:rsidRPr="00143D29">
        <w:rPr>
          <w:rFonts w:cs="Times"/>
          <w:sz w:val="16"/>
          <w:szCs w:val="16"/>
        </w:rPr>
        <w:t xml:space="preserve">) la segunda, relacionada con la primera, es la dificultad o imposibilidad para acceder a servicios públicos básicos </w:t>
      </w:r>
      <w:r w:rsidRPr="00143D29">
        <w:rPr>
          <w:rFonts w:cs="Times"/>
          <w:spacing w:val="-2"/>
          <w:sz w:val="16"/>
          <w:szCs w:val="16"/>
        </w:rPr>
        <w:t xml:space="preserve">imprescindibles para desarrollar un plan de vida decente y modesto, tales como la seguridad, la educación o la salud; y </w:t>
      </w:r>
      <w:proofErr w:type="spellStart"/>
      <w:r w:rsidRPr="00143D29">
        <w:rPr>
          <w:rFonts w:cs="Times"/>
          <w:spacing w:val="-2"/>
          <w:sz w:val="16"/>
          <w:szCs w:val="16"/>
        </w:rPr>
        <w:t>iii</w:t>
      </w:r>
      <w:proofErr w:type="spellEnd"/>
      <w:r w:rsidRPr="00143D29">
        <w:rPr>
          <w:rFonts w:cs="Times"/>
          <w:spacing w:val="-2"/>
          <w:sz w:val="16"/>
          <w:szCs w:val="16"/>
        </w:rPr>
        <w:t>) la tercera es la transmisión y perpetuación intergeneracional de situaciones como las que se ponen de manifiesto a través de los dos casos anteriores; es decir, descendientes que no pueden dejar el asentamiento y que padecerán las mismas privaciones que les impedirán escapar de una situación vital a</w:t>
      </w:r>
      <w:r w:rsidRPr="00143D29">
        <w:rPr>
          <w:rFonts w:cs="Times"/>
          <w:sz w:val="16"/>
          <w:szCs w:val="16"/>
        </w:rPr>
        <w:t xml:space="preserve"> la que están determinados desde el nacimiento. </w:t>
      </w:r>
      <w:r w:rsidRPr="00143D29">
        <w:rPr>
          <w:rFonts w:cs="Times"/>
          <w:i/>
          <w:sz w:val="16"/>
          <w:szCs w:val="16"/>
        </w:rPr>
        <w:t>Cfr.</w:t>
      </w:r>
      <w:r w:rsidRPr="00143D29">
        <w:rPr>
          <w:rFonts w:cs="Times"/>
          <w:sz w:val="16"/>
          <w:szCs w:val="16"/>
        </w:rPr>
        <w:t xml:space="preserve"> Saba, Roberto, </w:t>
      </w:r>
      <w:r w:rsidRPr="00143D29">
        <w:rPr>
          <w:rFonts w:cs="Times"/>
          <w:i/>
          <w:sz w:val="16"/>
          <w:szCs w:val="16"/>
        </w:rPr>
        <w:t xml:space="preserve">Pobreza, derechos humanos y desigualdad estructural, </w:t>
      </w:r>
      <w:r w:rsidRPr="00143D29">
        <w:rPr>
          <w:rFonts w:cs="Times"/>
          <w:sz w:val="16"/>
          <w:szCs w:val="16"/>
        </w:rPr>
        <w:t xml:space="preserve">México, Suprema Corte de Justicia de la Nación-Tribunal Electoral del Poder Judicial de la Federación-Instituto Electoral del Distrito Federal, 2012, p. 46 y ss. </w:t>
      </w:r>
    </w:p>
    <w:p w14:paraId="2490BEE7" w14:textId="77777777" w:rsidR="00D4299B" w:rsidRPr="00143D29" w:rsidRDefault="00D4299B" w:rsidP="00130785">
      <w:pPr>
        <w:pStyle w:val="Textonotapie"/>
        <w:tabs>
          <w:tab w:val="left" w:pos="709"/>
        </w:tabs>
        <w:rPr>
          <w:lang w:val="es-ES_tradnl"/>
        </w:rPr>
      </w:pPr>
    </w:p>
  </w:footnote>
  <w:footnote w:id="631">
    <w:p w14:paraId="5FF87763"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w:t>
      </w:r>
      <w:r w:rsidRPr="00143D29">
        <w:rPr>
          <w:i/>
          <w:lang w:val="es-ES_tradnl"/>
        </w:rPr>
        <w:t>Principios Rectores sobre Extrema Pobreza y Derechos Humanos</w:t>
      </w:r>
      <w:r w:rsidRPr="00143D29">
        <w:rPr>
          <w:lang w:val="es-ES_tradnl"/>
        </w:rPr>
        <w:t xml:space="preserve">, aprobados por el Consejo de Derechos Humanos, 27 de </w:t>
      </w:r>
      <w:proofErr w:type="gramStart"/>
      <w:r w:rsidRPr="00143D29">
        <w:rPr>
          <w:lang w:val="es-ES_tradnl"/>
        </w:rPr>
        <w:t>Septiembre</w:t>
      </w:r>
      <w:proofErr w:type="gramEnd"/>
      <w:r w:rsidRPr="00143D29">
        <w:rPr>
          <w:lang w:val="es-ES_tradnl"/>
        </w:rPr>
        <w:t xml:space="preserve"> de 2012, Resolución 21/11, principio 5. </w:t>
      </w:r>
    </w:p>
    <w:p w14:paraId="5A08F824" w14:textId="77777777" w:rsidR="00D4299B" w:rsidRPr="00143D29" w:rsidRDefault="00D4299B" w:rsidP="00130785">
      <w:pPr>
        <w:pStyle w:val="Textonotapie"/>
        <w:tabs>
          <w:tab w:val="left" w:pos="709"/>
        </w:tabs>
        <w:rPr>
          <w:lang w:val="es-ES_tradnl"/>
        </w:rPr>
      </w:pPr>
    </w:p>
  </w:footnote>
  <w:footnote w:id="632">
    <w:p w14:paraId="25245B7D" w14:textId="77777777" w:rsidR="00D4299B" w:rsidRPr="00143D29" w:rsidRDefault="00D4299B" w:rsidP="00130785">
      <w:pPr>
        <w:pStyle w:val="Textonotapie"/>
        <w:tabs>
          <w:tab w:val="left" w:pos="709"/>
        </w:tabs>
        <w:rPr>
          <w:rFonts w:cs="Times"/>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ONU, </w:t>
      </w:r>
      <w:r w:rsidRPr="00143D29">
        <w:rPr>
          <w:rFonts w:cs="Times"/>
          <w:i/>
          <w:lang w:val="es-ES_tradnl"/>
        </w:rPr>
        <w:t xml:space="preserve">Informe de la Relatora Especial sobre la extrema pobreza y los derechos humanos, </w:t>
      </w:r>
      <w:r w:rsidRPr="00143D29">
        <w:rPr>
          <w:rFonts w:cs="Times"/>
          <w:lang w:val="es-ES_tradnl"/>
        </w:rPr>
        <w:t xml:space="preserve">Magdalena Sepúlveda Carmona, 11 de marzo de </w:t>
      </w:r>
      <w:proofErr w:type="gramStart"/>
      <w:r w:rsidRPr="00143D29">
        <w:rPr>
          <w:rFonts w:cs="Times"/>
          <w:lang w:val="es-ES_tradnl"/>
        </w:rPr>
        <w:t>2013,  A</w:t>
      </w:r>
      <w:proofErr w:type="gramEnd"/>
      <w:r w:rsidRPr="00143D29">
        <w:rPr>
          <w:rFonts w:cs="Times"/>
          <w:lang w:val="es-ES_tradnl"/>
        </w:rPr>
        <w:t xml:space="preserve">/HRC/23/36, </w:t>
      </w:r>
      <w:r w:rsidRPr="00143D29">
        <w:rPr>
          <w:lang w:val="es-ES_tradnl"/>
        </w:rPr>
        <w:t xml:space="preserve">párr. </w:t>
      </w:r>
      <w:r w:rsidRPr="00143D29">
        <w:rPr>
          <w:rFonts w:cs="Times"/>
          <w:lang w:val="es-ES_tradnl"/>
        </w:rPr>
        <w:t>13.</w:t>
      </w:r>
    </w:p>
    <w:p w14:paraId="7ED69F27" w14:textId="77777777" w:rsidR="00D4299B" w:rsidRPr="00143D29" w:rsidRDefault="00D4299B" w:rsidP="00130785">
      <w:pPr>
        <w:pStyle w:val="Textonotapie"/>
        <w:tabs>
          <w:tab w:val="left" w:pos="709"/>
        </w:tabs>
        <w:rPr>
          <w:lang w:val="es-ES_tradnl"/>
        </w:rPr>
      </w:pPr>
    </w:p>
  </w:footnote>
  <w:footnote w:id="633">
    <w:p w14:paraId="0AA485B8" w14:textId="77777777" w:rsidR="00D4299B" w:rsidRPr="00143D29" w:rsidRDefault="00D4299B" w:rsidP="00130785">
      <w:pPr>
        <w:widowControl w:val="0"/>
        <w:tabs>
          <w:tab w:val="left" w:pos="709"/>
        </w:tabs>
        <w:autoSpaceDE w:val="0"/>
        <w:autoSpaceDN w:val="0"/>
        <w:adjustRightInd w:val="0"/>
        <w:jc w:val="both"/>
        <w:rPr>
          <w:sz w:val="16"/>
          <w:szCs w:val="16"/>
        </w:rPr>
      </w:pPr>
      <w:r w:rsidRPr="00143D29">
        <w:rPr>
          <w:rStyle w:val="Refdenotaalpie"/>
          <w:sz w:val="16"/>
          <w:szCs w:val="16"/>
        </w:rPr>
        <w:footnoteRef/>
      </w:r>
      <w:r w:rsidRPr="00143D29">
        <w:rPr>
          <w:sz w:val="16"/>
          <w:szCs w:val="16"/>
        </w:rPr>
        <w:t xml:space="preserve"> </w:t>
      </w:r>
      <w:r w:rsidRPr="00143D29">
        <w:rPr>
          <w:sz w:val="16"/>
          <w:szCs w:val="16"/>
        </w:rPr>
        <w:tab/>
        <w:t xml:space="preserve">ONU, </w:t>
      </w:r>
      <w:r w:rsidRPr="00143D29">
        <w:rPr>
          <w:rFonts w:cs="Times"/>
          <w:i/>
          <w:sz w:val="16"/>
          <w:szCs w:val="16"/>
        </w:rPr>
        <w:t>Informe de la Relatora Especial sobre la extrema pobreza y los derechos humanos</w:t>
      </w:r>
      <w:r w:rsidRPr="00143D29">
        <w:rPr>
          <w:rFonts w:cs="Times"/>
          <w:sz w:val="16"/>
          <w:szCs w:val="16"/>
        </w:rPr>
        <w:t xml:space="preserve">, Magdalena Sepúlveda Carmona, 11 de marzo de 2013,  A/HRC/23/36, </w:t>
      </w:r>
      <w:r w:rsidRPr="00143D29">
        <w:rPr>
          <w:sz w:val="16"/>
          <w:szCs w:val="16"/>
        </w:rPr>
        <w:t xml:space="preserve">párr. 43. </w:t>
      </w:r>
    </w:p>
    <w:p w14:paraId="64AAA2B5" w14:textId="77777777" w:rsidR="00D4299B" w:rsidRPr="00143D29" w:rsidRDefault="00D4299B" w:rsidP="00130785">
      <w:pPr>
        <w:widowControl w:val="0"/>
        <w:tabs>
          <w:tab w:val="left" w:pos="709"/>
        </w:tabs>
        <w:autoSpaceDE w:val="0"/>
        <w:autoSpaceDN w:val="0"/>
        <w:adjustRightInd w:val="0"/>
        <w:jc w:val="both"/>
        <w:rPr>
          <w:rFonts w:cs="Times"/>
          <w:i/>
          <w:sz w:val="16"/>
          <w:szCs w:val="16"/>
        </w:rPr>
      </w:pPr>
    </w:p>
  </w:footnote>
  <w:footnote w:id="634">
    <w:p w14:paraId="0130E2CF" w14:textId="77777777" w:rsidR="00D4299B" w:rsidRPr="00143D29" w:rsidRDefault="00D4299B" w:rsidP="00130785">
      <w:pPr>
        <w:widowControl w:val="0"/>
        <w:tabs>
          <w:tab w:val="left" w:pos="709"/>
        </w:tabs>
        <w:autoSpaceDE w:val="0"/>
        <w:autoSpaceDN w:val="0"/>
        <w:adjustRightInd w:val="0"/>
        <w:spacing w:after="240"/>
        <w:jc w:val="both"/>
        <w:rPr>
          <w:rFonts w:cs="Times"/>
          <w:sz w:val="16"/>
          <w:szCs w:val="16"/>
        </w:rPr>
      </w:pPr>
      <w:r w:rsidRPr="00143D29">
        <w:rPr>
          <w:rStyle w:val="Refdenotaalpie"/>
          <w:sz w:val="16"/>
          <w:szCs w:val="16"/>
        </w:rPr>
        <w:footnoteRef/>
      </w:r>
      <w:r w:rsidRPr="00143D29">
        <w:rPr>
          <w:rFonts w:cs="Times"/>
          <w:sz w:val="16"/>
          <w:szCs w:val="16"/>
        </w:rPr>
        <w:t xml:space="preserve"> </w:t>
      </w:r>
      <w:r w:rsidRPr="00143D29">
        <w:rPr>
          <w:rFonts w:cs="Times"/>
          <w:i/>
          <w:sz w:val="16"/>
          <w:szCs w:val="16"/>
        </w:rPr>
        <w:tab/>
        <w:t xml:space="preserve">Cfr. </w:t>
      </w:r>
      <w:r w:rsidRPr="00143D29">
        <w:rPr>
          <w:rFonts w:cs="Times"/>
          <w:sz w:val="16"/>
          <w:szCs w:val="16"/>
        </w:rPr>
        <w:t xml:space="preserve">ONU, </w:t>
      </w:r>
      <w:r w:rsidRPr="00143D29">
        <w:rPr>
          <w:rFonts w:cs="Times"/>
          <w:i/>
          <w:sz w:val="16"/>
          <w:szCs w:val="16"/>
        </w:rPr>
        <w:t>Informe de la Relatora Especial sobre la extrema pobreza y los derechos humanos</w:t>
      </w:r>
      <w:r w:rsidRPr="00143D29">
        <w:rPr>
          <w:rFonts w:cs="Times"/>
          <w:sz w:val="16"/>
          <w:szCs w:val="16"/>
        </w:rPr>
        <w:t xml:space="preserve">, Magdalena Sepúlveda Carmona, </w:t>
      </w:r>
      <w:r w:rsidRPr="00143D29">
        <w:rPr>
          <w:rFonts w:cs="Times"/>
          <w:i/>
          <w:sz w:val="16"/>
          <w:szCs w:val="16"/>
        </w:rPr>
        <w:t>La extrema pobreza y los derechos humanos</w:t>
      </w:r>
      <w:r w:rsidRPr="00143D29">
        <w:rPr>
          <w:rFonts w:cs="Times"/>
          <w:sz w:val="16"/>
          <w:szCs w:val="16"/>
        </w:rPr>
        <w:t xml:space="preserve">, 9 de agosto de 2012, A/67/278, </w:t>
      </w:r>
      <w:proofErr w:type="spellStart"/>
      <w:r w:rsidRPr="00143D29">
        <w:rPr>
          <w:rFonts w:cs="Times"/>
          <w:sz w:val="16"/>
          <w:szCs w:val="16"/>
        </w:rPr>
        <w:t>párrs</w:t>
      </w:r>
      <w:proofErr w:type="spellEnd"/>
      <w:r w:rsidRPr="00143D29">
        <w:rPr>
          <w:rFonts w:cs="Times"/>
          <w:sz w:val="16"/>
          <w:szCs w:val="16"/>
        </w:rPr>
        <w:t>. 83 y 84.</w:t>
      </w:r>
    </w:p>
  </w:footnote>
  <w:footnote w:id="635">
    <w:p w14:paraId="4B79C5A3"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rFonts w:cs="Verdana"/>
          <w:bCs/>
          <w:i/>
          <w:lang w:val="es-ES_tradnl"/>
        </w:rPr>
        <w:t>Caso González y otras (“Campo Algodonero”) Vs. México. Excepción Preliminar, Fondo, Reparaciones y Costas</w:t>
      </w:r>
      <w:r w:rsidRPr="00143D29">
        <w:rPr>
          <w:rFonts w:cs="Verdana"/>
          <w:bCs/>
          <w:lang w:val="es-ES_tradnl"/>
        </w:rPr>
        <w:t xml:space="preserve">. Sentencia de 16 de noviembre de 2009. Serie C No. 205, párr. 450.  </w:t>
      </w:r>
      <w:r w:rsidRPr="00143D29">
        <w:rPr>
          <w:rFonts w:cs="Verdana"/>
          <w:b/>
          <w:bCs/>
          <w:lang w:val="es-ES_tradnl"/>
        </w:rPr>
        <w:t xml:space="preserve"> </w:t>
      </w:r>
    </w:p>
    <w:p w14:paraId="199FDF07" w14:textId="77777777" w:rsidR="00D4299B" w:rsidRPr="00143D29" w:rsidRDefault="00D4299B" w:rsidP="00130785">
      <w:pPr>
        <w:pStyle w:val="Textonotapie"/>
        <w:tabs>
          <w:tab w:val="left" w:pos="709"/>
        </w:tabs>
        <w:spacing w:after="0"/>
        <w:rPr>
          <w:lang w:val="es-ES_tradnl"/>
        </w:rPr>
      </w:pPr>
    </w:p>
  </w:footnote>
  <w:footnote w:id="636">
    <w:p w14:paraId="253BC232"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Verdana"/>
          <w:bCs/>
          <w:i/>
          <w:lang w:val="es-ES_tradnl"/>
        </w:rPr>
        <w:tab/>
      </w:r>
      <w:r w:rsidRPr="00143D29">
        <w:rPr>
          <w:rFonts w:cs="Verdana"/>
          <w:bCs/>
          <w:lang w:val="es-ES_tradnl"/>
        </w:rPr>
        <w:t>Corte IDH.</w:t>
      </w:r>
      <w:r w:rsidRPr="00143D29">
        <w:rPr>
          <w:rFonts w:cs="Verdana"/>
          <w:bCs/>
          <w:i/>
          <w:lang w:val="es-ES_tradnl"/>
        </w:rPr>
        <w:t xml:space="preserve"> </w:t>
      </w:r>
      <w:proofErr w:type="spellStart"/>
      <w:r w:rsidRPr="00143D29">
        <w:rPr>
          <w:rFonts w:cs="Verdana"/>
          <w:bCs/>
          <w:i/>
          <w:lang w:val="es-ES_tradnl"/>
        </w:rPr>
        <w:t>Xákmok</w:t>
      </w:r>
      <w:proofErr w:type="spellEnd"/>
      <w:r w:rsidRPr="00143D29">
        <w:rPr>
          <w:rFonts w:cs="Verdana"/>
          <w:bCs/>
          <w:i/>
          <w:lang w:val="es-ES_tradnl"/>
        </w:rPr>
        <w:t xml:space="preserve"> </w:t>
      </w:r>
      <w:proofErr w:type="spellStart"/>
      <w:r w:rsidRPr="00143D29">
        <w:rPr>
          <w:rFonts w:cs="Verdana"/>
          <w:bCs/>
          <w:i/>
          <w:lang w:val="es-ES_tradnl"/>
        </w:rPr>
        <w:t>Kásek</w:t>
      </w:r>
      <w:proofErr w:type="spellEnd"/>
      <w:r w:rsidRPr="00143D29">
        <w:rPr>
          <w:rFonts w:cs="Verdana"/>
          <w:bCs/>
          <w:i/>
          <w:lang w:val="es-ES_tradnl"/>
        </w:rPr>
        <w:t xml:space="preserve"> Vs. Paraguay. Fondo, Reparaciones y Costas</w:t>
      </w:r>
      <w:r w:rsidRPr="00143D29">
        <w:rPr>
          <w:rFonts w:cs="Verdana"/>
          <w:bCs/>
          <w:lang w:val="es-ES_tradnl"/>
        </w:rPr>
        <w:t xml:space="preserve">. Sentencia de 24 de agosto de 2010. Serie C No. 214, </w:t>
      </w:r>
      <w:proofErr w:type="spellStart"/>
      <w:r w:rsidRPr="00143D29">
        <w:rPr>
          <w:rFonts w:cs="Verdana"/>
          <w:bCs/>
          <w:lang w:val="es-ES_tradnl"/>
        </w:rPr>
        <w:t>párrs</w:t>
      </w:r>
      <w:proofErr w:type="spellEnd"/>
      <w:r w:rsidRPr="00143D29">
        <w:rPr>
          <w:rFonts w:cs="Verdana"/>
          <w:bCs/>
          <w:lang w:val="es-ES_tradnl"/>
        </w:rPr>
        <w:t>. 273 y 274.</w:t>
      </w:r>
    </w:p>
    <w:p w14:paraId="0095C9EA" w14:textId="77777777" w:rsidR="00D4299B" w:rsidRPr="00143D29" w:rsidRDefault="00D4299B" w:rsidP="00130785">
      <w:pPr>
        <w:pStyle w:val="Textonotapie"/>
        <w:tabs>
          <w:tab w:val="left" w:pos="709"/>
        </w:tabs>
        <w:spacing w:after="0"/>
        <w:rPr>
          <w:lang w:val="es-ES_tradnl"/>
        </w:rPr>
      </w:pPr>
      <w:r w:rsidRPr="00143D29">
        <w:rPr>
          <w:lang w:val="es-ES_tradnl"/>
        </w:rPr>
        <w:t xml:space="preserve"> </w:t>
      </w:r>
    </w:p>
  </w:footnote>
  <w:footnote w:id="637">
    <w:p w14:paraId="0D6FD001" w14:textId="77777777" w:rsidR="00D4299B" w:rsidRPr="00143D29" w:rsidRDefault="00D4299B" w:rsidP="00130785">
      <w:pPr>
        <w:pStyle w:val="Textonotapie"/>
        <w:tabs>
          <w:tab w:val="left" w:pos="709"/>
        </w:tabs>
        <w:spacing w:after="0"/>
        <w:rPr>
          <w:rFonts w:cs="Verdana"/>
          <w:bCs/>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rFonts w:cs="Verdana"/>
          <w:bCs/>
          <w:i/>
          <w:lang w:val="es-ES_tradnl"/>
        </w:rPr>
        <w:t xml:space="preserve">Caso </w:t>
      </w:r>
      <w:proofErr w:type="spellStart"/>
      <w:r w:rsidRPr="00143D29">
        <w:rPr>
          <w:rFonts w:cs="Verdana"/>
          <w:bCs/>
          <w:i/>
          <w:lang w:val="es-ES_tradnl"/>
        </w:rPr>
        <w:t>Atala</w:t>
      </w:r>
      <w:proofErr w:type="spellEnd"/>
      <w:r w:rsidRPr="00143D29">
        <w:rPr>
          <w:rFonts w:cs="Verdana"/>
          <w:bCs/>
          <w:i/>
          <w:lang w:val="es-ES_tradnl"/>
        </w:rPr>
        <w:t xml:space="preserve"> Riffo y niñas Vs. Chile. Fondo, Reparaciones y Costas</w:t>
      </w:r>
      <w:r w:rsidRPr="00143D29">
        <w:rPr>
          <w:rFonts w:cs="Verdana"/>
          <w:bCs/>
          <w:lang w:val="es-ES_tradnl"/>
        </w:rPr>
        <w:t xml:space="preserve">. Sentencia de 24 de febrero de 2012. Serie C No. 239, </w:t>
      </w:r>
      <w:proofErr w:type="spellStart"/>
      <w:r w:rsidRPr="00143D29">
        <w:rPr>
          <w:rFonts w:cs="Verdana"/>
          <w:bCs/>
          <w:lang w:val="es-ES_tradnl"/>
        </w:rPr>
        <w:t>párrs</w:t>
      </w:r>
      <w:proofErr w:type="spellEnd"/>
      <w:r w:rsidRPr="00143D29">
        <w:rPr>
          <w:rFonts w:cs="Verdana"/>
          <w:bCs/>
          <w:lang w:val="es-ES_tradnl"/>
        </w:rPr>
        <w:t xml:space="preserve">. 92 y 267. </w:t>
      </w:r>
    </w:p>
    <w:p w14:paraId="158B8079" w14:textId="77777777" w:rsidR="00D4299B" w:rsidRPr="00143D29" w:rsidRDefault="00D4299B" w:rsidP="00130785">
      <w:pPr>
        <w:pStyle w:val="Textonotapie"/>
        <w:tabs>
          <w:tab w:val="left" w:pos="709"/>
        </w:tabs>
        <w:spacing w:after="0"/>
        <w:rPr>
          <w:lang w:val="es-ES_tradnl"/>
        </w:rPr>
      </w:pPr>
    </w:p>
  </w:footnote>
  <w:footnote w:id="638">
    <w:p w14:paraId="23CC5339" w14:textId="77777777" w:rsidR="00D4299B" w:rsidRPr="00143D29" w:rsidRDefault="00D4299B" w:rsidP="00130785">
      <w:pPr>
        <w:pStyle w:val="Textonotapie"/>
        <w:tabs>
          <w:tab w:val="left" w:pos="709"/>
        </w:tabs>
        <w:spacing w:after="0"/>
        <w:rPr>
          <w:lang w:val="es-ES_tradnl"/>
        </w:rPr>
      </w:pPr>
      <w:r w:rsidRPr="00143D29">
        <w:rPr>
          <w:rStyle w:val="Refdenotaalpie"/>
          <w:lang w:val="es-ES_tradnl"/>
        </w:rPr>
        <w:footnoteRef/>
      </w:r>
      <w:r w:rsidRPr="00143D29">
        <w:rPr>
          <w:rFonts w:cs="Verdana"/>
          <w:bCs/>
          <w:i/>
          <w:lang w:val="es-ES_tradnl"/>
        </w:rPr>
        <w:t xml:space="preserve"> </w:t>
      </w:r>
      <w:r w:rsidRPr="00143D29">
        <w:rPr>
          <w:rFonts w:cs="Verdana"/>
          <w:bCs/>
          <w:i/>
          <w:lang w:val="es-ES_tradnl"/>
        </w:rPr>
        <w:tab/>
      </w:r>
      <w:r w:rsidRPr="00143D29">
        <w:rPr>
          <w:rFonts w:cs="Verdana"/>
          <w:bCs/>
          <w:lang w:val="es-ES_tradnl"/>
        </w:rPr>
        <w:t xml:space="preserve">Corte IDH. </w:t>
      </w:r>
      <w:r w:rsidRPr="00143D29">
        <w:rPr>
          <w:rFonts w:cs="Verdana"/>
          <w:bCs/>
          <w:i/>
          <w:lang w:val="es-ES_tradnl"/>
        </w:rPr>
        <w:t xml:space="preserve">Caso </w:t>
      </w:r>
      <w:proofErr w:type="spellStart"/>
      <w:r w:rsidRPr="00143D29">
        <w:rPr>
          <w:rFonts w:cs="Verdana"/>
          <w:bCs/>
          <w:i/>
          <w:lang w:val="es-ES_tradnl"/>
        </w:rPr>
        <w:t>Nadege</w:t>
      </w:r>
      <w:proofErr w:type="spellEnd"/>
      <w:r w:rsidRPr="00143D29">
        <w:rPr>
          <w:rFonts w:cs="Verdana"/>
          <w:bCs/>
          <w:i/>
          <w:lang w:val="es-ES_tradnl"/>
        </w:rPr>
        <w:t xml:space="preserve"> </w:t>
      </w:r>
      <w:proofErr w:type="spellStart"/>
      <w:r w:rsidRPr="00143D29">
        <w:rPr>
          <w:rFonts w:cs="Verdana"/>
          <w:bCs/>
          <w:i/>
          <w:lang w:val="es-ES_tradnl"/>
        </w:rPr>
        <w:t>Dorzema</w:t>
      </w:r>
      <w:proofErr w:type="spellEnd"/>
      <w:r w:rsidRPr="00143D29">
        <w:rPr>
          <w:rFonts w:cs="Verdana"/>
          <w:bCs/>
          <w:i/>
          <w:lang w:val="es-ES_tradnl"/>
        </w:rPr>
        <w:t xml:space="preserve"> y otros Vs. República Dominicana. Fondo Reparaciones y Costas</w:t>
      </w:r>
      <w:r w:rsidRPr="00143D29">
        <w:rPr>
          <w:rFonts w:cs="Verdana"/>
          <w:bCs/>
          <w:lang w:val="es-ES_tradnl"/>
        </w:rPr>
        <w:t xml:space="preserve">. Sentencia de 24 de octubre de 2012. Serie C No. 251, </w:t>
      </w:r>
      <w:proofErr w:type="spellStart"/>
      <w:r w:rsidRPr="00143D29">
        <w:rPr>
          <w:rFonts w:cs="Verdana"/>
          <w:bCs/>
          <w:lang w:val="es-ES_tradnl"/>
        </w:rPr>
        <w:t>párrs</w:t>
      </w:r>
      <w:proofErr w:type="spellEnd"/>
      <w:r w:rsidRPr="00143D29">
        <w:rPr>
          <w:rFonts w:cs="Verdana"/>
          <w:bCs/>
          <w:lang w:val="es-ES_tradnl"/>
        </w:rPr>
        <w:t>. 235</w:t>
      </w:r>
      <w:r w:rsidRPr="00143D29">
        <w:rPr>
          <w:lang w:val="es-ES_tradnl"/>
        </w:rPr>
        <w:t xml:space="preserve">, 237 y 238. </w:t>
      </w:r>
    </w:p>
    <w:p w14:paraId="70A188CF" w14:textId="77777777" w:rsidR="00D4299B" w:rsidRPr="00143D29" w:rsidRDefault="00D4299B" w:rsidP="00130785">
      <w:pPr>
        <w:pStyle w:val="Textonotapie"/>
        <w:tabs>
          <w:tab w:val="left" w:pos="709"/>
        </w:tabs>
        <w:spacing w:after="0"/>
        <w:rPr>
          <w:lang w:val="es-ES_tradnl"/>
        </w:rPr>
      </w:pPr>
    </w:p>
  </w:footnote>
  <w:footnote w:id="639">
    <w:p w14:paraId="000A6041" w14:textId="77777777" w:rsidR="00D4299B" w:rsidRPr="00143D29" w:rsidRDefault="00D4299B" w:rsidP="00130785">
      <w:pPr>
        <w:pStyle w:val="Textonotapie"/>
        <w:tabs>
          <w:tab w:val="left" w:pos="709"/>
        </w:tabs>
        <w:spacing w:after="0"/>
        <w:rPr>
          <w:rFonts w:cs="Verdana"/>
          <w:b/>
          <w:bCs/>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rFonts w:cs="Verdana"/>
          <w:bCs/>
          <w:i/>
          <w:lang w:val="es-ES_tradnl"/>
        </w:rPr>
        <w:t xml:space="preserve">Caso </w:t>
      </w:r>
      <w:proofErr w:type="spellStart"/>
      <w:r w:rsidRPr="00143D29">
        <w:rPr>
          <w:rFonts w:cs="Verdana"/>
          <w:bCs/>
          <w:i/>
          <w:lang w:val="es-ES_tradnl"/>
        </w:rPr>
        <w:t>Nadege</w:t>
      </w:r>
      <w:proofErr w:type="spellEnd"/>
      <w:r w:rsidRPr="00143D29">
        <w:rPr>
          <w:rFonts w:cs="Verdana"/>
          <w:bCs/>
          <w:i/>
          <w:lang w:val="es-ES_tradnl"/>
        </w:rPr>
        <w:t xml:space="preserve"> </w:t>
      </w:r>
      <w:proofErr w:type="spellStart"/>
      <w:r w:rsidRPr="00143D29">
        <w:rPr>
          <w:rFonts w:cs="Verdana"/>
          <w:bCs/>
          <w:i/>
          <w:lang w:val="es-ES_tradnl"/>
        </w:rPr>
        <w:t>Dorzema</w:t>
      </w:r>
      <w:proofErr w:type="spellEnd"/>
      <w:r w:rsidRPr="00143D29">
        <w:rPr>
          <w:rFonts w:cs="Verdana"/>
          <w:bCs/>
          <w:i/>
          <w:lang w:val="es-ES_tradnl"/>
        </w:rPr>
        <w:t xml:space="preserve"> y otros Vs. República Dominicana. Fondo Reparaciones y Costas</w:t>
      </w:r>
      <w:r w:rsidRPr="00143D29">
        <w:rPr>
          <w:rFonts w:cs="Verdana"/>
          <w:bCs/>
          <w:lang w:val="es-ES_tradnl"/>
        </w:rPr>
        <w:t xml:space="preserve">. Sentencia de 24 de octubre de 2012. Serie C No. 251, </w:t>
      </w:r>
      <w:proofErr w:type="spellStart"/>
      <w:r w:rsidRPr="00143D29">
        <w:rPr>
          <w:rFonts w:cs="Verdana"/>
          <w:bCs/>
          <w:lang w:val="es-ES_tradnl"/>
        </w:rPr>
        <w:t>párrs</w:t>
      </w:r>
      <w:proofErr w:type="spellEnd"/>
      <w:r w:rsidRPr="00143D29">
        <w:rPr>
          <w:rFonts w:cs="Verdana"/>
          <w:bCs/>
          <w:lang w:val="es-ES_tradnl"/>
        </w:rPr>
        <w:t>. 235</w:t>
      </w:r>
      <w:r w:rsidRPr="00143D29">
        <w:rPr>
          <w:lang w:val="es-ES_tradnl"/>
        </w:rPr>
        <w:t xml:space="preserve">, 237 y 238; </w:t>
      </w:r>
      <w:r w:rsidRPr="00143D29">
        <w:rPr>
          <w:rFonts w:cs="Verdana"/>
          <w:bCs/>
          <w:i/>
          <w:lang w:val="es-ES_tradnl"/>
        </w:rPr>
        <w:t xml:space="preserve">Caso </w:t>
      </w:r>
      <w:proofErr w:type="spellStart"/>
      <w:r w:rsidRPr="00143D29">
        <w:rPr>
          <w:rFonts w:cs="Verdana"/>
          <w:bCs/>
          <w:i/>
          <w:lang w:val="es-ES_tradnl"/>
        </w:rPr>
        <w:t>Atala</w:t>
      </w:r>
      <w:proofErr w:type="spellEnd"/>
      <w:r w:rsidRPr="00143D29">
        <w:rPr>
          <w:rFonts w:cs="Verdana"/>
          <w:bCs/>
          <w:i/>
          <w:lang w:val="es-ES_tradnl"/>
        </w:rPr>
        <w:t xml:space="preserve"> Riffo y niñas Vs. Chile. Fondo, Reparaciones y Costas</w:t>
      </w:r>
      <w:r w:rsidRPr="00143D29">
        <w:rPr>
          <w:rFonts w:cs="Verdana"/>
          <w:bCs/>
          <w:lang w:val="es-ES_tradnl"/>
        </w:rPr>
        <w:t xml:space="preserve">. Sentencia del 24 de febrero de 2012. Serie C No. 239, </w:t>
      </w:r>
      <w:proofErr w:type="spellStart"/>
      <w:r w:rsidRPr="00143D29">
        <w:rPr>
          <w:rFonts w:cs="Verdana"/>
          <w:bCs/>
          <w:lang w:val="es-ES_tradnl"/>
        </w:rPr>
        <w:t>párrs</w:t>
      </w:r>
      <w:proofErr w:type="spellEnd"/>
      <w:r w:rsidRPr="00143D29">
        <w:rPr>
          <w:rFonts w:cs="Verdana"/>
          <w:bCs/>
          <w:lang w:val="es-ES_tradnl"/>
        </w:rPr>
        <w:t xml:space="preserve">. 92 y 267, </w:t>
      </w:r>
      <w:proofErr w:type="gramStart"/>
      <w:r w:rsidRPr="00143D29">
        <w:rPr>
          <w:lang w:val="es-ES_tradnl"/>
        </w:rPr>
        <w:t xml:space="preserve">y </w:t>
      </w:r>
      <w:r w:rsidRPr="00143D29">
        <w:rPr>
          <w:rFonts w:cs="Verdana"/>
          <w:bCs/>
          <w:i/>
          <w:lang w:val="es-ES_tradnl"/>
        </w:rPr>
        <w:t xml:space="preserve"> </w:t>
      </w:r>
      <w:proofErr w:type="spellStart"/>
      <w:r w:rsidRPr="00143D29">
        <w:rPr>
          <w:rFonts w:cs="Verdana"/>
          <w:bCs/>
          <w:i/>
          <w:lang w:val="es-ES_tradnl"/>
        </w:rPr>
        <w:t>Xákmok</w:t>
      </w:r>
      <w:proofErr w:type="spellEnd"/>
      <w:proofErr w:type="gramEnd"/>
      <w:r w:rsidRPr="00143D29">
        <w:rPr>
          <w:rFonts w:cs="Verdana"/>
          <w:bCs/>
          <w:i/>
          <w:lang w:val="es-ES_tradnl"/>
        </w:rPr>
        <w:t xml:space="preserve"> </w:t>
      </w:r>
      <w:proofErr w:type="spellStart"/>
      <w:r w:rsidRPr="00143D29">
        <w:rPr>
          <w:rFonts w:cs="Verdana"/>
          <w:bCs/>
          <w:i/>
          <w:lang w:val="es-ES_tradnl"/>
        </w:rPr>
        <w:t>Kásek</w:t>
      </w:r>
      <w:proofErr w:type="spellEnd"/>
      <w:r w:rsidRPr="00143D29">
        <w:rPr>
          <w:rFonts w:cs="Verdana"/>
          <w:bCs/>
          <w:i/>
          <w:lang w:val="es-ES_tradnl"/>
        </w:rPr>
        <w:t xml:space="preserve"> Vs. Paraguay. Fondo, Reparaciones y Costas</w:t>
      </w:r>
      <w:r w:rsidRPr="00143D29">
        <w:rPr>
          <w:rFonts w:cs="Verdana"/>
          <w:bCs/>
          <w:lang w:val="es-ES_tradnl"/>
        </w:rPr>
        <w:t xml:space="preserve">. Sentencia de 24 de agosto de 2010. Serie C No. 214, </w:t>
      </w:r>
      <w:proofErr w:type="spellStart"/>
      <w:r w:rsidRPr="00143D29">
        <w:rPr>
          <w:rFonts w:cs="Verdana"/>
          <w:bCs/>
          <w:lang w:val="es-ES_tradnl"/>
        </w:rPr>
        <w:t>párrs</w:t>
      </w:r>
      <w:proofErr w:type="spellEnd"/>
      <w:r w:rsidRPr="00143D29">
        <w:rPr>
          <w:rFonts w:cs="Verdana"/>
          <w:bCs/>
          <w:lang w:val="es-ES_tradnl"/>
        </w:rPr>
        <w:t xml:space="preserve">. 273 y 274. </w:t>
      </w:r>
      <w:r w:rsidRPr="00143D29">
        <w:rPr>
          <w:lang w:val="es-ES_tradnl"/>
        </w:rPr>
        <w:t xml:space="preserve">En similar sentido: </w:t>
      </w:r>
      <w:r w:rsidRPr="00143D29">
        <w:rPr>
          <w:rFonts w:cs="Verdana"/>
          <w:bCs/>
          <w:i/>
          <w:lang w:val="es-ES_tradnl"/>
        </w:rPr>
        <w:t>Caso González y otras (“Campo Algodonero”) Vs. México. Excepción Preliminar, Fondo, Reparaciones y Costas</w:t>
      </w:r>
      <w:r w:rsidRPr="00143D29">
        <w:rPr>
          <w:rFonts w:cs="Verdana"/>
          <w:bCs/>
          <w:lang w:val="es-ES_tradnl"/>
        </w:rPr>
        <w:t>. Sentencia de 16 de noviembre de 2009. Serie C No. 205, párr. 450.</w:t>
      </w:r>
      <w:r w:rsidRPr="00143D29">
        <w:rPr>
          <w:rFonts w:cs="Verdana"/>
          <w:b/>
          <w:bCs/>
          <w:lang w:val="es-ES_tradnl"/>
        </w:rPr>
        <w:t xml:space="preserve"> </w:t>
      </w:r>
    </w:p>
    <w:p w14:paraId="291B60D3" w14:textId="77777777" w:rsidR="00D4299B" w:rsidRPr="00143D29" w:rsidRDefault="00D4299B" w:rsidP="00130785">
      <w:pPr>
        <w:pStyle w:val="Textonotapie"/>
        <w:tabs>
          <w:tab w:val="left" w:pos="709"/>
        </w:tabs>
        <w:spacing w:after="0"/>
        <w:rPr>
          <w:rFonts w:cs="Verdana"/>
          <w:bCs/>
          <w:lang w:val="es-ES_tradnl"/>
        </w:rPr>
      </w:pPr>
    </w:p>
    <w:p w14:paraId="1A5E55DF" w14:textId="77777777" w:rsidR="00D4299B" w:rsidRPr="00143D29" w:rsidRDefault="00D4299B" w:rsidP="00130785">
      <w:pPr>
        <w:pStyle w:val="Textonotapie"/>
        <w:tabs>
          <w:tab w:val="left" w:pos="709"/>
        </w:tabs>
        <w:spacing w:after="0"/>
        <w:rPr>
          <w:rFonts w:cs="Verdana"/>
          <w:bCs/>
          <w:lang w:val="es-ES_tradnl"/>
        </w:rPr>
      </w:pPr>
    </w:p>
  </w:footnote>
  <w:footnote w:id="640">
    <w:p w14:paraId="30111D9C" w14:textId="77777777" w:rsidR="00D4299B" w:rsidRPr="00143D29" w:rsidRDefault="00D4299B" w:rsidP="00130785">
      <w:pPr>
        <w:pStyle w:val="Textonotapie"/>
        <w:tabs>
          <w:tab w:val="left" w:pos="709"/>
        </w:tabs>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Cfr.</w:t>
      </w:r>
      <w:r w:rsidRPr="00143D29">
        <w:rPr>
          <w:lang w:val="es-ES_tradnl"/>
        </w:rPr>
        <w:t xml:space="preserve"> Corte IDH. </w:t>
      </w:r>
      <w:r w:rsidRPr="00143D29">
        <w:rPr>
          <w:i/>
          <w:lang w:val="es-ES_tradnl"/>
        </w:rPr>
        <w:t xml:space="preserve">Caso Trabajadores Hacienda Brasil Verde Vs. Brasil. Excepciones Preliminares, Fondo, Reparaciones y Costas. </w:t>
      </w:r>
      <w:r w:rsidRPr="00143D29">
        <w:rPr>
          <w:lang w:val="es-ES_tradnl"/>
        </w:rPr>
        <w:t xml:space="preserve">Sentencia de 20 octubre de 2016, Serie C No. 318, párr. </w:t>
      </w:r>
      <w:r w:rsidRPr="00143D29">
        <w:rPr>
          <w:rFonts w:cs="Times New Roman"/>
          <w:lang w:val="es-ES_tradnl"/>
        </w:rPr>
        <w:t xml:space="preserve">110.  </w:t>
      </w:r>
    </w:p>
    <w:p w14:paraId="1BA9BC18" w14:textId="77777777" w:rsidR="00D4299B" w:rsidRPr="00143D29" w:rsidRDefault="00D4299B" w:rsidP="00130785">
      <w:pPr>
        <w:pStyle w:val="Textonotapie"/>
        <w:tabs>
          <w:tab w:val="left" w:pos="709"/>
        </w:tabs>
        <w:rPr>
          <w:lang w:val="es-ES_tradnl"/>
        </w:rPr>
      </w:pPr>
    </w:p>
  </w:footnote>
  <w:footnote w:id="641">
    <w:p w14:paraId="59A1B710" w14:textId="77777777" w:rsidR="00D4299B" w:rsidRPr="00143D29" w:rsidRDefault="00D4299B" w:rsidP="00130785">
      <w:pPr>
        <w:pStyle w:val="Textonotapie"/>
        <w:tabs>
          <w:tab w:val="left" w:pos="709"/>
        </w:tabs>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 xml:space="preserve">Sentencia de 20 octubre de 2016, Serie C No. 318, párr. </w:t>
      </w:r>
      <w:r w:rsidRPr="00143D29">
        <w:rPr>
          <w:rFonts w:cs="Times New Roman"/>
          <w:lang w:val="es-ES_tradnl"/>
        </w:rPr>
        <w:t>111.</w:t>
      </w:r>
    </w:p>
    <w:p w14:paraId="2BF8D28E" w14:textId="77777777" w:rsidR="00D4299B" w:rsidRPr="00143D29" w:rsidRDefault="00D4299B" w:rsidP="00130785">
      <w:pPr>
        <w:pStyle w:val="Textonotapie"/>
        <w:tabs>
          <w:tab w:val="left" w:pos="709"/>
        </w:tabs>
        <w:rPr>
          <w:lang w:val="es-ES_tradnl"/>
        </w:rPr>
      </w:pPr>
    </w:p>
  </w:footnote>
  <w:footnote w:id="642">
    <w:p w14:paraId="03B26117" w14:textId="77777777" w:rsidR="00D4299B" w:rsidRPr="00143D29" w:rsidRDefault="00D4299B" w:rsidP="00130785">
      <w:pPr>
        <w:pStyle w:val="Textonotapie"/>
        <w:tabs>
          <w:tab w:val="left" w:pos="709"/>
        </w:tabs>
        <w:rPr>
          <w:rFonts w:cs="Times New Roman"/>
          <w:b/>
          <w:lang w:val="es-ES_tradnl"/>
        </w:rPr>
      </w:pPr>
      <w:r w:rsidRPr="00143D29">
        <w:rPr>
          <w:rStyle w:val="Refdenotaalpie"/>
          <w:lang w:val="es-ES_tradnl"/>
        </w:rPr>
        <w:footnoteRef/>
      </w:r>
      <w:r w:rsidRPr="00143D29">
        <w:rPr>
          <w:lang w:val="es-ES_tradnl"/>
        </w:rPr>
        <w:t xml:space="preserve"> </w:t>
      </w:r>
      <w:r w:rsidRPr="00143D29">
        <w:rPr>
          <w:rFonts w:cs="Times New Roman"/>
          <w:b/>
          <w:color w:val="FF0000"/>
          <w:lang w:val="es-ES_tradnl"/>
        </w:rPr>
        <w:t xml:space="preserve"> </w:t>
      </w:r>
      <w:r w:rsidRPr="00143D29">
        <w:rPr>
          <w:rFonts w:cs="Times New Roman"/>
          <w:b/>
          <w:color w:val="FF0000"/>
          <w:lang w:val="es-ES_tradnl"/>
        </w:rPr>
        <w:tab/>
      </w:r>
      <w:r w:rsidRPr="00143D29">
        <w:rPr>
          <w:lang w:val="es-ES_tradnl"/>
        </w:rPr>
        <w:t xml:space="preserve">Corte IDH. </w:t>
      </w:r>
      <w:r w:rsidRPr="00143D29">
        <w:rPr>
          <w:i/>
          <w:lang w:val="es-ES_tradnl"/>
        </w:rPr>
        <w:t xml:space="preserve">Caso Trabajadores de la Hacienda Brasil Verde Vs. Brasil. Excepciones Preliminares, Fondo, Reparaciones y Costas. </w:t>
      </w:r>
      <w:r w:rsidRPr="00143D29">
        <w:rPr>
          <w:lang w:val="es-ES_tradnl"/>
        </w:rPr>
        <w:t>Sentencia de 20 de octubre de 2016, Serie C No. 318, párr.</w:t>
      </w:r>
      <w:r w:rsidRPr="00143D29">
        <w:rPr>
          <w:rFonts w:cs="Times New Roman"/>
          <w:lang w:val="es-ES_tradnl"/>
        </w:rPr>
        <w:t xml:space="preserve"> 112.</w:t>
      </w:r>
    </w:p>
    <w:p w14:paraId="6D43581D" w14:textId="77777777" w:rsidR="00D4299B" w:rsidRPr="00143D29" w:rsidRDefault="00D4299B" w:rsidP="00130785">
      <w:pPr>
        <w:pStyle w:val="Textonotapie"/>
        <w:tabs>
          <w:tab w:val="left" w:pos="709"/>
        </w:tabs>
        <w:rPr>
          <w:lang w:val="es-ES_tradnl"/>
        </w:rPr>
      </w:pPr>
    </w:p>
  </w:footnote>
  <w:footnote w:id="643">
    <w:p w14:paraId="4B98498B"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rFonts w:cs="Times New Roman"/>
          <w:lang w:val="es-ES_tradnl"/>
        </w:rPr>
        <w:t xml:space="preserve"> </w:t>
      </w:r>
      <w:r w:rsidRPr="00143D29">
        <w:rPr>
          <w:rFonts w:cs="Times New Roman"/>
          <w:lang w:val="es-ES_tradnl"/>
        </w:rPr>
        <w:tab/>
      </w:r>
      <w:r w:rsidRPr="00143D29">
        <w:rPr>
          <w:lang w:val="es-ES_tradnl"/>
        </w:rPr>
        <w:t xml:space="preserve">Corte IDH. </w:t>
      </w:r>
      <w:r w:rsidRPr="00143D29">
        <w:rPr>
          <w:i/>
          <w:lang w:val="es-ES_tradnl"/>
        </w:rPr>
        <w:t xml:space="preserve">Caso Trabajadores de la Hacienda Brasil Verde Vs. Brasil. Excepciones Preliminares, Fondo, Reparaciones y Costas. </w:t>
      </w:r>
      <w:r w:rsidRPr="00143D29">
        <w:rPr>
          <w:lang w:val="es-ES_tradnl"/>
        </w:rPr>
        <w:t>Sentencia de 20 de octubre de 2016, Serie C No. 318, párr</w:t>
      </w:r>
      <w:r w:rsidRPr="00143D29">
        <w:rPr>
          <w:rFonts w:cs="Times New Roman"/>
          <w:b/>
          <w:lang w:val="es-ES_tradnl"/>
        </w:rPr>
        <w:t xml:space="preserve">. </w:t>
      </w:r>
      <w:r w:rsidRPr="00143D29">
        <w:rPr>
          <w:rFonts w:cs="Times New Roman"/>
          <w:lang w:val="es-ES_tradnl"/>
        </w:rPr>
        <w:t xml:space="preserve">113. </w:t>
      </w:r>
    </w:p>
  </w:footnote>
  <w:footnote w:id="644">
    <w:p w14:paraId="2C4A40D3" w14:textId="77777777" w:rsidR="00D4299B" w:rsidRPr="00143D29" w:rsidRDefault="00D4299B" w:rsidP="00130785">
      <w:pPr>
        <w:pStyle w:val="Textonotapie"/>
        <w:tabs>
          <w:tab w:val="left" w:pos="709"/>
        </w:tabs>
        <w:rPr>
          <w:lang w:val="es-ES_tradnl"/>
        </w:rPr>
      </w:pPr>
    </w:p>
    <w:p w14:paraId="37A5A4A3"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Cfr. Corte IDH. </w:t>
      </w:r>
      <w:r w:rsidRPr="00143D29">
        <w:rPr>
          <w:i/>
          <w:lang w:val="es-ES_tradnl"/>
        </w:rPr>
        <w:t xml:space="preserve">Caso Trabajadores de la Hacienda Brasil Verde Vs. Brasil. Excepciones Preliminares, Fondo, Reparaciones y Costas. </w:t>
      </w:r>
      <w:r w:rsidRPr="00143D29">
        <w:rPr>
          <w:lang w:val="es-ES_tradnl"/>
        </w:rPr>
        <w:t>Sentencia de 20 de octubre de 2016, Serie C No. 318, párr. 114.</w:t>
      </w:r>
    </w:p>
    <w:p w14:paraId="68A9CDB7" w14:textId="77777777" w:rsidR="00D4299B" w:rsidRPr="00143D29" w:rsidRDefault="00D4299B" w:rsidP="00130785">
      <w:pPr>
        <w:pStyle w:val="Textonotapie"/>
        <w:tabs>
          <w:tab w:val="left" w:pos="709"/>
        </w:tabs>
        <w:rPr>
          <w:lang w:val="es-ES_tradnl"/>
        </w:rPr>
      </w:pPr>
    </w:p>
  </w:footnote>
  <w:footnote w:id="645">
    <w:p w14:paraId="5545D0C7"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Sentencia de 20 de octubre de 2016, Serie C No. 318, párr. 115</w:t>
      </w:r>
      <w:r w:rsidRPr="00143D29">
        <w:rPr>
          <w:rFonts w:cs="Times New Roman"/>
          <w:b/>
          <w:lang w:val="es-ES_tradnl"/>
        </w:rPr>
        <w:t>.</w:t>
      </w:r>
    </w:p>
  </w:footnote>
  <w:footnote w:id="646">
    <w:p w14:paraId="72674053" w14:textId="77777777" w:rsidR="00D4299B" w:rsidRPr="00143D29" w:rsidRDefault="00D4299B" w:rsidP="00130785">
      <w:pPr>
        <w:pStyle w:val="Textonotapie"/>
        <w:tabs>
          <w:tab w:val="left" w:pos="709"/>
        </w:tabs>
        <w:rPr>
          <w:lang w:val="es-ES_tradnl"/>
        </w:rPr>
      </w:pPr>
    </w:p>
    <w:p w14:paraId="7E1BAEC7" w14:textId="77777777" w:rsidR="00D4299B" w:rsidRPr="00143D29" w:rsidRDefault="00D4299B" w:rsidP="00130785">
      <w:pPr>
        <w:pStyle w:val="Textonotapie"/>
        <w:tabs>
          <w:tab w:val="left" w:pos="709"/>
        </w:tabs>
        <w:rPr>
          <w:rFonts w:cs="Times New Roman"/>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 xml:space="preserve">Sentencia de 20 de octubre de 2016, Serie C No. 318, párr. 128. </w:t>
      </w:r>
    </w:p>
    <w:p w14:paraId="070D079A" w14:textId="77777777" w:rsidR="00D4299B" w:rsidRPr="00143D29" w:rsidRDefault="00D4299B" w:rsidP="00130785">
      <w:pPr>
        <w:pStyle w:val="Textonotapie"/>
        <w:tabs>
          <w:tab w:val="left" w:pos="709"/>
        </w:tabs>
        <w:rPr>
          <w:lang w:val="es-ES_tradnl"/>
        </w:rPr>
      </w:pPr>
    </w:p>
  </w:footnote>
  <w:footnote w:id="647">
    <w:p w14:paraId="19E94370"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Sentencia de 20 de octubre de 2016, Serie C No. 318, párr. 303.</w:t>
      </w:r>
    </w:p>
  </w:footnote>
  <w:footnote w:id="648">
    <w:p w14:paraId="24CCE4C6" w14:textId="77777777" w:rsidR="00D4299B" w:rsidRPr="00143D29" w:rsidRDefault="00D4299B" w:rsidP="00130785">
      <w:pPr>
        <w:pStyle w:val="Textonotapie"/>
        <w:tabs>
          <w:tab w:val="left" w:pos="709"/>
        </w:tabs>
        <w:rPr>
          <w:lang w:val="es-ES_tradnl"/>
        </w:rPr>
      </w:pPr>
    </w:p>
    <w:p w14:paraId="63714589"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 xml:space="preserve">Sentencia de 20 de octubre de 2016, Serie C No. 318, párr. 304.  </w:t>
      </w:r>
    </w:p>
  </w:footnote>
  <w:footnote w:id="649">
    <w:p w14:paraId="0B858F29"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de los Trabajadores de la Hacienda Brasil Verde Vs. Brasil. Excepciones Preliminares, Fondo, Reparaciones y Costas. </w:t>
      </w:r>
      <w:r w:rsidRPr="00143D29">
        <w:rPr>
          <w:lang w:val="es-ES_tradnl"/>
        </w:rPr>
        <w:t xml:space="preserve">Sentencia de 20 de octubre de 2016, Serie C No. 318, párr. 343 y punto resolutivo 4. </w:t>
      </w:r>
    </w:p>
    <w:p w14:paraId="1DD1CB13" w14:textId="77777777" w:rsidR="00D4299B" w:rsidRPr="00143D29" w:rsidRDefault="00D4299B" w:rsidP="00130785">
      <w:pPr>
        <w:pStyle w:val="Textonotapie"/>
        <w:tabs>
          <w:tab w:val="left" w:pos="709"/>
        </w:tabs>
        <w:rPr>
          <w:lang w:val="es-ES_tradnl"/>
        </w:rPr>
      </w:pPr>
    </w:p>
  </w:footnote>
  <w:footnote w:id="650">
    <w:p w14:paraId="14684DB4"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ab/>
        <w:t xml:space="preserve">Corte IDH. </w:t>
      </w:r>
      <w:r w:rsidRPr="00143D29">
        <w:rPr>
          <w:i/>
          <w:lang w:val="es-ES_tradnl"/>
        </w:rPr>
        <w:t xml:space="preserve">Caso de los Trabajadores de la Hacienda Brasil Verde Vs. Brasil. Excepciones Preliminares, Fondo, Reparaciones y Costas. </w:t>
      </w:r>
      <w:r w:rsidRPr="00143D29">
        <w:rPr>
          <w:spacing w:val="-2"/>
          <w:lang w:val="es-ES_tradnl"/>
        </w:rPr>
        <w:t>Sentencia de 20 de octubre de 2016, Serie C No. 318, párr. 305.</w:t>
      </w:r>
      <w:r w:rsidRPr="00143D29">
        <w:rPr>
          <w:lang w:val="es-ES_tradnl"/>
        </w:rPr>
        <w:t xml:space="preserve"> </w:t>
      </w:r>
    </w:p>
    <w:p w14:paraId="0079B5E8" w14:textId="77777777" w:rsidR="00D4299B" w:rsidRPr="00143D29" w:rsidRDefault="00D4299B" w:rsidP="00130785">
      <w:pPr>
        <w:pStyle w:val="Textonotapie"/>
        <w:tabs>
          <w:tab w:val="left" w:pos="709"/>
        </w:tabs>
        <w:rPr>
          <w:lang w:val="es-ES_tradnl"/>
        </w:rPr>
      </w:pPr>
    </w:p>
  </w:footnote>
  <w:footnote w:id="651">
    <w:p w14:paraId="58442BA5" w14:textId="77777777" w:rsidR="00D4299B" w:rsidRPr="00143D29" w:rsidRDefault="00D4299B" w:rsidP="00130785">
      <w:pPr>
        <w:pStyle w:val="Prrafodelista"/>
        <w:tabs>
          <w:tab w:val="left" w:pos="709"/>
        </w:tabs>
        <w:ind w:left="0"/>
        <w:rPr>
          <w:rFonts w:cs="Times New Roman"/>
          <w:sz w:val="16"/>
          <w:szCs w:val="16"/>
          <w:lang w:val="es-ES_tradnl"/>
        </w:rPr>
      </w:pPr>
      <w:r w:rsidRPr="00143D29">
        <w:rPr>
          <w:rStyle w:val="Refdenotaalpie"/>
          <w:sz w:val="16"/>
          <w:szCs w:val="16"/>
          <w:lang w:val="es-ES_tradnl"/>
        </w:rPr>
        <w:footnoteRef/>
      </w:r>
      <w:r w:rsidRPr="00143D29">
        <w:rPr>
          <w:sz w:val="16"/>
          <w:szCs w:val="16"/>
          <w:lang w:val="es-ES_tradnl"/>
        </w:rPr>
        <w:t xml:space="preserve"> </w:t>
      </w:r>
      <w:r w:rsidRPr="00143D29">
        <w:rPr>
          <w:sz w:val="16"/>
          <w:szCs w:val="16"/>
          <w:lang w:val="es-ES_tradnl"/>
        </w:rPr>
        <w:tab/>
      </w:r>
      <w:r w:rsidRPr="00143D29">
        <w:rPr>
          <w:rFonts w:cs="Times New Roman"/>
          <w:sz w:val="16"/>
          <w:szCs w:val="16"/>
          <w:lang w:val="es-ES_tradnl"/>
        </w:rPr>
        <w:t xml:space="preserve">También sobre la discriminación estructural histórica se puede tener en consideración que: i) </w:t>
      </w:r>
      <w:r w:rsidRPr="00143D29">
        <w:rPr>
          <w:iCs/>
          <w:sz w:val="16"/>
          <w:szCs w:val="16"/>
          <w:lang w:val="es-ES_tradnl"/>
        </w:rPr>
        <w:t>En atención al elevado número de víctimas de esclavitud, trata y servidumbre que continúan siendo liberadas por parte de las autoridades brasileñas</w:t>
      </w:r>
      <w:r w:rsidRPr="00143D29">
        <w:rPr>
          <w:rStyle w:val="Refdenotaalpie"/>
          <w:iCs/>
          <w:sz w:val="16"/>
          <w:szCs w:val="16"/>
          <w:lang w:val="es-ES_tradnl"/>
        </w:rPr>
        <w:t xml:space="preserve"> </w:t>
      </w:r>
      <w:r w:rsidRPr="00143D29">
        <w:rPr>
          <w:iCs/>
          <w:sz w:val="16"/>
          <w:szCs w:val="16"/>
          <w:lang w:val="es-ES_tradnl"/>
        </w:rPr>
        <w:t xml:space="preserve">y al cambio de perspectiva de esos fenómenos y su ocurrencia “en los últimos eslabones de las cadenas de suministro de una economía globalizada”, es importante que el Estado adopte medidas para desalentar la demanda que alimenta la explotación del trabajo, tanto a través de trabajo forzoso como de servidumbre y esclavitud;  </w:t>
      </w:r>
      <w:proofErr w:type="spellStart"/>
      <w:r w:rsidRPr="00143D29">
        <w:rPr>
          <w:iCs/>
          <w:sz w:val="16"/>
          <w:szCs w:val="16"/>
          <w:lang w:val="es-ES_tradnl"/>
        </w:rPr>
        <w:t>ii</w:t>
      </w:r>
      <w:proofErr w:type="spellEnd"/>
      <w:r w:rsidRPr="00143D29">
        <w:rPr>
          <w:iCs/>
          <w:sz w:val="16"/>
          <w:szCs w:val="16"/>
          <w:lang w:val="es-ES_tradnl"/>
        </w:rPr>
        <w:t xml:space="preserve">) </w:t>
      </w:r>
      <w:r w:rsidRPr="00143D29">
        <w:rPr>
          <w:sz w:val="16"/>
          <w:szCs w:val="16"/>
          <w:lang w:val="es-ES_tradnl"/>
        </w:rPr>
        <w:t xml:space="preserve">Al respecto, en el caso concreto la Corte constató una serie de fallas y negligencia de parte del Estado en el sentido de prevenir la ocurrencia de servidumbre, trata y esclavitud en su territorio con anterioridad a 2000, pero también a partir de la denuncia concreta realizada por los señores Antonio Francisco da Silva y </w:t>
      </w:r>
      <w:r w:rsidRPr="00143D29">
        <w:rPr>
          <w:sz w:val="16"/>
          <w:szCs w:val="16"/>
          <w:lang w:val="pt-BR"/>
        </w:rPr>
        <w:t>José Francisco Furtado de Sousa</w:t>
      </w:r>
      <w:r w:rsidRPr="00143D29">
        <w:rPr>
          <w:sz w:val="16"/>
          <w:szCs w:val="16"/>
          <w:lang w:val="es-ES_tradnl"/>
        </w:rPr>
        <w:t xml:space="preserve">, y </w:t>
      </w:r>
      <w:proofErr w:type="spellStart"/>
      <w:r w:rsidRPr="00143D29">
        <w:rPr>
          <w:sz w:val="16"/>
          <w:szCs w:val="16"/>
          <w:lang w:val="es-ES_tradnl"/>
        </w:rPr>
        <w:t>iii</w:t>
      </w:r>
      <w:proofErr w:type="spellEnd"/>
      <w:r w:rsidRPr="00143D29">
        <w:rPr>
          <w:sz w:val="16"/>
          <w:szCs w:val="16"/>
          <w:lang w:val="es-ES_tradnl"/>
        </w:rPr>
        <w:t xml:space="preserve">) Desde 1988 se han realizado varias denuncias sobre la existencia de situación análoga a la esclavitud en el Estado de Pará, y específicamente en la Hacienda Brasil Verde. Dichas denuncias identificaban un </w:t>
      </w:r>
      <w:r w:rsidRPr="00143D29">
        <w:rPr>
          <w:i/>
          <w:sz w:val="16"/>
          <w:szCs w:val="16"/>
          <w:lang w:val="es-ES_tradnl"/>
        </w:rPr>
        <w:t>modus operandi</w:t>
      </w:r>
      <w:r w:rsidRPr="00143D29">
        <w:rPr>
          <w:sz w:val="16"/>
          <w:szCs w:val="16"/>
          <w:lang w:val="es-ES_tradnl"/>
        </w:rPr>
        <w:t xml:space="preserve"> de reclutamiento y explotación de trabajadores en esa región específica del sur del Estado de Pará.  Corte IDH. </w:t>
      </w:r>
      <w:r w:rsidRPr="00143D29">
        <w:rPr>
          <w:i/>
          <w:sz w:val="16"/>
          <w:szCs w:val="16"/>
          <w:lang w:val="es-ES_tradnl"/>
        </w:rPr>
        <w:t xml:space="preserve">Caso de los Trabajadores de la Hacienda Brasil Verde Vs. Brasil. Excepciones Preliminares, Fondo, Reparaciones y Costas. </w:t>
      </w:r>
      <w:r w:rsidRPr="00143D29">
        <w:rPr>
          <w:sz w:val="16"/>
          <w:szCs w:val="16"/>
          <w:lang w:val="es-ES_tradnl"/>
        </w:rPr>
        <w:t xml:space="preserve">Sentencia de 20 de octubre de 2016, Serie C No. 318, </w:t>
      </w:r>
      <w:proofErr w:type="spellStart"/>
      <w:r w:rsidRPr="00143D29">
        <w:rPr>
          <w:sz w:val="16"/>
          <w:szCs w:val="16"/>
          <w:lang w:val="es-ES_tradnl"/>
        </w:rPr>
        <w:t>párrs</w:t>
      </w:r>
      <w:proofErr w:type="spellEnd"/>
      <w:r w:rsidRPr="00143D29">
        <w:rPr>
          <w:sz w:val="16"/>
          <w:szCs w:val="16"/>
          <w:lang w:val="es-ES_tradnl"/>
        </w:rPr>
        <w:t xml:space="preserve">. 318, 319, 326 y 327. </w:t>
      </w:r>
    </w:p>
    <w:p w14:paraId="4A4B32C8" w14:textId="77777777" w:rsidR="00D4299B" w:rsidRPr="00143D29" w:rsidRDefault="00D4299B" w:rsidP="00130785">
      <w:pPr>
        <w:pStyle w:val="Textonotapie"/>
        <w:tabs>
          <w:tab w:val="left" w:pos="709"/>
        </w:tabs>
        <w:rPr>
          <w:lang w:val="es-ES_tradnl"/>
        </w:rPr>
      </w:pPr>
    </w:p>
  </w:footnote>
  <w:footnote w:id="652">
    <w:p w14:paraId="41E7FFCB"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 xml:space="preserve">Sentencia de 20 de octubre de 2016, Serie C No. 318, párr. 339. </w:t>
      </w:r>
    </w:p>
    <w:p w14:paraId="7C4CE01D" w14:textId="77777777" w:rsidR="00D4299B" w:rsidRPr="00143D29" w:rsidRDefault="00D4299B" w:rsidP="00130785">
      <w:pPr>
        <w:pStyle w:val="Textonotapie"/>
        <w:tabs>
          <w:tab w:val="left" w:pos="709"/>
        </w:tabs>
        <w:rPr>
          <w:lang w:val="es-ES_tradnl"/>
        </w:rPr>
      </w:pPr>
    </w:p>
  </w:footnote>
  <w:footnote w:id="653">
    <w:p w14:paraId="2C3EC2C8"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t xml:space="preserve">Corte IDH. </w:t>
      </w:r>
      <w:r w:rsidRPr="00143D29">
        <w:rPr>
          <w:i/>
          <w:lang w:val="es-ES_tradnl"/>
        </w:rPr>
        <w:t xml:space="preserve">Caso Trabajadores de la Hacienda Brasil Verde Vs. Brasil. Excepciones Preliminares, Fondo, Reparaciones y Costas. </w:t>
      </w:r>
      <w:r w:rsidRPr="00143D29">
        <w:rPr>
          <w:lang w:val="es-ES_tradnl"/>
        </w:rPr>
        <w:t xml:space="preserve">Sentencia </w:t>
      </w:r>
      <w:proofErr w:type="gramStart"/>
      <w:r w:rsidRPr="00143D29">
        <w:rPr>
          <w:lang w:val="es-ES_tradnl"/>
        </w:rPr>
        <w:t>de  20</w:t>
      </w:r>
      <w:proofErr w:type="gramEnd"/>
      <w:r w:rsidRPr="00143D29">
        <w:rPr>
          <w:lang w:val="es-ES_tradnl"/>
        </w:rPr>
        <w:t xml:space="preserve"> de octubre de 2016, Serie C No. 318, párr. 338.</w:t>
      </w:r>
    </w:p>
  </w:footnote>
  <w:footnote w:id="654">
    <w:p w14:paraId="7EC32B13" w14:textId="77777777" w:rsidR="00D4299B" w:rsidRPr="00143D29" w:rsidRDefault="00D4299B" w:rsidP="00130785">
      <w:pPr>
        <w:pStyle w:val="Textonotapie"/>
        <w:tabs>
          <w:tab w:val="left" w:pos="709"/>
        </w:tabs>
        <w:rPr>
          <w:lang w:val="es-ES_tradnl"/>
        </w:rPr>
      </w:pPr>
    </w:p>
    <w:p w14:paraId="20586F7D" w14:textId="77777777" w:rsidR="00D4299B" w:rsidRPr="00143D29" w:rsidRDefault="00D4299B" w:rsidP="00130785">
      <w:pPr>
        <w:pStyle w:val="Textonotapie"/>
        <w:tabs>
          <w:tab w:val="left" w:pos="709"/>
        </w:tabs>
        <w:rPr>
          <w:lang w:val="es-ES_tradnl"/>
        </w:rPr>
      </w:pPr>
      <w:r w:rsidRPr="00143D29">
        <w:rPr>
          <w:rStyle w:val="Refdenotaalpie"/>
          <w:lang w:val="es-ES_tradnl"/>
        </w:rPr>
        <w:footnoteRef/>
      </w:r>
      <w:r w:rsidRPr="00143D29">
        <w:rPr>
          <w:lang w:val="es-ES_tradnl"/>
        </w:rPr>
        <w:t xml:space="preserve"> </w:t>
      </w:r>
      <w:r w:rsidRPr="00143D29">
        <w:rPr>
          <w:lang w:val="es-ES_tradnl"/>
        </w:rPr>
        <w:tab/>
      </w:r>
      <w:r w:rsidRPr="00143D29">
        <w:rPr>
          <w:i/>
          <w:lang w:val="es-ES_tradnl"/>
        </w:rPr>
        <w:t>Cfr</w:t>
      </w:r>
      <w:r w:rsidRPr="00143D29">
        <w:rPr>
          <w:lang w:val="es-ES_tradnl"/>
        </w:rPr>
        <w:t xml:space="preserve">. Giménez </w:t>
      </w:r>
      <w:proofErr w:type="spellStart"/>
      <w:r w:rsidRPr="00143D29">
        <w:rPr>
          <w:lang w:val="es-ES_tradnl"/>
        </w:rPr>
        <w:t>Glück</w:t>
      </w:r>
      <w:proofErr w:type="spellEnd"/>
      <w:r w:rsidRPr="00143D29">
        <w:rPr>
          <w:lang w:val="es-ES_tradnl"/>
        </w:rPr>
        <w:t xml:space="preserve">, David, </w:t>
      </w:r>
      <w:r w:rsidRPr="00143D29">
        <w:rPr>
          <w:i/>
          <w:lang w:val="es-ES_tradnl"/>
        </w:rPr>
        <w:t xml:space="preserve">El juicio de igualdad y Tribunal Constitucional, </w:t>
      </w:r>
      <w:r w:rsidRPr="00143D29">
        <w:rPr>
          <w:lang w:val="es-ES_tradnl"/>
        </w:rPr>
        <w:t>Barcelona, Bosch, 2004, pp. 311-312 y ss.</w:t>
      </w:r>
    </w:p>
    <w:p w14:paraId="7BB9E459" w14:textId="77777777" w:rsidR="00D4299B" w:rsidRPr="00143D29" w:rsidRDefault="00D4299B" w:rsidP="00130785">
      <w:pPr>
        <w:pStyle w:val="Textonotapie"/>
        <w:tabs>
          <w:tab w:val="left" w:pos="709"/>
        </w:tabs>
        <w:rPr>
          <w:lang w:val="es-ES_tradnl"/>
        </w:rPr>
      </w:pPr>
      <w:r w:rsidRPr="00143D29">
        <w:rPr>
          <w:lang w:val="es-ES_tradnl"/>
        </w:rPr>
        <w:t xml:space="preserve">   </w:t>
      </w:r>
    </w:p>
  </w:footnote>
  <w:footnote w:id="655">
    <w:p w14:paraId="257A37A6" w14:textId="77777777" w:rsidR="00D4299B" w:rsidRPr="00143D29" w:rsidRDefault="00D4299B" w:rsidP="00130785">
      <w:pPr>
        <w:pStyle w:val="Textonotapie"/>
        <w:tabs>
          <w:tab w:val="left" w:pos="567"/>
          <w:tab w:val="left" w:pos="709"/>
        </w:tabs>
        <w:rPr>
          <w:lang w:val="es-ES_tradnl"/>
        </w:rPr>
      </w:pPr>
      <w:r w:rsidRPr="00143D29">
        <w:rPr>
          <w:rStyle w:val="Refdenotaalpie"/>
        </w:rPr>
        <w:footnoteRef/>
      </w:r>
      <w:r w:rsidRPr="00143D29">
        <w:rPr>
          <w:lang w:val="es-ES"/>
        </w:rPr>
        <w:t xml:space="preserve"> </w:t>
      </w:r>
      <w:r w:rsidRPr="00143D29">
        <w:rPr>
          <w:lang w:val="es-ES_tradnl"/>
        </w:rPr>
        <w:t xml:space="preserve"> </w:t>
      </w:r>
      <w:r w:rsidRPr="00143D29">
        <w:rPr>
          <w:lang w:val="es-ES_tradnl"/>
        </w:rPr>
        <w:tab/>
      </w:r>
      <w:r w:rsidRPr="00143D29">
        <w:rPr>
          <w:lang w:val="es-ES_tradnl"/>
        </w:rPr>
        <w:tab/>
      </w:r>
      <w:r w:rsidRPr="00143D29">
        <w:rPr>
          <w:rFonts w:cs="Times New Roman"/>
          <w:lang w:val="es-ES_tradnl"/>
        </w:rPr>
        <w:t xml:space="preserve">Es de resaltar, en este caso, que la Corte IDH no determinó </w:t>
      </w:r>
      <w:r w:rsidRPr="00143D29">
        <w:rPr>
          <w:rFonts w:cs="Times New Roman"/>
          <w:i/>
          <w:lang w:val="es-ES_tradnl"/>
        </w:rPr>
        <w:t>medidas de no repetición</w:t>
      </w:r>
      <w:r w:rsidRPr="00143D29">
        <w:rPr>
          <w:rFonts w:cs="Times New Roman"/>
          <w:lang w:val="es-ES_tradnl"/>
        </w:rPr>
        <w:t xml:space="preserve"> como parte de las reparaciones, al considerar que a partir del año 1995 el Estado brasileño ha redoblado esfuerzos para evitar la perpetuación de la situación de captación de personas pobres que son sometidas a trabajo esclavo, acción que la Corte IDH valoró positivamente; con independencia de lo anterior, y sin demeritar los esfuerzos que hasta ahora han sido implementados, la Corte IDH </w:t>
      </w:r>
      <w:r w:rsidRPr="00143D29">
        <w:rPr>
          <w:rFonts w:cs="Arial"/>
          <w:i/>
          <w:iCs/>
          <w:lang w:val="es-ES_tradnl"/>
        </w:rPr>
        <w:t>instó</w:t>
      </w:r>
      <w:r w:rsidRPr="00143D29">
        <w:rPr>
          <w:rFonts w:cs="Arial"/>
          <w:iCs/>
          <w:lang w:val="es-ES_tradnl"/>
        </w:rPr>
        <w:t xml:space="preserve"> al Estado a continuar incrementando la eficacia de sus políticas y la interacción entre los varios órganos vinculados al combate de la esclavitud en Brasil, </w:t>
      </w:r>
      <w:r w:rsidRPr="00143D29">
        <w:rPr>
          <w:rFonts w:cs="Arial"/>
          <w:i/>
          <w:iCs/>
          <w:lang w:val="es-ES_tradnl"/>
        </w:rPr>
        <w:t>sin permitir ninguna regresión en la materia</w:t>
      </w:r>
      <w:r w:rsidRPr="00143D29">
        <w:rPr>
          <w:rFonts w:cs="Arial"/>
          <w:iCs/>
          <w:lang w:val="es-ES_tradnl"/>
        </w:rPr>
        <w:t xml:space="preserve">. </w:t>
      </w:r>
      <w:r w:rsidRPr="00143D29">
        <w:rPr>
          <w:rFonts w:cs="Times New Roman"/>
          <w:lang w:val="es-ES_tradnl"/>
        </w:rPr>
        <w:t xml:space="preserve">En este sentido, el mandato de no regresividad, implica que si bien no se dictaron acciones y medidas adicionales a las implementas por ser suficientes a criterio del Tribunal Interamericano, la garantía de no repetición no se agota únicamente con la existencia de acciones, medidas, normas y políticas públicas sino que toda esa gama de mecanismos se hagan efectivos y se materialicen en la realidad y, por ende, no permitan la existencia nuevamente de situaciones de discriminación como las que se presentaron en la Sentencia. </w:t>
      </w:r>
      <w:r w:rsidRPr="00143D29">
        <w:rPr>
          <w:rFonts w:cs="Times New Roman"/>
          <w:i/>
          <w:lang w:val="es-ES_tradnl"/>
        </w:rPr>
        <w:t>Cfr.</w:t>
      </w:r>
      <w:r w:rsidRPr="00143D29">
        <w:rPr>
          <w:rFonts w:cs="Times New Roman"/>
          <w:lang w:val="es-ES_tradnl"/>
        </w:rPr>
        <w:t xml:space="preserve"> </w:t>
      </w:r>
      <w:r w:rsidRPr="00143D29">
        <w:rPr>
          <w:lang w:val="es-ES_tradnl"/>
        </w:rPr>
        <w:t xml:space="preserve">Corte IDH. </w:t>
      </w:r>
      <w:r w:rsidRPr="00143D29">
        <w:rPr>
          <w:i/>
          <w:lang w:val="es-ES_tradnl"/>
        </w:rPr>
        <w:t xml:space="preserve">Caso de los Trabajadores de la Hacienda Brasil Verde Vs. Brasil. Excepciones Preliminares, Fondo, Reparaciones y Costas. </w:t>
      </w:r>
      <w:r w:rsidRPr="00143D29">
        <w:rPr>
          <w:lang w:val="es-ES_tradnl"/>
        </w:rPr>
        <w:t>Sentencia de 20 octubre de 2016, Serie C No. 318, párr. 470.</w:t>
      </w:r>
    </w:p>
    <w:p w14:paraId="5CB5A4F5" w14:textId="77777777" w:rsidR="00D4299B" w:rsidRPr="00143D29" w:rsidRDefault="00D4299B" w:rsidP="00130785">
      <w:pPr>
        <w:pStyle w:val="Textonotapie"/>
        <w:tabs>
          <w:tab w:val="left" w:pos="567"/>
          <w:tab w:val="left" w:pos="709"/>
        </w:tabs>
        <w:rPr>
          <w:lang w:val="es-ES_tradnl"/>
        </w:rPr>
      </w:pPr>
    </w:p>
  </w:footnote>
  <w:footnote w:id="656">
    <w:p w14:paraId="3F863A0C" w14:textId="77777777" w:rsidR="00D4299B" w:rsidRPr="00143D29" w:rsidRDefault="00D4299B" w:rsidP="00130785">
      <w:pPr>
        <w:pStyle w:val="Textonotapie"/>
        <w:tabs>
          <w:tab w:val="left" w:pos="709"/>
        </w:tabs>
        <w:rPr>
          <w:lang w:val="pt-BR"/>
        </w:rPr>
      </w:pPr>
      <w:r w:rsidRPr="00143D29">
        <w:rPr>
          <w:rStyle w:val="Refdenotaalpie"/>
        </w:rPr>
        <w:footnoteRef/>
      </w:r>
      <w:r w:rsidRPr="00143D29">
        <w:rPr>
          <w:lang w:val="es-ES"/>
        </w:rPr>
        <w:t xml:space="preserve"> </w:t>
      </w:r>
      <w:r w:rsidRPr="00143D29">
        <w:rPr>
          <w:lang w:val="es-ES"/>
        </w:rPr>
        <w:tab/>
      </w:r>
      <w:r w:rsidRPr="00143D29">
        <w:rPr>
          <w:lang w:val="es-ES_tradnl"/>
        </w:rPr>
        <w:t xml:space="preserve">Corte IDH. </w:t>
      </w:r>
      <w:r w:rsidRPr="00143D29">
        <w:rPr>
          <w:i/>
          <w:lang w:val="es-ES_tradnl"/>
        </w:rPr>
        <w:t xml:space="preserve">Caso Trabajadores de la Hacienda Brasil Verde Vs. Brasil. Excepciones Preliminares, Fondo, Reparaciones y Costas. </w:t>
      </w:r>
      <w:r w:rsidRPr="00143D29">
        <w:rPr>
          <w:lang w:val="pt-BR"/>
        </w:rPr>
        <w:t xml:space="preserve">Sentencia de 20 de </w:t>
      </w:r>
      <w:proofErr w:type="spellStart"/>
      <w:r w:rsidRPr="00143D29">
        <w:rPr>
          <w:lang w:val="pt-BR"/>
        </w:rPr>
        <w:t>octubre</w:t>
      </w:r>
      <w:proofErr w:type="spellEnd"/>
      <w:r w:rsidRPr="00143D29">
        <w:rPr>
          <w:lang w:val="pt-BR"/>
        </w:rPr>
        <w:t xml:space="preserve"> de 2016, </w:t>
      </w:r>
      <w:proofErr w:type="spellStart"/>
      <w:r w:rsidRPr="00143D29">
        <w:rPr>
          <w:lang w:val="pt-BR"/>
        </w:rPr>
        <w:t>Serie</w:t>
      </w:r>
      <w:proofErr w:type="spellEnd"/>
      <w:r w:rsidRPr="00143D29">
        <w:rPr>
          <w:lang w:val="pt-BR"/>
        </w:rPr>
        <w:t xml:space="preserve"> C No. 318, </w:t>
      </w:r>
      <w:proofErr w:type="spellStart"/>
      <w:r w:rsidRPr="00143D29">
        <w:rPr>
          <w:lang w:val="pt-BR"/>
        </w:rPr>
        <w:t>párr</w:t>
      </w:r>
      <w:proofErr w:type="spellEnd"/>
      <w:r w:rsidRPr="00143D29">
        <w:rPr>
          <w:lang w:val="pt-BR"/>
        </w:rPr>
        <w:t xml:space="preserve">. 340. </w:t>
      </w:r>
      <w:r w:rsidRPr="00143D29">
        <w:rPr>
          <w:i/>
          <w:lang w:val="pt-BR"/>
        </w:rPr>
        <w:t>Cfr.</w:t>
      </w:r>
      <w:r w:rsidRPr="00143D29">
        <w:rPr>
          <w:lang w:val="pt-BR"/>
        </w:rPr>
        <w:t xml:space="preserve"> OIT – Brasil. </w:t>
      </w:r>
      <w:r w:rsidRPr="00143D29">
        <w:rPr>
          <w:i/>
          <w:lang w:val="pt-BR"/>
        </w:rPr>
        <w:t>Combatendo o trabalho Escravo Contemporâneo: o exemplo do Brasil</w:t>
      </w:r>
      <w:r w:rsidRPr="00143D29">
        <w:rPr>
          <w:lang w:val="pt-BR"/>
        </w:rPr>
        <w:t xml:space="preserve">, 2010, pág. 2010 (expediente de </w:t>
      </w:r>
      <w:proofErr w:type="spellStart"/>
      <w:r w:rsidRPr="00143D29">
        <w:rPr>
          <w:lang w:val="pt-BR"/>
        </w:rPr>
        <w:t>prueba</w:t>
      </w:r>
      <w:proofErr w:type="spellEnd"/>
      <w:r w:rsidRPr="00143D29">
        <w:rPr>
          <w:lang w:val="pt-BR"/>
        </w:rPr>
        <w:t>, folio 8529).</w:t>
      </w:r>
    </w:p>
    <w:p w14:paraId="1B6DBF8B" w14:textId="77777777" w:rsidR="00D4299B" w:rsidRPr="00143D29" w:rsidRDefault="00D4299B" w:rsidP="00130785">
      <w:pPr>
        <w:pStyle w:val="Textonotapie"/>
        <w:tabs>
          <w:tab w:val="left" w:pos="709"/>
        </w:tabs>
        <w:rPr>
          <w:lang w:val="pt-BR"/>
        </w:rPr>
      </w:pPr>
    </w:p>
  </w:footnote>
  <w:footnote w:id="657">
    <w:p w14:paraId="5C5A0186" w14:textId="77777777" w:rsidR="00D4299B" w:rsidRPr="00143D29" w:rsidRDefault="00D4299B" w:rsidP="00130785">
      <w:pPr>
        <w:pStyle w:val="Textonotapie"/>
        <w:tabs>
          <w:tab w:val="clear" w:pos="4419"/>
          <w:tab w:val="clear" w:pos="8838"/>
        </w:tabs>
        <w:rPr>
          <w:lang w:val="es-ES_tradnl"/>
        </w:rPr>
      </w:pPr>
      <w:r w:rsidRPr="00143D29">
        <w:rPr>
          <w:rStyle w:val="Refdenotaalpie"/>
        </w:rPr>
        <w:footnoteRef/>
      </w:r>
      <w:r w:rsidRPr="00143D29">
        <w:rPr>
          <w:lang w:val="es-ES"/>
        </w:rPr>
        <w:t xml:space="preserve"> </w:t>
      </w:r>
      <w:r w:rsidRPr="00143D29">
        <w:rPr>
          <w:lang w:val="es-ES"/>
        </w:rPr>
        <w:tab/>
      </w:r>
      <w:r w:rsidRPr="00143D29">
        <w:rPr>
          <w:i/>
          <w:lang w:val="es-ES_tradnl"/>
        </w:rPr>
        <w:t>Cfr.</w:t>
      </w:r>
      <w:r w:rsidRPr="00143D29">
        <w:rPr>
          <w:lang w:val="es-ES_tradnl"/>
        </w:rPr>
        <w:t xml:space="preserve"> </w:t>
      </w:r>
      <w:proofErr w:type="spellStart"/>
      <w:r w:rsidRPr="00143D29">
        <w:rPr>
          <w:lang w:val="es-ES_tradnl"/>
        </w:rPr>
        <w:t>Piovesan</w:t>
      </w:r>
      <w:proofErr w:type="spellEnd"/>
      <w:r w:rsidRPr="00143D29">
        <w:rPr>
          <w:lang w:val="es-ES_tradnl"/>
        </w:rPr>
        <w:t xml:space="preserve">, </w:t>
      </w:r>
      <w:proofErr w:type="spellStart"/>
      <w:r w:rsidRPr="00143D29">
        <w:rPr>
          <w:lang w:val="es-ES_tradnl"/>
        </w:rPr>
        <w:t>Flávia</w:t>
      </w:r>
      <w:proofErr w:type="spellEnd"/>
      <w:r w:rsidRPr="00143D29">
        <w:rPr>
          <w:lang w:val="es-ES_tradnl"/>
        </w:rPr>
        <w:t xml:space="preserve">, “Protección de los derechos sociales: retos de un </w:t>
      </w:r>
      <w:r w:rsidRPr="00143D29">
        <w:rPr>
          <w:i/>
          <w:lang w:val="es-ES_tradnl"/>
        </w:rPr>
        <w:t xml:space="preserve">ius </w:t>
      </w:r>
      <w:proofErr w:type="spellStart"/>
      <w:r w:rsidRPr="00143D29">
        <w:rPr>
          <w:i/>
          <w:lang w:val="es-ES_tradnl"/>
        </w:rPr>
        <w:t>commune</w:t>
      </w:r>
      <w:proofErr w:type="spellEnd"/>
      <w:r w:rsidRPr="00143D29">
        <w:rPr>
          <w:lang w:val="es-ES_tradnl"/>
        </w:rPr>
        <w:t xml:space="preserve"> para Sudamérica”</w:t>
      </w:r>
      <w:r w:rsidRPr="00143D29">
        <w:rPr>
          <w:i/>
          <w:lang w:val="es-ES_tradnl"/>
        </w:rPr>
        <w:t xml:space="preserve">, </w:t>
      </w:r>
      <w:r w:rsidRPr="00143D29">
        <w:rPr>
          <w:lang w:val="es-ES_tradnl"/>
        </w:rPr>
        <w:t xml:space="preserve">en </w:t>
      </w:r>
      <w:proofErr w:type="spellStart"/>
      <w:r w:rsidRPr="00143D29">
        <w:rPr>
          <w:lang w:val="es-ES_tradnl"/>
        </w:rPr>
        <w:t>Bogdandy</w:t>
      </w:r>
      <w:proofErr w:type="spellEnd"/>
      <w:r w:rsidRPr="00143D29">
        <w:rPr>
          <w:lang w:val="es-ES_tradnl"/>
        </w:rPr>
        <w:t xml:space="preserve">, Armin </w:t>
      </w:r>
      <w:proofErr w:type="spellStart"/>
      <w:r w:rsidRPr="00143D29">
        <w:rPr>
          <w:lang w:val="es-ES_tradnl"/>
        </w:rPr>
        <w:t>von</w:t>
      </w:r>
      <w:proofErr w:type="spellEnd"/>
      <w:r w:rsidRPr="00143D29">
        <w:rPr>
          <w:lang w:val="es-ES_tradnl"/>
        </w:rPr>
        <w:t xml:space="preserve">, </w:t>
      </w:r>
      <w:proofErr w:type="spellStart"/>
      <w:r w:rsidRPr="00143D29">
        <w:rPr>
          <w:lang w:val="es-ES_tradnl"/>
        </w:rPr>
        <w:t>Fix</w:t>
      </w:r>
      <w:proofErr w:type="spellEnd"/>
      <w:r w:rsidRPr="00143D29">
        <w:rPr>
          <w:lang w:val="es-ES_tradnl"/>
        </w:rPr>
        <w:t xml:space="preserve"> Fierro, Héctor, Morales </w:t>
      </w:r>
      <w:proofErr w:type="spellStart"/>
      <w:r w:rsidRPr="00143D29">
        <w:rPr>
          <w:lang w:val="es-ES_tradnl"/>
        </w:rPr>
        <w:t>Antoniazzi</w:t>
      </w:r>
      <w:proofErr w:type="spellEnd"/>
      <w:r w:rsidRPr="00143D29">
        <w:rPr>
          <w:lang w:val="es-ES_tradnl"/>
        </w:rPr>
        <w:t>, Mariela, y Ferrer Mac-</w:t>
      </w:r>
      <w:proofErr w:type="spellStart"/>
      <w:r w:rsidRPr="00143D29">
        <w:rPr>
          <w:lang w:val="es-ES_tradnl"/>
        </w:rPr>
        <w:t>Gregor</w:t>
      </w:r>
      <w:proofErr w:type="spellEnd"/>
      <w:r w:rsidRPr="00143D29">
        <w:rPr>
          <w:lang w:val="es-ES_tradnl"/>
        </w:rPr>
        <w:t>, Eduardo (</w:t>
      </w:r>
      <w:proofErr w:type="spellStart"/>
      <w:r w:rsidRPr="00143D29">
        <w:rPr>
          <w:lang w:val="es-ES_tradnl"/>
        </w:rPr>
        <w:t>coords</w:t>
      </w:r>
      <w:proofErr w:type="spellEnd"/>
      <w:r w:rsidRPr="00143D29">
        <w:rPr>
          <w:lang w:val="es-ES_tradnl"/>
        </w:rPr>
        <w:t xml:space="preserve">.), </w:t>
      </w:r>
      <w:r w:rsidRPr="00143D29">
        <w:rPr>
          <w:i/>
          <w:lang w:val="es-ES_tradnl"/>
        </w:rPr>
        <w:t xml:space="preserve">Construcción y papel de los derechos sociales fundamentales: Hacia un </w:t>
      </w:r>
      <w:r w:rsidRPr="00143D29">
        <w:rPr>
          <w:lang w:val="es-ES_tradnl"/>
        </w:rPr>
        <w:t xml:space="preserve">Ius </w:t>
      </w:r>
      <w:proofErr w:type="spellStart"/>
      <w:r w:rsidRPr="00143D29">
        <w:rPr>
          <w:lang w:val="es-ES_tradnl"/>
        </w:rPr>
        <w:t>Constitutionale</w:t>
      </w:r>
      <w:proofErr w:type="spellEnd"/>
      <w:r w:rsidRPr="00143D29">
        <w:rPr>
          <w:lang w:val="es-ES_tradnl"/>
        </w:rPr>
        <w:t xml:space="preserve"> </w:t>
      </w:r>
      <w:proofErr w:type="spellStart"/>
      <w:r w:rsidRPr="00143D29">
        <w:rPr>
          <w:lang w:val="es-ES_tradnl"/>
        </w:rPr>
        <w:t>Commune</w:t>
      </w:r>
      <w:proofErr w:type="spellEnd"/>
      <w:r w:rsidRPr="00143D29">
        <w:rPr>
          <w:i/>
          <w:lang w:val="es-ES_tradnl"/>
        </w:rPr>
        <w:t xml:space="preserve"> en América Latina, </w:t>
      </w:r>
      <w:r w:rsidRPr="00143D29">
        <w:rPr>
          <w:lang w:val="es-ES_tradnl"/>
        </w:rPr>
        <w:t>México, UNAM/IIJ-Instituto Iberoamericano de Derecho Constitucional-Max Planck-</w:t>
      </w:r>
      <w:proofErr w:type="spellStart"/>
      <w:r w:rsidRPr="00143D29">
        <w:rPr>
          <w:lang w:val="es-ES_tradnl"/>
        </w:rPr>
        <w:t>Institute</w:t>
      </w:r>
      <w:proofErr w:type="spellEnd"/>
      <w:r w:rsidRPr="00143D29">
        <w:rPr>
          <w:lang w:val="es-ES_tradnl"/>
        </w:rPr>
        <w:t xml:space="preserve"> </w:t>
      </w:r>
      <w:proofErr w:type="spellStart"/>
      <w:r w:rsidRPr="00143D29">
        <w:rPr>
          <w:lang w:val="es-ES_tradnl"/>
        </w:rPr>
        <w:t>für</w:t>
      </w:r>
      <w:proofErr w:type="spellEnd"/>
      <w:r w:rsidRPr="00143D29">
        <w:rPr>
          <w:lang w:val="es-ES_tradnl"/>
        </w:rPr>
        <w:t xml:space="preserve"> </w:t>
      </w:r>
      <w:proofErr w:type="spellStart"/>
      <w:r w:rsidRPr="00143D29">
        <w:rPr>
          <w:lang w:val="es-ES_tradnl"/>
        </w:rPr>
        <w:t>ausländisches</w:t>
      </w:r>
      <w:proofErr w:type="spellEnd"/>
      <w:r w:rsidRPr="00143D29">
        <w:rPr>
          <w:lang w:val="es-ES_tradnl"/>
        </w:rPr>
        <w:t xml:space="preserve"> </w:t>
      </w:r>
      <w:proofErr w:type="spellStart"/>
      <w:r w:rsidRPr="00143D29">
        <w:rPr>
          <w:lang w:val="es-ES_tradnl"/>
        </w:rPr>
        <w:t>öffentliches</w:t>
      </w:r>
      <w:proofErr w:type="spellEnd"/>
      <w:r w:rsidRPr="00143D29">
        <w:rPr>
          <w:lang w:val="es-ES_tradnl"/>
        </w:rPr>
        <w:t xml:space="preserve"> </w:t>
      </w:r>
      <w:proofErr w:type="spellStart"/>
      <w:r w:rsidRPr="00143D29">
        <w:rPr>
          <w:lang w:val="es-ES_tradnl"/>
        </w:rPr>
        <w:t>Recht</w:t>
      </w:r>
      <w:proofErr w:type="spellEnd"/>
      <w:r w:rsidRPr="00143D29">
        <w:rPr>
          <w:lang w:val="es-ES_tradnl"/>
        </w:rPr>
        <w:t xml:space="preserve"> </w:t>
      </w:r>
      <w:proofErr w:type="spellStart"/>
      <w:r w:rsidRPr="00143D29">
        <w:rPr>
          <w:lang w:val="es-ES_tradnl"/>
        </w:rPr>
        <w:t>und</w:t>
      </w:r>
      <w:proofErr w:type="spellEnd"/>
      <w:r w:rsidRPr="00143D29">
        <w:rPr>
          <w:lang w:val="es-ES_tradnl"/>
        </w:rPr>
        <w:t xml:space="preserve"> </w:t>
      </w:r>
      <w:proofErr w:type="spellStart"/>
      <w:r w:rsidRPr="00143D29">
        <w:rPr>
          <w:lang w:val="es-ES_tradnl"/>
        </w:rPr>
        <w:t>Völkerrecht</w:t>
      </w:r>
      <w:proofErr w:type="spellEnd"/>
      <w:r w:rsidRPr="00143D29">
        <w:rPr>
          <w:lang w:val="es-ES_tradnl"/>
        </w:rPr>
        <w:t>, 2011, pp. 339-380, en p. 369.</w:t>
      </w:r>
      <w:r w:rsidRPr="00143D29">
        <w:rPr>
          <w:lang w:val="es-ES_tradnl"/>
        </w:rPr>
        <w:tab/>
      </w:r>
    </w:p>
    <w:p w14:paraId="03F95D35" w14:textId="77777777" w:rsidR="00D4299B" w:rsidRPr="00143D29" w:rsidRDefault="00D4299B" w:rsidP="00130785">
      <w:pPr>
        <w:pStyle w:val="Textonotapie"/>
        <w:rPr>
          <w:lang w:val="es-ES_tradnl"/>
        </w:rPr>
      </w:pPr>
    </w:p>
  </w:footnote>
  <w:footnote w:id="658">
    <w:p w14:paraId="10796078" w14:textId="77777777" w:rsidR="00D4299B" w:rsidRPr="00143D29" w:rsidRDefault="00D4299B" w:rsidP="00130785">
      <w:pPr>
        <w:pStyle w:val="CPClassification"/>
        <w:tabs>
          <w:tab w:val="clear" w:pos="2160"/>
          <w:tab w:val="clear" w:pos="7200"/>
        </w:tabs>
        <w:ind w:left="0" w:right="0"/>
        <w:rPr>
          <w:rFonts w:ascii="Verdana" w:hAnsi="Verdana"/>
          <w:i/>
          <w:sz w:val="16"/>
          <w:szCs w:val="16"/>
          <w:lang w:val="es-ES_tradnl"/>
        </w:rPr>
      </w:pPr>
      <w:r w:rsidRPr="00143D29">
        <w:rPr>
          <w:rStyle w:val="Refdenotaalpie"/>
          <w:rFonts w:ascii="Verdana" w:hAnsi="Verdana"/>
          <w:sz w:val="16"/>
          <w:szCs w:val="16"/>
          <w:lang w:val="es-ES_tradnl"/>
        </w:rPr>
        <w:footnoteRef/>
      </w:r>
      <w:r w:rsidRPr="00143D29">
        <w:rPr>
          <w:rFonts w:ascii="Verdana" w:hAnsi="Verdana"/>
          <w:sz w:val="16"/>
          <w:szCs w:val="16"/>
          <w:lang w:val="es-ES_tradnl"/>
        </w:rPr>
        <w:t xml:space="preserve"> </w:t>
      </w:r>
      <w:r w:rsidRPr="00143D29">
        <w:rPr>
          <w:rFonts w:ascii="Verdana" w:hAnsi="Verdana"/>
          <w:sz w:val="16"/>
          <w:szCs w:val="16"/>
          <w:lang w:val="es-ES_tradnl"/>
        </w:rPr>
        <w:tab/>
      </w:r>
      <w:r w:rsidRPr="00143D29">
        <w:rPr>
          <w:rFonts w:ascii="Verdana" w:hAnsi="Verdana"/>
          <w:i/>
          <w:sz w:val="16"/>
          <w:szCs w:val="16"/>
          <w:lang w:val="es-ES_tradnl"/>
        </w:rPr>
        <w:t xml:space="preserve">Carta Social de las Américas, </w:t>
      </w:r>
      <w:r w:rsidRPr="00143D29">
        <w:rPr>
          <w:rFonts w:ascii="Verdana" w:hAnsi="Verdana"/>
          <w:sz w:val="16"/>
          <w:szCs w:val="16"/>
          <w:lang w:val="es-ES_tradnl"/>
        </w:rPr>
        <w:t xml:space="preserve">aprobada por la Asamblea General de la OEA el 4 de junio del </w:t>
      </w:r>
      <w:proofErr w:type="gramStart"/>
      <w:r w:rsidRPr="00143D29">
        <w:rPr>
          <w:rFonts w:ascii="Verdana" w:hAnsi="Verdana"/>
          <w:sz w:val="16"/>
          <w:szCs w:val="16"/>
          <w:lang w:val="es-ES_tradnl"/>
        </w:rPr>
        <w:t>2012,</w:t>
      </w:r>
      <w:r w:rsidRPr="00143D29">
        <w:rPr>
          <w:rFonts w:ascii="Verdana" w:hAnsi="Verdana"/>
          <w:i/>
          <w:sz w:val="16"/>
          <w:szCs w:val="16"/>
          <w:lang w:val="es-ES_tradnl"/>
        </w:rPr>
        <w:t xml:space="preserve">  </w:t>
      </w:r>
      <w:r w:rsidRPr="00143D29">
        <w:rPr>
          <w:rFonts w:ascii="Verdana" w:hAnsi="Verdana"/>
          <w:sz w:val="16"/>
          <w:szCs w:val="16"/>
          <w:lang w:val="es-ES_tradnl"/>
        </w:rPr>
        <w:t>OEA</w:t>
      </w:r>
      <w:proofErr w:type="gramEnd"/>
      <w:r w:rsidRPr="00143D29">
        <w:rPr>
          <w:rFonts w:ascii="Verdana" w:hAnsi="Verdana"/>
          <w:sz w:val="16"/>
          <w:szCs w:val="16"/>
          <w:lang w:val="es-ES_tradnl"/>
        </w:rPr>
        <w:t>/</w:t>
      </w:r>
      <w:proofErr w:type="spellStart"/>
      <w:r w:rsidRPr="00143D29">
        <w:rPr>
          <w:rFonts w:ascii="Verdana" w:hAnsi="Verdana"/>
          <w:sz w:val="16"/>
          <w:szCs w:val="16"/>
          <w:lang w:val="es-ES_tradnl"/>
        </w:rPr>
        <w:t>Ser.P</w:t>
      </w:r>
      <w:proofErr w:type="spellEnd"/>
      <w:r w:rsidRPr="00143D29">
        <w:rPr>
          <w:rFonts w:ascii="Verdana" w:hAnsi="Verdana"/>
          <w:sz w:val="16"/>
          <w:szCs w:val="16"/>
          <w:lang w:val="es-ES_tradnl"/>
        </w:rPr>
        <w:t>/AG/doc5242/12rev.2</w:t>
      </w:r>
      <w:r w:rsidRPr="00143D29">
        <w:rPr>
          <w:rFonts w:ascii="Verdana" w:hAnsi="Verdana"/>
          <w:i/>
          <w:sz w:val="16"/>
          <w:szCs w:val="16"/>
          <w:lang w:val="es-ES_tradnl"/>
        </w:rPr>
        <w:t xml:space="preserve">, </w:t>
      </w:r>
      <w:r w:rsidRPr="00143D29">
        <w:rPr>
          <w:rFonts w:ascii="Verdana" w:hAnsi="Verdana"/>
          <w:sz w:val="16"/>
          <w:szCs w:val="16"/>
          <w:lang w:val="es-ES_tradnl"/>
        </w:rPr>
        <w:t>Cochabamba, Bolivia. En el preámbulo de dicha Carta se establece</w:t>
      </w:r>
      <w:r w:rsidRPr="00143D29">
        <w:rPr>
          <w:rFonts w:ascii="Verdana" w:hAnsi="Verdana"/>
          <w:i/>
          <w:sz w:val="16"/>
          <w:szCs w:val="16"/>
          <w:lang w:val="es-ES_tradnl"/>
        </w:rPr>
        <w:t xml:space="preserve">: “considerando </w:t>
      </w:r>
      <w:r w:rsidRPr="00143D29">
        <w:rPr>
          <w:rFonts w:ascii="Verdana" w:hAnsi="Verdana"/>
          <w:i/>
          <w:color w:val="000000"/>
          <w:sz w:val="16"/>
          <w:szCs w:val="16"/>
          <w:lang w:val="es-ES_tradnl"/>
        </w:rPr>
        <w:t xml:space="preserve">que la Carta de la Organización de los Estados Americanos establece entre sus propósitos esenciales erradicar la pobreza crítica [y] </w:t>
      </w:r>
      <w:r w:rsidRPr="00143D29">
        <w:rPr>
          <w:rFonts w:ascii="Verdana" w:hAnsi="Verdana"/>
          <w:i/>
          <w:sz w:val="16"/>
          <w:szCs w:val="16"/>
          <w:u w:val="single"/>
          <w:lang w:val="es-ES_tradnl"/>
        </w:rPr>
        <w:t>reafirmando la determinación y el compromiso de los Estados Miembros de combatir de forma urgente los graves problemas de la pobreza, la exclusión social y la inequidad que afectan en distinta medida a los países del Hemisferio</w:t>
      </w:r>
      <w:r w:rsidRPr="00143D29">
        <w:rPr>
          <w:rFonts w:ascii="Verdana" w:hAnsi="Verdana"/>
          <w:i/>
          <w:sz w:val="16"/>
          <w:szCs w:val="16"/>
          <w:lang w:val="es-ES_tradnl"/>
        </w:rPr>
        <w:t xml:space="preserve">; de enfrentar sus causas y sus consecuencias; y de crear condiciones más favorables para el desarrollo económico y social con equidad para promover sociedades más justa […].  </w:t>
      </w:r>
    </w:p>
    <w:p w14:paraId="1B76A780" w14:textId="77777777" w:rsidR="00D4299B" w:rsidRPr="00143D29" w:rsidRDefault="00D4299B" w:rsidP="00130785">
      <w:pPr>
        <w:pStyle w:val="Textonotapie"/>
        <w:tabs>
          <w:tab w:val="left" w:pos="709"/>
        </w:tabs>
        <w:rPr>
          <w:lang w:val="es-ES_tradnl"/>
        </w:rPr>
      </w:pPr>
    </w:p>
  </w:footnote>
  <w:footnote w:id="659">
    <w:p w14:paraId="32048D0D" w14:textId="77777777" w:rsidR="00D4299B" w:rsidRPr="00143D29" w:rsidRDefault="00D4299B" w:rsidP="00130785">
      <w:pPr>
        <w:pStyle w:val="Textonotapie"/>
        <w:tabs>
          <w:tab w:val="left" w:pos="709"/>
        </w:tabs>
        <w:rPr>
          <w:lang w:val="es-ES_tradnl"/>
        </w:rPr>
      </w:pPr>
      <w:r w:rsidRPr="00143D29">
        <w:rPr>
          <w:rStyle w:val="Refdenotaalpie"/>
        </w:rPr>
        <w:footnoteRef/>
      </w:r>
      <w:r w:rsidRPr="00143D29">
        <w:rPr>
          <w:lang w:val="es-ES"/>
        </w:rPr>
        <w:t xml:space="preserve"> </w:t>
      </w:r>
      <w:r w:rsidRPr="00143D29">
        <w:rPr>
          <w:lang w:val="es-ES"/>
        </w:rPr>
        <w:tab/>
      </w:r>
      <w:r w:rsidRPr="00143D29">
        <w:rPr>
          <w:i/>
          <w:lang w:val="es-ES_tradnl"/>
        </w:rPr>
        <w:t xml:space="preserve">Plan de Acción de la Carta Social de las Américas, </w:t>
      </w:r>
      <w:r w:rsidRPr="00143D29">
        <w:rPr>
          <w:lang w:val="es-ES_tradnl"/>
        </w:rPr>
        <w:t xml:space="preserve">aprobado por el Consejo Permanente en la sesión conjunta celebrada el 11 de febrero de 2015, ad referéndum del cuadragésimo quinto período ordinario de sesiones de la Asamblea General de la OEA, </w:t>
      </w:r>
      <w:r w:rsidRPr="00143D29">
        <w:rPr>
          <w:rFonts w:eastAsia="Batang"/>
          <w:lang w:val="es-ES_tradnl" w:eastAsia="es-ES"/>
        </w:rPr>
        <w:t>OEA/</w:t>
      </w:r>
      <w:proofErr w:type="spellStart"/>
      <w:r w:rsidRPr="00143D29">
        <w:rPr>
          <w:rFonts w:eastAsia="Batang"/>
          <w:lang w:val="es-ES_tradnl" w:eastAsia="es-ES"/>
        </w:rPr>
        <w:t>Ser.G</w:t>
      </w:r>
      <w:proofErr w:type="spellEnd"/>
      <w:r w:rsidRPr="00143D29">
        <w:rPr>
          <w:rFonts w:eastAsia="SimSun"/>
          <w:lang w:val="es-ES_tradnl" w:eastAsia="es-ES"/>
        </w:rPr>
        <w:t xml:space="preserve"> </w:t>
      </w:r>
      <w:r w:rsidRPr="00143D29">
        <w:rPr>
          <w:rFonts w:eastAsia="Batang"/>
          <w:spacing w:val="-2"/>
          <w:lang w:val="es-ES_tradnl" w:eastAsia="es-ES"/>
        </w:rPr>
        <w:t>CP/doc.5097/15, Washington D.C., Estados Unidos.</w:t>
      </w:r>
    </w:p>
  </w:footnote>
  <w:footnote w:id="660">
    <w:p w14:paraId="73A4045C" w14:textId="77777777" w:rsidR="00D4299B" w:rsidRPr="00143D29" w:rsidRDefault="00D4299B" w:rsidP="00130785">
      <w:pPr>
        <w:pStyle w:val="Textonotapie"/>
        <w:rPr>
          <w:lang w:val="es-ES"/>
        </w:rPr>
      </w:pPr>
      <w:r w:rsidRPr="00143D29">
        <w:rPr>
          <w:rStyle w:val="Refdenotaalpie"/>
          <w:szCs w:val="16"/>
        </w:rPr>
        <w:footnoteRef/>
      </w:r>
      <w:r w:rsidRPr="00143D29">
        <w:rPr>
          <w:lang w:val="es-ES"/>
        </w:rPr>
        <w:t xml:space="preserve"> En adelante, la Sentencia.</w:t>
      </w:r>
    </w:p>
  </w:footnote>
  <w:footnote w:id="661">
    <w:p w14:paraId="7648390D" w14:textId="77777777" w:rsidR="00D4299B" w:rsidRPr="00143D29" w:rsidRDefault="00D4299B" w:rsidP="00130785">
      <w:pPr>
        <w:pStyle w:val="Textonotapie"/>
        <w:rPr>
          <w:lang w:val="es-ES"/>
        </w:rPr>
      </w:pPr>
      <w:r w:rsidRPr="00143D29">
        <w:rPr>
          <w:rStyle w:val="Refdenotaalpie"/>
          <w:szCs w:val="16"/>
        </w:rPr>
        <w:footnoteRef/>
      </w:r>
      <w:r w:rsidRPr="00143D29">
        <w:rPr>
          <w:lang w:val="es-ES"/>
        </w:rPr>
        <w:t xml:space="preserve"> </w:t>
      </w:r>
      <w:proofErr w:type="spellStart"/>
      <w:r w:rsidRPr="00143D29">
        <w:rPr>
          <w:lang w:val="es-ES"/>
        </w:rPr>
        <w:t>Párrs</w:t>
      </w:r>
      <w:proofErr w:type="spellEnd"/>
      <w:r w:rsidRPr="00143D29">
        <w:rPr>
          <w:lang w:val="es-ES"/>
        </w:rPr>
        <w:t>. 116 y 339 de la Sentencia. En adelante, cada vez que se indique “párr.” se entenderá que se trata del pertinente párrafo de la Sentencia.</w:t>
      </w:r>
    </w:p>
  </w:footnote>
  <w:footnote w:id="662">
    <w:p w14:paraId="4BC19CD6" w14:textId="77777777" w:rsidR="00D4299B" w:rsidRPr="00143D29" w:rsidRDefault="00D4299B" w:rsidP="00130785">
      <w:pPr>
        <w:pStyle w:val="Textonotapie"/>
        <w:rPr>
          <w:lang w:val="pt-BR"/>
        </w:rPr>
      </w:pPr>
      <w:r w:rsidRPr="00143D29">
        <w:rPr>
          <w:rStyle w:val="Refdenotaalpie"/>
          <w:szCs w:val="16"/>
        </w:rPr>
        <w:footnoteRef/>
      </w:r>
      <w:r w:rsidRPr="00143D29">
        <w:rPr>
          <w:lang w:val="pt-BR"/>
        </w:rPr>
        <w:t xml:space="preserve"> </w:t>
      </w:r>
      <w:proofErr w:type="spellStart"/>
      <w:r w:rsidRPr="00143D29">
        <w:rPr>
          <w:lang w:val="pt-BR"/>
        </w:rPr>
        <w:t>Párrs</w:t>
      </w:r>
      <w:proofErr w:type="spellEnd"/>
      <w:r w:rsidRPr="00143D29">
        <w:rPr>
          <w:lang w:val="pt-BR"/>
        </w:rPr>
        <w:t>. 117 a 122.</w:t>
      </w:r>
    </w:p>
  </w:footnote>
  <w:footnote w:id="663">
    <w:p w14:paraId="5DAA93FC" w14:textId="77777777" w:rsidR="00D4299B" w:rsidRPr="00143D29" w:rsidRDefault="00D4299B" w:rsidP="00130785">
      <w:pPr>
        <w:pStyle w:val="Textonotapie"/>
        <w:rPr>
          <w:lang w:val="pt-BR"/>
        </w:rPr>
      </w:pPr>
      <w:r w:rsidRPr="00143D29">
        <w:rPr>
          <w:rStyle w:val="Refdenotaalpie"/>
          <w:szCs w:val="16"/>
        </w:rPr>
        <w:footnoteRef/>
      </w:r>
      <w:r w:rsidRPr="00143D29">
        <w:rPr>
          <w:lang w:val="pt-BR"/>
        </w:rPr>
        <w:t xml:space="preserve"> Párr.338.</w:t>
      </w:r>
    </w:p>
  </w:footnote>
  <w:footnote w:id="664">
    <w:p w14:paraId="73FC0701" w14:textId="77777777" w:rsidR="00D4299B" w:rsidRPr="00143D29" w:rsidRDefault="00D4299B" w:rsidP="00130785">
      <w:pPr>
        <w:pStyle w:val="Textonotapie"/>
        <w:rPr>
          <w:lang w:val="pt-BR"/>
        </w:rPr>
      </w:pPr>
      <w:r w:rsidRPr="00143D29">
        <w:rPr>
          <w:rStyle w:val="Refdenotaalpie"/>
          <w:szCs w:val="16"/>
        </w:rPr>
        <w:footnoteRef/>
      </w:r>
      <w:r w:rsidRPr="00143D29">
        <w:rPr>
          <w:lang w:val="pt-BR"/>
        </w:rPr>
        <w:t xml:space="preserve"> Párr.342.</w:t>
      </w:r>
    </w:p>
  </w:footnote>
  <w:footnote w:id="665">
    <w:p w14:paraId="26A5B71D" w14:textId="77777777" w:rsidR="00D4299B" w:rsidRPr="00143D29" w:rsidRDefault="00D4299B" w:rsidP="00130785">
      <w:pPr>
        <w:pStyle w:val="Textonotapie"/>
        <w:rPr>
          <w:lang w:val="pt-BR"/>
        </w:rPr>
      </w:pPr>
      <w:r w:rsidRPr="00143D29">
        <w:rPr>
          <w:rStyle w:val="Refdenotaalpie"/>
          <w:szCs w:val="16"/>
        </w:rPr>
        <w:footnoteRef/>
      </w:r>
      <w:r w:rsidRPr="00143D29">
        <w:rPr>
          <w:lang w:val="pt-BR"/>
        </w:rPr>
        <w:t xml:space="preserve"> Párr.335.</w:t>
      </w:r>
    </w:p>
  </w:footnote>
  <w:footnote w:id="666">
    <w:p w14:paraId="3E6E8FDA" w14:textId="77777777" w:rsidR="00D4299B" w:rsidRPr="00143D29" w:rsidRDefault="00D4299B" w:rsidP="00130785">
      <w:pPr>
        <w:pStyle w:val="Textonotapie"/>
        <w:rPr>
          <w:lang w:val="es-ES"/>
        </w:rPr>
      </w:pPr>
      <w:r w:rsidRPr="00143D29">
        <w:rPr>
          <w:rStyle w:val="Refdenotaalpie"/>
          <w:szCs w:val="16"/>
        </w:rPr>
        <w:footnoteRef/>
      </w:r>
      <w:r w:rsidRPr="00143D29">
        <w:rPr>
          <w:lang w:val="es-ES"/>
        </w:rPr>
        <w:t xml:space="preserve"> Párr.340.</w:t>
      </w:r>
    </w:p>
  </w:footnote>
  <w:footnote w:id="667">
    <w:p w14:paraId="32918081" w14:textId="77777777" w:rsidR="00D4299B" w:rsidRPr="00143D29" w:rsidRDefault="00D4299B" w:rsidP="00130785">
      <w:pPr>
        <w:pStyle w:val="Textonotapie"/>
        <w:rPr>
          <w:lang w:val="es-ES"/>
        </w:rPr>
      </w:pPr>
      <w:r w:rsidRPr="00143D29">
        <w:rPr>
          <w:rStyle w:val="Refdenotaalpie"/>
          <w:szCs w:val="16"/>
        </w:rPr>
        <w:footnoteRef/>
      </w:r>
      <w:r w:rsidRPr="00143D29">
        <w:rPr>
          <w:lang w:val="es-ES"/>
        </w:rPr>
        <w:t xml:space="preserve"> Párr.340.</w:t>
      </w:r>
    </w:p>
  </w:footnote>
  <w:footnote w:id="668">
    <w:p w14:paraId="12FB9455" w14:textId="77777777" w:rsidR="00D4299B" w:rsidRPr="00143D29" w:rsidRDefault="00D4299B" w:rsidP="00130785">
      <w:pPr>
        <w:pStyle w:val="Textonotapie"/>
        <w:rPr>
          <w:lang w:val="es-ES"/>
        </w:rPr>
      </w:pPr>
      <w:r w:rsidRPr="00143D29">
        <w:rPr>
          <w:rStyle w:val="Refdenotaalpie"/>
          <w:szCs w:val="16"/>
        </w:rPr>
        <w:footnoteRef/>
      </w:r>
      <w:r w:rsidRPr="00143D29">
        <w:rPr>
          <w:lang w:val="es-ES"/>
        </w:rPr>
        <w:t xml:space="preserve"> Párr.343.</w:t>
      </w:r>
    </w:p>
  </w:footnote>
  <w:footnote w:id="669">
    <w:p w14:paraId="58762E96" w14:textId="77777777" w:rsidR="00D4299B" w:rsidRPr="00143D29" w:rsidRDefault="00D4299B" w:rsidP="00130785">
      <w:pPr>
        <w:pStyle w:val="Textonotapie"/>
        <w:rPr>
          <w:lang w:val="es-ES"/>
        </w:rPr>
      </w:pPr>
      <w:r w:rsidRPr="00143D29">
        <w:rPr>
          <w:rStyle w:val="Refdenotaalpie"/>
          <w:szCs w:val="16"/>
        </w:rPr>
        <w:footnoteRef/>
      </w:r>
      <w:r w:rsidRPr="00143D29">
        <w:rPr>
          <w:lang w:val="es-ES"/>
        </w:rPr>
        <w:t xml:space="preserve"> </w:t>
      </w:r>
      <w:proofErr w:type="spellStart"/>
      <w:r w:rsidRPr="00143D29">
        <w:rPr>
          <w:lang w:val="es-ES"/>
        </w:rPr>
        <w:t>Párrs</w:t>
      </w:r>
      <w:proofErr w:type="spellEnd"/>
      <w:r w:rsidRPr="00143D29">
        <w:rPr>
          <w:lang w:val="es-ES"/>
        </w:rPr>
        <w:t>. 110 a 115 de la Sentencia.</w:t>
      </w:r>
    </w:p>
  </w:footnote>
  <w:footnote w:id="670">
    <w:p w14:paraId="48E602B0" w14:textId="77777777" w:rsidR="00D4299B" w:rsidRPr="00143D29" w:rsidRDefault="00D4299B" w:rsidP="00130785">
      <w:pPr>
        <w:pStyle w:val="Textonotapie"/>
        <w:rPr>
          <w:lang w:val="es-ES"/>
        </w:rPr>
      </w:pPr>
      <w:r w:rsidRPr="00143D29">
        <w:rPr>
          <w:rStyle w:val="Refdenotaalpie"/>
        </w:rPr>
        <w:footnoteRef/>
      </w:r>
      <w:r w:rsidRPr="00143D29">
        <w:rPr>
          <w:lang w:val="es-ES"/>
        </w:rPr>
        <w:t xml:space="preserve"> </w:t>
      </w:r>
      <w:r w:rsidRPr="00143D29">
        <w:rPr>
          <w:lang w:val="es-CR"/>
        </w:rPr>
        <w:t>Párrafo 338 de la Sentencia.</w:t>
      </w:r>
    </w:p>
  </w:footnote>
  <w:footnote w:id="671">
    <w:p w14:paraId="3B01FDBE" w14:textId="77777777" w:rsidR="00D4299B" w:rsidRPr="00143D29" w:rsidRDefault="00D4299B" w:rsidP="00130785">
      <w:pPr>
        <w:pStyle w:val="Textonotapie"/>
        <w:rPr>
          <w:lang w:val="es-ES"/>
        </w:rPr>
      </w:pPr>
      <w:r w:rsidRPr="00143D29">
        <w:rPr>
          <w:rStyle w:val="Refdenotaalpie"/>
        </w:rPr>
        <w:footnoteRef/>
      </w:r>
      <w:r w:rsidRPr="00143D29">
        <w:rPr>
          <w:lang w:val="es-ES"/>
        </w:rPr>
        <w:t xml:space="preserve"> </w:t>
      </w:r>
      <w:r w:rsidRPr="00143D29">
        <w:rPr>
          <w:lang w:val="es-CR"/>
        </w:rPr>
        <w:t>Párrafo 339 de la Sentencia.</w:t>
      </w:r>
    </w:p>
  </w:footnote>
  <w:footnote w:id="672">
    <w:p w14:paraId="567039C3" w14:textId="77777777" w:rsidR="00D4299B" w:rsidRPr="00143D29" w:rsidRDefault="00D4299B" w:rsidP="00130785">
      <w:pPr>
        <w:pStyle w:val="Textonotapie"/>
        <w:rPr>
          <w:lang w:val="es-ES"/>
        </w:rPr>
      </w:pPr>
      <w:r w:rsidRPr="00143D29">
        <w:rPr>
          <w:rStyle w:val="Refdenotaalpie"/>
        </w:rPr>
        <w:footnoteRef/>
      </w:r>
      <w:r w:rsidRPr="00143D29">
        <w:rPr>
          <w:lang w:val="es-ES"/>
        </w:rPr>
        <w:t xml:space="preserve"> </w:t>
      </w:r>
      <w:r w:rsidRPr="00143D29">
        <w:rPr>
          <w:lang w:val="es-CR"/>
        </w:rPr>
        <w:t>Párrafo 341 de la Sentencia.</w:t>
      </w:r>
    </w:p>
  </w:footnote>
  <w:footnote w:id="673">
    <w:p w14:paraId="2A64E294" w14:textId="77777777" w:rsidR="00D4299B" w:rsidRPr="00143D29" w:rsidRDefault="00D4299B" w:rsidP="00130785">
      <w:pPr>
        <w:pStyle w:val="Textonotapie"/>
        <w:rPr>
          <w:lang w:val="es-ES"/>
        </w:rPr>
      </w:pPr>
      <w:r w:rsidRPr="00143D29">
        <w:rPr>
          <w:rStyle w:val="Refdenotaalpie"/>
        </w:rPr>
        <w:footnoteRef/>
      </w:r>
      <w:r w:rsidRPr="00143D29">
        <w:rPr>
          <w:lang w:val="es-ES"/>
        </w:rPr>
        <w:t xml:space="preserve"> </w:t>
      </w:r>
      <w:r w:rsidRPr="00143D29">
        <w:rPr>
          <w:lang w:val="es-CR"/>
        </w:rPr>
        <w:t>Párrafo 343 de la Sentencia.</w:t>
      </w:r>
    </w:p>
  </w:footnote>
  <w:footnote w:id="674">
    <w:p w14:paraId="7B552174" w14:textId="77777777" w:rsidR="00D4299B" w:rsidRPr="00143D29" w:rsidRDefault="00D4299B" w:rsidP="00130785">
      <w:pPr>
        <w:pStyle w:val="Textonotapie"/>
        <w:rPr>
          <w:b/>
          <w:lang w:val="es-ES"/>
        </w:rPr>
      </w:pPr>
      <w:r w:rsidRPr="00143D29">
        <w:rPr>
          <w:rStyle w:val="Refdenotaalpie"/>
          <w:b/>
        </w:rPr>
        <w:footnoteRef/>
      </w:r>
      <w:r w:rsidRPr="00143D29">
        <w:rPr>
          <w:b/>
          <w:lang w:val="es-ES"/>
        </w:rPr>
        <w:t xml:space="preserve"> </w:t>
      </w:r>
      <w:r w:rsidRPr="00143D29">
        <w:rPr>
          <w:rStyle w:val="Textoennegrita"/>
          <w:b w:val="0"/>
          <w:color w:val="000000"/>
          <w:shd w:val="clear" w:color="auto" w:fill="FFFFFF"/>
          <w:lang w:val="es-ES"/>
        </w:rPr>
        <w:t xml:space="preserve">Voto parcialmente disidente Jueza Medina Quiroga, Caso 19 Comerciantes Vs. Colombia. Fondo, Reparaciones y Costas. Sentencia de 5 de julio de 2004. Serie C No. 109, </w:t>
      </w:r>
      <w:proofErr w:type="spellStart"/>
      <w:r w:rsidRPr="00143D29">
        <w:rPr>
          <w:rStyle w:val="Textoennegrita"/>
          <w:b w:val="0"/>
          <w:color w:val="000000"/>
          <w:shd w:val="clear" w:color="auto" w:fill="FFFFFF"/>
          <w:lang w:val="es-ES"/>
        </w:rPr>
        <w:t>párrs</w:t>
      </w:r>
      <w:proofErr w:type="spellEnd"/>
      <w:r w:rsidRPr="00143D29">
        <w:rPr>
          <w:rStyle w:val="Textoennegrita"/>
          <w:b w:val="0"/>
          <w:color w:val="000000"/>
          <w:shd w:val="clear" w:color="auto" w:fill="FFFFFF"/>
          <w:lang w:val="es-ES"/>
        </w:rPr>
        <w:t xml:space="preserve">. 1 y 2. </w:t>
      </w:r>
    </w:p>
  </w:footnote>
  <w:footnote w:id="675">
    <w:p w14:paraId="0BF1493E" w14:textId="77777777" w:rsidR="00D4299B" w:rsidRPr="00AF0720" w:rsidRDefault="00D4299B" w:rsidP="00130785">
      <w:pPr>
        <w:pStyle w:val="Textonotapie"/>
        <w:rPr>
          <w:lang w:val="es-ES"/>
        </w:rPr>
      </w:pPr>
      <w:r w:rsidRPr="00143D29">
        <w:rPr>
          <w:rStyle w:val="Refdenotaalpie"/>
          <w:b/>
        </w:rPr>
        <w:footnoteRef/>
      </w:r>
      <w:r w:rsidRPr="00143D29">
        <w:rPr>
          <w:b/>
          <w:lang w:val="es-ES"/>
        </w:rPr>
        <w:t xml:space="preserve"> </w:t>
      </w:r>
      <w:r w:rsidRPr="00143D29">
        <w:rPr>
          <w:rStyle w:val="Textoennegrita"/>
          <w:b w:val="0"/>
          <w:color w:val="000000"/>
          <w:shd w:val="clear" w:color="auto" w:fill="FFFFFF"/>
          <w:lang w:val="es-ES"/>
        </w:rPr>
        <w:t xml:space="preserve">Voto parcialmente disidente Jueza Medina Quiroga, Caso de los Hermanos Gómez </w:t>
      </w:r>
      <w:proofErr w:type="spellStart"/>
      <w:r w:rsidRPr="00143D29">
        <w:rPr>
          <w:rStyle w:val="Textoennegrita"/>
          <w:b w:val="0"/>
          <w:color w:val="000000"/>
          <w:shd w:val="clear" w:color="auto" w:fill="FFFFFF"/>
          <w:lang w:val="es-ES"/>
        </w:rPr>
        <w:t>Paquiyauri</w:t>
      </w:r>
      <w:proofErr w:type="spellEnd"/>
      <w:r w:rsidRPr="00143D29">
        <w:rPr>
          <w:rStyle w:val="Textoennegrita"/>
          <w:b w:val="0"/>
          <w:color w:val="000000"/>
          <w:shd w:val="clear" w:color="auto" w:fill="FFFFFF"/>
          <w:lang w:val="es-ES"/>
        </w:rPr>
        <w:t xml:space="preserve"> Vs. Perú. Fondo, Reparaciones y Costas. Sentencia de 8 de julio de 2004. </w:t>
      </w:r>
      <w:r w:rsidRPr="00143D29">
        <w:rPr>
          <w:rStyle w:val="Textoennegrita"/>
          <w:b w:val="0"/>
          <w:color w:val="000000"/>
          <w:shd w:val="clear" w:color="auto" w:fill="FFFFFF"/>
        </w:rPr>
        <w:t>Serie C No. 110</w:t>
      </w:r>
      <w:r w:rsidRPr="00143D29">
        <w:rPr>
          <w:rStyle w:val="Textoennegrita"/>
          <w:b w:val="0"/>
          <w:color w:val="000000"/>
          <w:shd w:val="clear" w:color="auto" w:fill="FFFFFF"/>
          <w:lang w:val="es-ES"/>
        </w:rPr>
        <w:t>, párr.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6403" w14:textId="77777777" w:rsidR="00D4299B" w:rsidRPr="00692D4A" w:rsidRDefault="00D4299B" w:rsidP="0094789A">
    <w:pPr>
      <w:pStyle w:val="Encabezado"/>
      <w:jc w:val="right"/>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6DCC"/>
    <w:multiLevelType w:val="hybridMultilevel"/>
    <w:tmpl w:val="B548124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8915B7F"/>
    <w:multiLevelType w:val="hybridMultilevel"/>
    <w:tmpl w:val="0CDA463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CCF06A8"/>
    <w:multiLevelType w:val="hybridMultilevel"/>
    <w:tmpl w:val="E5EE7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1DF8"/>
    <w:multiLevelType w:val="hybridMultilevel"/>
    <w:tmpl w:val="89645466"/>
    <w:lvl w:ilvl="0" w:tplc="6B0ACFF6">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368365B"/>
    <w:multiLevelType w:val="hybridMultilevel"/>
    <w:tmpl w:val="47A26680"/>
    <w:lvl w:ilvl="0" w:tplc="B75CF160">
      <w:start w:val="1"/>
      <w:numFmt w:val="lowerLetter"/>
      <w:pStyle w:val="Ttulo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7A00C47"/>
    <w:multiLevelType w:val="hybridMultilevel"/>
    <w:tmpl w:val="15DAC8BE"/>
    <w:lvl w:ilvl="0" w:tplc="BE50986C">
      <w:start w:val="1"/>
      <w:numFmt w:val="upperLetter"/>
      <w:lvlText w:val="%1."/>
      <w:lvlJc w:val="left"/>
      <w:pPr>
        <w:ind w:left="360" w:hanging="360"/>
      </w:pPr>
      <w:rPr>
        <w:b/>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ADA5183"/>
    <w:multiLevelType w:val="hybridMultilevel"/>
    <w:tmpl w:val="95566B60"/>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17133B4"/>
    <w:multiLevelType w:val="hybridMultilevel"/>
    <w:tmpl w:val="B548124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71502E6"/>
    <w:multiLevelType w:val="hybridMultilevel"/>
    <w:tmpl w:val="1188E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A2FB6"/>
    <w:multiLevelType w:val="hybridMultilevel"/>
    <w:tmpl w:val="A0A8F61A"/>
    <w:lvl w:ilvl="0" w:tplc="FA0C23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01A81"/>
    <w:multiLevelType w:val="hybridMultilevel"/>
    <w:tmpl w:val="AAB6A05A"/>
    <w:lvl w:ilvl="0" w:tplc="3EA0D982">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D76741"/>
    <w:multiLevelType w:val="hybridMultilevel"/>
    <w:tmpl w:val="9AB6B6A6"/>
    <w:lvl w:ilvl="0" w:tplc="7318EC20">
      <w:start w:val="1"/>
      <w:numFmt w:val="lowerLetter"/>
      <w:lvlText w:val="%1)"/>
      <w:lvlJc w:val="left"/>
      <w:pPr>
        <w:ind w:left="720" w:hanging="360"/>
      </w:pPr>
      <w:rPr>
        <w:rFonts w:hint="default"/>
        <w:b w:val="0"/>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4" w15:restartNumberingAfterBreak="0">
    <w:nsid w:val="54132497"/>
    <w:multiLevelType w:val="hybridMultilevel"/>
    <w:tmpl w:val="AE2C750A"/>
    <w:lvl w:ilvl="0" w:tplc="DF904684">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4C1C1E"/>
    <w:multiLevelType w:val="hybridMultilevel"/>
    <w:tmpl w:val="EFAADF82"/>
    <w:lvl w:ilvl="0" w:tplc="2A00B294">
      <w:start w:val="1"/>
      <w:numFmt w:val="lowerLetter"/>
      <w:pStyle w:val="Estilo5"/>
      <w:lvlText w:val="%1)"/>
      <w:lvlJc w:val="left"/>
      <w:pPr>
        <w:ind w:left="1080" w:hanging="360"/>
      </w:pPr>
      <w:rPr>
        <w:rFonts w:hint="default"/>
        <w:i w:val="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6" w15:restartNumberingAfterBreak="0">
    <w:nsid w:val="582437F2"/>
    <w:multiLevelType w:val="hybridMultilevel"/>
    <w:tmpl w:val="482891FE"/>
    <w:lvl w:ilvl="0" w:tplc="5FB4F916">
      <w:start w:val="1"/>
      <w:numFmt w:val="decimal"/>
      <w:lvlText w:val="%1."/>
      <w:lvlJc w:val="left"/>
      <w:pPr>
        <w:ind w:left="855" w:hanging="49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DAC4E4A"/>
    <w:multiLevelType w:val="hybridMultilevel"/>
    <w:tmpl w:val="267234DA"/>
    <w:lvl w:ilvl="0" w:tplc="0E424A14">
      <w:start w:val="1"/>
      <w:numFmt w:val="upperLetter"/>
      <w:pStyle w:val="Ttulo9"/>
      <w:lvlText w:val="%1."/>
      <w:lvlJc w:val="left"/>
      <w:pPr>
        <w:ind w:left="360" w:hanging="360"/>
      </w:pPr>
      <w:rPr>
        <w:rFonts w:hint="default"/>
      </w:rPr>
    </w:lvl>
    <w:lvl w:ilvl="1" w:tplc="140A0019" w:tentative="1">
      <w:start w:val="1"/>
      <w:numFmt w:val="lowerLetter"/>
      <w:lvlText w:val="%2."/>
      <w:lvlJc w:val="left"/>
      <w:pPr>
        <w:ind w:left="-720" w:hanging="360"/>
      </w:pPr>
    </w:lvl>
    <w:lvl w:ilvl="2" w:tplc="140A001B" w:tentative="1">
      <w:start w:val="1"/>
      <w:numFmt w:val="lowerRoman"/>
      <w:lvlText w:val="%3."/>
      <w:lvlJc w:val="right"/>
      <w:pPr>
        <w:ind w:left="0" w:hanging="180"/>
      </w:pPr>
    </w:lvl>
    <w:lvl w:ilvl="3" w:tplc="140A000F" w:tentative="1">
      <w:start w:val="1"/>
      <w:numFmt w:val="decimal"/>
      <w:lvlText w:val="%4."/>
      <w:lvlJc w:val="left"/>
      <w:pPr>
        <w:ind w:left="720" w:hanging="360"/>
      </w:pPr>
    </w:lvl>
    <w:lvl w:ilvl="4" w:tplc="140A0019" w:tentative="1">
      <w:start w:val="1"/>
      <w:numFmt w:val="lowerLetter"/>
      <w:lvlText w:val="%5."/>
      <w:lvlJc w:val="left"/>
      <w:pPr>
        <w:ind w:left="1440" w:hanging="360"/>
      </w:pPr>
    </w:lvl>
    <w:lvl w:ilvl="5" w:tplc="140A001B" w:tentative="1">
      <w:start w:val="1"/>
      <w:numFmt w:val="lowerRoman"/>
      <w:lvlText w:val="%6."/>
      <w:lvlJc w:val="right"/>
      <w:pPr>
        <w:ind w:left="2160" w:hanging="180"/>
      </w:pPr>
    </w:lvl>
    <w:lvl w:ilvl="6" w:tplc="140A000F" w:tentative="1">
      <w:start w:val="1"/>
      <w:numFmt w:val="decimal"/>
      <w:lvlText w:val="%7."/>
      <w:lvlJc w:val="left"/>
      <w:pPr>
        <w:ind w:left="2880" w:hanging="360"/>
      </w:pPr>
    </w:lvl>
    <w:lvl w:ilvl="7" w:tplc="140A0019" w:tentative="1">
      <w:start w:val="1"/>
      <w:numFmt w:val="lowerLetter"/>
      <w:lvlText w:val="%8."/>
      <w:lvlJc w:val="left"/>
      <w:pPr>
        <w:ind w:left="3600" w:hanging="360"/>
      </w:pPr>
    </w:lvl>
    <w:lvl w:ilvl="8" w:tplc="140A001B" w:tentative="1">
      <w:start w:val="1"/>
      <w:numFmt w:val="lowerRoman"/>
      <w:lvlText w:val="%9."/>
      <w:lvlJc w:val="right"/>
      <w:pPr>
        <w:ind w:left="4320" w:hanging="180"/>
      </w:pPr>
    </w:lvl>
  </w:abstractNum>
  <w:abstractNum w:abstractNumId="18" w15:restartNumberingAfterBreak="0">
    <w:nsid w:val="5DD86B66"/>
    <w:multiLevelType w:val="hybridMultilevel"/>
    <w:tmpl w:val="31B41EE4"/>
    <w:lvl w:ilvl="0" w:tplc="FA0A065E">
      <w:start w:val="1"/>
      <w:numFmt w:val="lowerRoman"/>
      <w:lvlText w:val="%1)"/>
      <w:lvlJc w:val="left"/>
      <w:pPr>
        <w:ind w:left="1854" w:hanging="720"/>
      </w:pPr>
      <w:rPr>
        <w:rFonts w:hint="default"/>
      </w:rPr>
    </w:lvl>
    <w:lvl w:ilvl="1" w:tplc="140A0019">
      <w:start w:val="1"/>
      <w:numFmt w:val="lowerLetter"/>
      <w:lvlText w:val="%2."/>
      <w:lvlJc w:val="left"/>
      <w:pPr>
        <w:ind w:left="2214" w:hanging="360"/>
      </w:pPr>
    </w:lvl>
    <w:lvl w:ilvl="2" w:tplc="96B89478">
      <w:start w:val="1"/>
      <w:numFmt w:val="upperLetter"/>
      <w:lvlText w:val="%3."/>
      <w:lvlJc w:val="left"/>
      <w:pPr>
        <w:ind w:left="3114" w:hanging="360"/>
      </w:pPr>
      <w:rPr>
        <w:rFonts w:hint="default"/>
      </w:r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19" w15:restartNumberingAfterBreak="0">
    <w:nsid w:val="5F422753"/>
    <w:multiLevelType w:val="hybridMultilevel"/>
    <w:tmpl w:val="653038C2"/>
    <w:lvl w:ilvl="0" w:tplc="67B85738">
      <w:start w:val="508"/>
      <w:numFmt w:val="decimal"/>
      <w:lvlText w:val="%1."/>
      <w:lvlJc w:val="left"/>
      <w:pPr>
        <w:ind w:left="828" w:hanging="46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02661AB"/>
    <w:multiLevelType w:val="hybridMultilevel"/>
    <w:tmpl w:val="15DAC8BE"/>
    <w:lvl w:ilvl="0" w:tplc="BE50986C">
      <w:start w:val="1"/>
      <w:numFmt w:val="upperLetter"/>
      <w:lvlText w:val="%1."/>
      <w:lvlJc w:val="left"/>
      <w:pPr>
        <w:ind w:left="360" w:hanging="360"/>
      </w:pPr>
      <w:rPr>
        <w:b/>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67050AD3"/>
    <w:multiLevelType w:val="hybridMultilevel"/>
    <w:tmpl w:val="6F2A1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DA700DA"/>
    <w:multiLevelType w:val="hybridMultilevel"/>
    <w:tmpl w:val="EB466B26"/>
    <w:lvl w:ilvl="0" w:tplc="A9F24D46">
      <w:start w:val="1"/>
      <w:numFmt w:val="decimal"/>
      <w:lvlText w:val="%1."/>
      <w:lvlJc w:val="left"/>
      <w:pPr>
        <w:ind w:left="0" w:firstLine="0"/>
      </w:pPr>
      <w:rPr>
        <w:rFonts w:ascii="Verdana" w:hAnsi="Verdana" w:hint="default"/>
        <w:b w:val="0"/>
        <w:i w:val="0"/>
        <w:strike w:val="0"/>
        <w:color w:val="auto"/>
        <w:sz w:val="20"/>
        <w:szCs w:val="20"/>
        <w:lang w:val="es-AR"/>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4" w15:restartNumberingAfterBreak="0">
    <w:nsid w:val="6EAB68D1"/>
    <w:multiLevelType w:val="hybridMultilevel"/>
    <w:tmpl w:val="CA3C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F60DA"/>
    <w:multiLevelType w:val="hybridMultilevel"/>
    <w:tmpl w:val="20745E40"/>
    <w:lvl w:ilvl="0" w:tplc="5A3895D2">
      <w:start w:val="6"/>
      <w:numFmt w:val="upperLetter"/>
      <w:pStyle w:val="Ttulo2"/>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753A80"/>
    <w:multiLevelType w:val="hybridMultilevel"/>
    <w:tmpl w:val="EB466B26"/>
    <w:lvl w:ilvl="0" w:tplc="A9F24D46">
      <w:start w:val="1"/>
      <w:numFmt w:val="decimal"/>
      <w:lvlText w:val="%1."/>
      <w:lvlJc w:val="left"/>
      <w:pPr>
        <w:ind w:left="0" w:firstLine="0"/>
      </w:pPr>
      <w:rPr>
        <w:rFonts w:ascii="Verdana" w:hAnsi="Verdana" w:hint="default"/>
        <w:b w:val="0"/>
        <w:i w:val="0"/>
        <w:strike w:val="0"/>
        <w:color w:val="auto"/>
        <w:sz w:val="20"/>
        <w:szCs w:val="20"/>
        <w:lang w:val="es-AR"/>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7" w15:restartNumberingAfterBreak="0">
    <w:nsid w:val="783843C5"/>
    <w:multiLevelType w:val="hybridMultilevel"/>
    <w:tmpl w:val="0CDA463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num w:numId="1">
    <w:abstractNumId w:val="26"/>
  </w:num>
  <w:num w:numId="2">
    <w:abstractNumId w:val="11"/>
  </w:num>
  <w:num w:numId="3">
    <w:abstractNumId w:val="18"/>
  </w:num>
  <w:num w:numId="4">
    <w:abstractNumId w:val="17"/>
  </w:num>
  <w:num w:numId="5">
    <w:abstractNumId w:val="28"/>
  </w:num>
  <w:num w:numId="6">
    <w:abstractNumId w:val="22"/>
  </w:num>
  <w:num w:numId="7">
    <w:abstractNumId w:val="4"/>
  </w:num>
  <w:num w:numId="8">
    <w:abstractNumId w:val="12"/>
  </w:num>
  <w:num w:numId="9">
    <w:abstractNumId w:val="15"/>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3"/>
  </w:num>
  <w:num w:numId="15">
    <w:abstractNumId w:val="27"/>
  </w:num>
  <w:num w:numId="16">
    <w:abstractNumId w:val="20"/>
  </w:num>
  <w:num w:numId="17">
    <w:abstractNumId w:val="5"/>
  </w:num>
  <w:num w:numId="18">
    <w:abstractNumId w:val="1"/>
  </w:num>
  <w:num w:numId="19">
    <w:abstractNumId w:val="6"/>
  </w:num>
  <w:num w:numId="20">
    <w:abstractNumId w:val="0"/>
  </w:num>
  <w:num w:numId="21">
    <w:abstractNumId w:val="7"/>
  </w:num>
  <w:num w:numId="22">
    <w:abstractNumId w:val="25"/>
  </w:num>
  <w:num w:numId="23">
    <w:abstractNumId w:val="14"/>
  </w:num>
  <w:num w:numId="24">
    <w:abstractNumId w:val="10"/>
  </w:num>
  <w:num w:numId="25">
    <w:abstractNumId w:val="19"/>
  </w:num>
  <w:num w:numId="26">
    <w:abstractNumId w:val="23"/>
  </w:num>
  <w:num w:numId="27">
    <w:abstractNumId w:val="24"/>
  </w:num>
  <w:num w:numId="28">
    <w:abstractNumId w:val="16"/>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CF"/>
    <w:rsid w:val="000003D4"/>
    <w:rsid w:val="00000C65"/>
    <w:rsid w:val="000012A9"/>
    <w:rsid w:val="00004102"/>
    <w:rsid w:val="00004BD5"/>
    <w:rsid w:val="00004D55"/>
    <w:rsid w:val="00007337"/>
    <w:rsid w:val="000077CB"/>
    <w:rsid w:val="00010D5A"/>
    <w:rsid w:val="00010E27"/>
    <w:rsid w:val="000111D5"/>
    <w:rsid w:val="00017131"/>
    <w:rsid w:val="000173A2"/>
    <w:rsid w:val="00022180"/>
    <w:rsid w:val="0002225D"/>
    <w:rsid w:val="000233C0"/>
    <w:rsid w:val="00024FCB"/>
    <w:rsid w:val="00027127"/>
    <w:rsid w:val="000323AE"/>
    <w:rsid w:val="0003391C"/>
    <w:rsid w:val="00033BDD"/>
    <w:rsid w:val="000348FA"/>
    <w:rsid w:val="00035EA3"/>
    <w:rsid w:val="00044CBD"/>
    <w:rsid w:val="000461CD"/>
    <w:rsid w:val="000471F5"/>
    <w:rsid w:val="00050992"/>
    <w:rsid w:val="00051F39"/>
    <w:rsid w:val="0005490E"/>
    <w:rsid w:val="00055A0D"/>
    <w:rsid w:val="000631F4"/>
    <w:rsid w:val="00064461"/>
    <w:rsid w:val="00066D91"/>
    <w:rsid w:val="00067C18"/>
    <w:rsid w:val="0007001D"/>
    <w:rsid w:val="00071696"/>
    <w:rsid w:val="0007440B"/>
    <w:rsid w:val="00074964"/>
    <w:rsid w:val="0007524A"/>
    <w:rsid w:val="00075BE8"/>
    <w:rsid w:val="00081BCB"/>
    <w:rsid w:val="00083C0B"/>
    <w:rsid w:val="0008427B"/>
    <w:rsid w:val="00085AF0"/>
    <w:rsid w:val="000864EF"/>
    <w:rsid w:val="00086A1A"/>
    <w:rsid w:val="000916AF"/>
    <w:rsid w:val="00093C8F"/>
    <w:rsid w:val="000944E7"/>
    <w:rsid w:val="000968FA"/>
    <w:rsid w:val="000A02BB"/>
    <w:rsid w:val="000A10F1"/>
    <w:rsid w:val="000A1E89"/>
    <w:rsid w:val="000A20C1"/>
    <w:rsid w:val="000A3215"/>
    <w:rsid w:val="000A38B2"/>
    <w:rsid w:val="000A5049"/>
    <w:rsid w:val="000A52D5"/>
    <w:rsid w:val="000A5386"/>
    <w:rsid w:val="000A6C96"/>
    <w:rsid w:val="000A773D"/>
    <w:rsid w:val="000B15B4"/>
    <w:rsid w:val="000B2BFA"/>
    <w:rsid w:val="000B4B4B"/>
    <w:rsid w:val="000B5B8E"/>
    <w:rsid w:val="000B5BAB"/>
    <w:rsid w:val="000B667E"/>
    <w:rsid w:val="000B69E5"/>
    <w:rsid w:val="000B7430"/>
    <w:rsid w:val="000C04E5"/>
    <w:rsid w:val="000C1F0D"/>
    <w:rsid w:val="000C2402"/>
    <w:rsid w:val="000C297B"/>
    <w:rsid w:val="000C3508"/>
    <w:rsid w:val="000C3BE6"/>
    <w:rsid w:val="000C71BD"/>
    <w:rsid w:val="000C7816"/>
    <w:rsid w:val="000C7E30"/>
    <w:rsid w:val="000C7FE4"/>
    <w:rsid w:val="000D14BE"/>
    <w:rsid w:val="000D2280"/>
    <w:rsid w:val="000D2B1B"/>
    <w:rsid w:val="000D2F3A"/>
    <w:rsid w:val="000D3FD8"/>
    <w:rsid w:val="000D47F8"/>
    <w:rsid w:val="000D4C30"/>
    <w:rsid w:val="000D4EF8"/>
    <w:rsid w:val="000D52CA"/>
    <w:rsid w:val="000D6144"/>
    <w:rsid w:val="000D639E"/>
    <w:rsid w:val="000D71E8"/>
    <w:rsid w:val="000E0361"/>
    <w:rsid w:val="000E044B"/>
    <w:rsid w:val="000E0858"/>
    <w:rsid w:val="000E4BB3"/>
    <w:rsid w:val="000E6531"/>
    <w:rsid w:val="000E6B52"/>
    <w:rsid w:val="000E77C3"/>
    <w:rsid w:val="000F2F35"/>
    <w:rsid w:val="000F4A9C"/>
    <w:rsid w:val="000F4D68"/>
    <w:rsid w:val="000F5C2D"/>
    <w:rsid w:val="00100481"/>
    <w:rsid w:val="00103A50"/>
    <w:rsid w:val="0010427F"/>
    <w:rsid w:val="0010513B"/>
    <w:rsid w:val="00105168"/>
    <w:rsid w:val="00105580"/>
    <w:rsid w:val="001070C5"/>
    <w:rsid w:val="0010774E"/>
    <w:rsid w:val="00107DA8"/>
    <w:rsid w:val="001113DC"/>
    <w:rsid w:val="00113871"/>
    <w:rsid w:val="00113D1E"/>
    <w:rsid w:val="001156BC"/>
    <w:rsid w:val="0011599E"/>
    <w:rsid w:val="00117C16"/>
    <w:rsid w:val="001217FA"/>
    <w:rsid w:val="00122276"/>
    <w:rsid w:val="00122B46"/>
    <w:rsid w:val="00123606"/>
    <w:rsid w:val="0012458D"/>
    <w:rsid w:val="00124D0D"/>
    <w:rsid w:val="0012698E"/>
    <w:rsid w:val="00126C03"/>
    <w:rsid w:val="0012759D"/>
    <w:rsid w:val="00127E5F"/>
    <w:rsid w:val="00130785"/>
    <w:rsid w:val="001307AC"/>
    <w:rsid w:val="001314BC"/>
    <w:rsid w:val="00132192"/>
    <w:rsid w:val="0013378D"/>
    <w:rsid w:val="0013529C"/>
    <w:rsid w:val="0013590B"/>
    <w:rsid w:val="001379DD"/>
    <w:rsid w:val="00140440"/>
    <w:rsid w:val="001410E6"/>
    <w:rsid w:val="001425DD"/>
    <w:rsid w:val="001425E4"/>
    <w:rsid w:val="00143D29"/>
    <w:rsid w:val="00144A58"/>
    <w:rsid w:val="001450BB"/>
    <w:rsid w:val="0014534A"/>
    <w:rsid w:val="00146AEA"/>
    <w:rsid w:val="00147B43"/>
    <w:rsid w:val="001520F3"/>
    <w:rsid w:val="0015324D"/>
    <w:rsid w:val="001532EE"/>
    <w:rsid w:val="0015354F"/>
    <w:rsid w:val="00155B0D"/>
    <w:rsid w:val="001603E0"/>
    <w:rsid w:val="001619BE"/>
    <w:rsid w:val="00163DFF"/>
    <w:rsid w:val="00167305"/>
    <w:rsid w:val="00170062"/>
    <w:rsid w:val="00173595"/>
    <w:rsid w:val="00174E05"/>
    <w:rsid w:val="00176C77"/>
    <w:rsid w:val="00180023"/>
    <w:rsid w:val="0018065A"/>
    <w:rsid w:val="00181585"/>
    <w:rsid w:val="00183B2F"/>
    <w:rsid w:val="00184F4E"/>
    <w:rsid w:val="00186219"/>
    <w:rsid w:val="00187158"/>
    <w:rsid w:val="0019084B"/>
    <w:rsid w:val="00190FF4"/>
    <w:rsid w:val="00191500"/>
    <w:rsid w:val="00193110"/>
    <w:rsid w:val="00193EC2"/>
    <w:rsid w:val="00195514"/>
    <w:rsid w:val="00195949"/>
    <w:rsid w:val="00195BE2"/>
    <w:rsid w:val="001A10D5"/>
    <w:rsid w:val="001A22AC"/>
    <w:rsid w:val="001A317E"/>
    <w:rsid w:val="001A551D"/>
    <w:rsid w:val="001A552F"/>
    <w:rsid w:val="001B0BC6"/>
    <w:rsid w:val="001B149B"/>
    <w:rsid w:val="001B2B79"/>
    <w:rsid w:val="001B37CC"/>
    <w:rsid w:val="001B4403"/>
    <w:rsid w:val="001B6382"/>
    <w:rsid w:val="001B63D0"/>
    <w:rsid w:val="001C0328"/>
    <w:rsid w:val="001C0908"/>
    <w:rsid w:val="001C28EF"/>
    <w:rsid w:val="001C6B45"/>
    <w:rsid w:val="001D0204"/>
    <w:rsid w:val="001D0A2C"/>
    <w:rsid w:val="001D2A88"/>
    <w:rsid w:val="001D3881"/>
    <w:rsid w:val="001D39CF"/>
    <w:rsid w:val="001D5B6C"/>
    <w:rsid w:val="001E048E"/>
    <w:rsid w:val="001E1449"/>
    <w:rsid w:val="001E223C"/>
    <w:rsid w:val="001E3513"/>
    <w:rsid w:val="001E3EA5"/>
    <w:rsid w:val="001E4C28"/>
    <w:rsid w:val="001E57D2"/>
    <w:rsid w:val="001E6354"/>
    <w:rsid w:val="001E7900"/>
    <w:rsid w:val="001F559F"/>
    <w:rsid w:val="001F6719"/>
    <w:rsid w:val="00200C04"/>
    <w:rsid w:val="00201D43"/>
    <w:rsid w:val="002046BA"/>
    <w:rsid w:val="00204E5E"/>
    <w:rsid w:val="002054C6"/>
    <w:rsid w:val="002061C0"/>
    <w:rsid w:val="00207197"/>
    <w:rsid w:val="00211DB5"/>
    <w:rsid w:val="00212404"/>
    <w:rsid w:val="0021497B"/>
    <w:rsid w:val="002156E6"/>
    <w:rsid w:val="002170E1"/>
    <w:rsid w:val="002172CB"/>
    <w:rsid w:val="00217B3E"/>
    <w:rsid w:val="00217CA8"/>
    <w:rsid w:val="0022029E"/>
    <w:rsid w:val="002223DF"/>
    <w:rsid w:val="002234D4"/>
    <w:rsid w:val="002246F9"/>
    <w:rsid w:val="00225486"/>
    <w:rsid w:val="00225FE9"/>
    <w:rsid w:val="0023110E"/>
    <w:rsid w:val="00231EE9"/>
    <w:rsid w:val="0023255E"/>
    <w:rsid w:val="00232E1D"/>
    <w:rsid w:val="00233178"/>
    <w:rsid w:val="00234505"/>
    <w:rsid w:val="0023571D"/>
    <w:rsid w:val="00236F0B"/>
    <w:rsid w:val="0023778A"/>
    <w:rsid w:val="00240758"/>
    <w:rsid w:val="00242CDD"/>
    <w:rsid w:val="0024380B"/>
    <w:rsid w:val="002443D0"/>
    <w:rsid w:val="00244B8D"/>
    <w:rsid w:val="00244BC9"/>
    <w:rsid w:val="00245EDE"/>
    <w:rsid w:val="002465C5"/>
    <w:rsid w:val="00246E8D"/>
    <w:rsid w:val="00247F1A"/>
    <w:rsid w:val="0025091B"/>
    <w:rsid w:val="002525C6"/>
    <w:rsid w:val="002540C6"/>
    <w:rsid w:val="002544E7"/>
    <w:rsid w:val="00254603"/>
    <w:rsid w:val="00254703"/>
    <w:rsid w:val="00255C82"/>
    <w:rsid w:val="00257BC7"/>
    <w:rsid w:val="00260035"/>
    <w:rsid w:val="00262E06"/>
    <w:rsid w:val="00263374"/>
    <w:rsid w:val="00263F22"/>
    <w:rsid w:val="00264358"/>
    <w:rsid w:val="0026645F"/>
    <w:rsid w:val="00267AE5"/>
    <w:rsid w:val="0027273A"/>
    <w:rsid w:val="0027383F"/>
    <w:rsid w:val="00275027"/>
    <w:rsid w:val="0027503A"/>
    <w:rsid w:val="00275739"/>
    <w:rsid w:val="00275E4E"/>
    <w:rsid w:val="0027773F"/>
    <w:rsid w:val="002813D5"/>
    <w:rsid w:val="00282494"/>
    <w:rsid w:val="00284250"/>
    <w:rsid w:val="00286DFA"/>
    <w:rsid w:val="002874E7"/>
    <w:rsid w:val="00292379"/>
    <w:rsid w:val="00292BDE"/>
    <w:rsid w:val="00293FFD"/>
    <w:rsid w:val="002940F9"/>
    <w:rsid w:val="002954E2"/>
    <w:rsid w:val="0029601E"/>
    <w:rsid w:val="00297166"/>
    <w:rsid w:val="002A0EEC"/>
    <w:rsid w:val="002A18FD"/>
    <w:rsid w:val="002A2535"/>
    <w:rsid w:val="002A2605"/>
    <w:rsid w:val="002A2B23"/>
    <w:rsid w:val="002A3CA0"/>
    <w:rsid w:val="002A4171"/>
    <w:rsid w:val="002A573D"/>
    <w:rsid w:val="002A617A"/>
    <w:rsid w:val="002B1D76"/>
    <w:rsid w:val="002B3561"/>
    <w:rsid w:val="002B37DB"/>
    <w:rsid w:val="002B57D2"/>
    <w:rsid w:val="002B63C6"/>
    <w:rsid w:val="002B6CF6"/>
    <w:rsid w:val="002B787B"/>
    <w:rsid w:val="002B7D32"/>
    <w:rsid w:val="002B7F4E"/>
    <w:rsid w:val="002C17BD"/>
    <w:rsid w:val="002C2A2A"/>
    <w:rsid w:val="002C2EA9"/>
    <w:rsid w:val="002C34AA"/>
    <w:rsid w:val="002C3E4A"/>
    <w:rsid w:val="002C498A"/>
    <w:rsid w:val="002C6CC7"/>
    <w:rsid w:val="002C7B8C"/>
    <w:rsid w:val="002D3906"/>
    <w:rsid w:val="002D3E93"/>
    <w:rsid w:val="002D57E5"/>
    <w:rsid w:val="002D6D95"/>
    <w:rsid w:val="002E02B3"/>
    <w:rsid w:val="002E05C7"/>
    <w:rsid w:val="002E1889"/>
    <w:rsid w:val="002E6D16"/>
    <w:rsid w:val="002E7572"/>
    <w:rsid w:val="002F0B17"/>
    <w:rsid w:val="002F23E9"/>
    <w:rsid w:val="002F274B"/>
    <w:rsid w:val="002F2C3F"/>
    <w:rsid w:val="002F2CC5"/>
    <w:rsid w:val="002F3C80"/>
    <w:rsid w:val="002F41B3"/>
    <w:rsid w:val="002F6AD8"/>
    <w:rsid w:val="00300690"/>
    <w:rsid w:val="00300B6F"/>
    <w:rsid w:val="003014DB"/>
    <w:rsid w:val="0030288A"/>
    <w:rsid w:val="00302931"/>
    <w:rsid w:val="00303055"/>
    <w:rsid w:val="00303488"/>
    <w:rsid w:val="00303556"/>
    <w:rsid w:val="003049F8"/>
    <w:rsid w:val="00306B7D"/>
    <w:rsid w:val="00307914"/>
    <w:rsid w:val="00307DD9"/>
    <w:rsid w:val="00310620"/>
    <w:rsid w:val="00310E83"/>
    <w:rsid w:val="0031158B"/>
    <w:rsid w:val="00312339"/>
    <w:rsid w:val="00314896"/>
    <w:rsid w:val="00315507"/>
    <w:rsid w:val="00315750"/>
    <w:rsid w:val="003179EE"/>
    <w:rsid w:val="00317CC0"/>
    <w:rsid w:val="00320DCF"/>
    <w:rsid w:val="0032139C"/>
    <w:rsid w:val="00322854"/>
    <w:rsid w:val="00323FC8"/>
    <w:rsid w:val="00325360"/>
    <w:rsid w:val="003264B0"/>
    <w:rsid w:val="00326762"/>
    <w:rsid w:val="003305E2"/>
    <w:rsid w:val="00330A0C"/>
    <w:rsid w:val="0033449D"/>
    <w:rsid w:val="003353A2"/>
    <w:rsid w:val="00335CCC"/>
    <w:rsid w:val="00337FD7"/>
    <w:rsid w:val="0034193F"/>
    <w:rsid w:val="00344C5E"/>
    <w:rsid w:val="0034512A"/>
    <w:rsid w:val="003452E0"/>
    <w:rsid w:val="00347B8C"/>
    <w:rsid w:val="00350AD5"/>
    <w:rsid w:val="0035237D"/>
    <w:rsid w:val="003545C3"/>
    <w:rsid w:val="00354654"/>
    <w:rsid w:val="00354870"/>
    <w:rsid w:val="003566CA"/>
    <w:rsid w:val="00356B27"/>
    <w:rsid w:val="003607A5"/>
    <w:rsid w:val="0036131F"/>
    <w:rsid w:val="003635EC"/>
    <w:rsid w:val="00363C19"/>
    <w:rsid w:val="00363C55"/>
    <w:rsid w:val="00363CDD"/>
    <w:rsid w:val="00365A20"/>
    <w:rsid w:val="00367152"/>
    <w:rsid w:val="00367264"/>
    <w:rsid w:val="003672AA"/>
    <w:rsid w:val="00372EF3"/>
    <w:rsid w:val="00373CD7"/>
    <w:rsid w:val="003750A2"/>
    <w:rsid w:val="003771CF"/>
    <w:rsid w:val="0037776F"/>
    <w:rsid w:val="00380A8D"/>
    <w:rsid w:val="00380C9D"/>
    <w:rsid w:val="0038138B"/>
    <w:rsid w:val="00381860"/>
    <w:rsid w:val="00384506"/>
    <w:rsid w:val="00384FEB"/>
    <w:rsid w:val="003862CF"/>
    <w:rsid w:val="00386419"/>
    <w:rsid w:val="00391EED"/>
    <w:rsid w:val="0039404C"/>
    <w:rsid w:val="003949A7"/>
    <w:rsid w:val="003A041C"/>
    <w:rsid w:val="003A09CC"/>
    <w:rsid w:val="003A1441"/>
    <w:rsid w:val="003A2901"/>
    <w:rsid w:val="003A3C64"/>
    <w:rsid w:val="003A4705"/>
    <w:rsid w:val="003B1C45"/>
    <w:rsid w:val="003B23FA"/>
    <w:rsid w:val="003B56F5"/>
    <w:rsid w:val="003B688C"/>
    <w:rsid w:val="003B7B4E"/>
    <w:rsid w:val="003C02E6"/>
    <w:rsid w:val="003C0330"/>
    <w:rsid w:val="003C25CD"/>
    <w:rsid w:val="003C2CE1"/>
    <w:rsid w:val="003C3C9F"/>
    <w:rsid w:val="003C3D81"/>
    <w:rsid w:val="003C73E3"/>
    <w:rsid w:val="003C7FA5"/>
    <w:rsid w:val="003D08A4"/>
    <w:rsid w:val="003D2515"/>
    <w:rsid w:val="003D4561"/>
    <w:rsid w:val="003D4FF7"/>
    <w:rsid w:val="003E00C1"/>
    <w:rsid w:val="003E0D27"/>
    <w:rsid w:val="003E16F6"/>
    <w:rsid w:val="003E2627"/>
    <w:rsid w:val="003E26D4"/>
    <w:rsid w:val="003E3E1E"/>
    <w:rsid w:val="003E4B57"/>
    <w:rsid w:val="003E533F"/>
    <w:rsid w:val="003E5988"/>
    <w:rsid w:val="003E60BA"/>
    <w:rsid w:val="003E63B3"/>
    <w:rsid w:val="003E71C8"/>
    <w:rsid w:val="003E75BA"/>
    <w:rsid w:val="003E7CCD"/>
    <w:rsid w:val="003F07AA"/>
    <w:rsid w:val="003F2815"/>
    <w:rsid w:val="003F32D2"/>
    <w:rsid w:val="003F398D"/>
    <w:rsid w:val="003F4FB8"/>
    <w:rsid w:val="003F5ED1"/>
    <w:rsid w:val="003F5F82"/>
    <w:rsid w:val="004019FE"/>
    <w:rsid w:val="00402077"/>
    <w:rsid w:val="00402C0F"/>
    <w:rsid w:val="004048BF"/>
    <w:rsid w:val="00405792"/>
    <w:rsid w:val="00407507"/>
    <w:rsid w:val="00410A30"/>
    <w:rsid w:val="00416610"/>
    <w:rsid w:val="00416F35"/>
    <w:rsid w:val="004176A7"/>
    <w:rsid w:val="00420AB1"/>
    <w:rsid w:val="00421BA9"/>
    <w:rsid w:val="00422C0B"/>
    <w:rsid w:val="004233E4"/>
    <w:rsid w:val="004242F3"/>
    <w:rsid w:val="004273FB"/>
    <w:rsid w:val="00431B27"/>
    <w:rsid w:val="00433449"/>
    <w:rsid w:val="00436202"/>
    <w:rsid w:val="004400F3"/>
    <w:rsid w:val="0044118F"/>
    <w:rsid w:val="00441674"/>
    <w:rsid w:val="0044178A"/>
    <w:rsid w:val="004421D2"/>
    <w:rsid w:val="00445C53"/>
    <w:rsid w:val="00446C55"/>
    <w:rsid w:val="0045094F"/>
    <w:rsid w:val="00450AD5"/>
    <w:rsid w:val="0045315A"/>
    <w:rsid w:val="0045333C"/>
    <w:rsid w:val="0045550D"/>
    <w:rsid w:val="00457388"/>
    <w:rsid w:val="0046044C"/>
    <w:rsid w:val="0046122E"/>
    <w:rsid w:val="004617F9"/>
    <w:rsid w:val="00462B9E"/>
    <w:rsid w:val="00470112"/>
    <w:rsid w:val="0047021C"/>
    <w:rsid w:val="00470C7C"/>
    <w:rsid w:val="004713F4"/>
    <w:rsid w:val="00471B33"/>
    <w:rsid w:val="00472939"/>
    <w:rsid w:val="00474008"/>
    <w:rsid w:val="0047401F"/>
    <w:rsid w:val="004744BA"/>
    <w:rsid w:val="00475F4D"/>
    <w:rsid w:val="004764B2"/>
    <w:rsid w:val="004766BC"/>
    <w:rsid w:val="00476EA4"/>
    <w:rsid w:val="00477B43"/>
    <w:rsid w:val="0048084C"/>
    <w:rsid w:val="00480CED"/>
    <w:rsid w:val="00481EEC"/>
    <w:rsid w:val="00483F80"/>
    <w:rsid w:val="00483FB6"/>
    <w:rsid w:val="0048562E"/>
    <w:rsid w:val="004858D6"/>
    <w:rsid w:val="004865E0"/>
    <w:rsid w:val="00490523"/>
    <w:rsid w:val="004906C3"/>
    <w:rsid w:val="00492FBE"/>
    <w:rsid w:val="0049429A"/>
    <w:rsid w:val="00494ED7"/>
    <w:rsid w:val="004A037C"/>
    <w:rsid w:val="004A0D5A"/>
    <w:rsid w:val="004A1E3E"/>
    <w:rsid w:val="004A37D6"/>
    <w:rsid w:val="004A418A"/>
    <w:rsid w:val="004B0842"/>
    <w:rsid w:val="004B112F"/>
    <w:rsid w:val="004B1FD7"/>
    <w:rsid w:val="004B3E54"/>
    <w:rsid w:val="004B71B2"/>
    <w:rsid w:val="004B7A36"/>
    <w:rsid w:val="004C2D81"/>
    <w:rsid w:val="004C3E14"/>
    <w:rsid w:val="004C4889"/>
    <w:rsid w:val="004C5477"/>
    <w:rsid w:val="004C5B3B"/>
    <w:rsid w:val="004C713B"/>
    <w:rsid w:val="004C75FC"/>
    <w:rsid w:val="004C7778"/>
    <w:rsid w:val="004D1263"/>
    <w:rsid w:val="004D156E"/>
    <w:rsid w:val="004D1879"/>
    <w:rsid w:val="004D18B8"/>
    <w:rsid w:val="004D27AE"/>
    <w:rsid w:val="004D310D"/>
    <w:rsid w:val="004D316A"/>
    <w:rsid w:val="004D3DED"/>
    <w:rsid w:val="004D425F"/>
    <w:rsid w:val="004D4500"/>
    <w:rsid w:val="004D46E7"/>
    <w:rsid w:val="004D50FA"/>
    <w:rsid w:val="004D6ABF"/>
    <w:rsid w:val="004E0183"/>
    <w:rsid w:val="004E037E"/>
    <w:rsid w:val="004E078C"/>
    <w:rsid w:val="004E0DFC"/>
    <w:rsid w:val="004E248F"/>
    <w:rsid w:val="004E598D"/>
    <w:rsid w:val="004E5EE8"/>
    <w:rsid w:val="004E67C0"/>
    <w:rsid w:val="004E708F"/>
    <w:rsid w:val="004E76B1"/>
    <w:rsid w:val="004F1C56"/>
    <w:rsid w:val="004F1E86"/>
    <w:rsid w:val="004F224E"/>
    <w:rsid w:val="004F235B"/>
    <w:rsid w:val="004F3E78"/>
    <w:rsid w:val="004F5863"/>
    <w:rsid w:val="004F5957"/>
    <w:rsid w:val="004F5EFF"/>
    <w:rsid w:val="004F6F03"/>
    <w:rsid w:val="004F7A51"/>
    <w:rsid w:val="00501127"/>
    <w:rsid w:val="005025EF"/>
    <w:rsid w:val="005034A8"/>
    <w:rsid w:val="005045B1"/>
    <w:rsid w:val="00504E74"/>
    <w:rsid w:val="0050553E"/>
    <w:rsid w:val="00506E25"/>
    <w:rsid w:val="005077BD"/>
    <w:rsid w:val="00507EEF"/>
    <w:rsid w:val="005102CE"/>
    <w:rsid w:val="005107B4"/>
    <w:rsid w:val="00514ABB"/>
    <w:rsid w:val="00516087"/>
    <w:rsid w:val="005200F8"/>
    <w:rsid w:val="005209F4"/>
    <w:rsid w:val="00520D51"/>
    <w:rsid w:val="00522950"/>
    <w:rsid w:val="00523A5B"/>
    <w:rsid w:val="00524926"/>
    <w:rsid w:val="00526541"/>
    <w:rsid w:val="005269CC"/>
    <w:rsid w:val="00527B9D"/>
    <w:rsid w:val="005312C3"/>
    <w:rsid w:val="00531E42"/>
    <w:rsid w:val="00531F92"/>
    <w:rsid w:val="005341B3"/>
    <w:rsid w:val="005371E4"/>
    <w:rsid w:val="00537DBF"/>
    <w:rsid w:val="0054004A"/>
    <w:rsid w:val="00540CE3"/>
    <w:rsid w:val="005428E8"/>
    <w:rsid w:val="00542A7B"/>
    <w:rsid w:val="00544C53"/>
    <w:rsid w:val="00545683"/>
    <w:rsid w:val="005504F7"/>
    <w:rsid w:val="00550EC1"/>
    <w:rsid w:val="005512DA"/>
    <w:rsid w:val="005519C8"/>
    <w:rsid w:val="00552A30"/>
    <w:rsid w:val="00556F10"/>
    <w:rsid w:val="0055799A"/>
    <w:rsid w:val="005644E6"/>
    <w:rsid w:val="00565268"/>
    <w:rsid w:val="00567A0F"/>
    <w:rsid w:val="005711FA"/>
    <w:rsid w:val="00572414"/>
    <w:rsid w:val="00572787"/>
    <w:rsid w:val="0057457A"/>
    <w:rsid w:val="00575039"/>
    <w:rsid w:val="005759C6"/>
    <w:rsid w:val="00575B45"/>
    <w:rsid w:val="00577388"/>
    <w:rsid w:val="00581754"/>
    <w:rsid w:val="005821D9"/>
    <w:rsid w:val="00584AC9"/>
    <w:rsid w:val="00584D3E"/>
    <w:rsid w:val="005856BF"/>
    <w:rsid w:val="005862BF"/>
    <w:rsid w:val="005916BC"/>
    <w:rsid w:val="00592688"/>
    <w:rsid w:val="00593636"/>
    <w:rsid w:val="00594B57"/>
    <w:rsid w:val="005959B7"/>
    <w:rsid w:val="005969CD"/>
    <w:rsid w:val="00596B94"/>
    <w:rsid w:val="00597327"/>
    <w:rsid w:val="00597D51"/>
    <w:rsid w:val="005A29DA"/>
    <w:rsid w:val="005A78C3"/>
    <w:rsid w:val="005B029D"/>
    <w:rsid w:val="005B71E4"/>
    <w:rsid w:val="005C0338"/>
    <w:rsid w:val="005C04B4"/>
    <w:rsid w:val="005C0661"/>
    <w:rsid w:val="005C377A"/>
    <w:rsid w:val="005C3C46"/>
    <w:rsid w:val="005C4BEB"/>
    <w:rsid w:val="005C5F50"/>
    <w:rsid w:val="005D1062"/>
    <w:rsid w:val="005D2CE2"/>
    <w:rsid w:val="005D316F"/>
    <w:rsid w:val="005D4739"/>
    <w:rsid w:val="005D52FB"/>
    <w:rsid w:val="005D5509"/>
    <w:rsid w:val="005D558F"/>
    <w:rsid w:val="005D5D36"/>
    <w:rsid w:val="005E1A18"/>
    <w:rsid w:val="005E1A9C"/>
    <w:rsid w:val="005E2C11"/>
    <w:rsid w:val="005E2DE6"/>
    <w:rsid w:val="005E4627"/>
    <w:rsid w:val="005E4E3E"/>
    <w:rsid w:val="005E636B"/>
    <w:rsid w:val="005F0182"/>
    <w:rsid w:val="005F2533"/>
    <w:rsid w:val="005F39E7"/>
    <w:rsid w:val="005F5A3A"/>
    <w:rsid w:val="00603049"/>
    <w:rsid w:val="00603AD0"/>
    <w:rsid w:val="006053CF"/>
    <w:rsid w:val="00606616"/>
    <w:rsid w:val="00606B5F"/>
    <w:rsid w:val="0060726B"/>
    <w:rsid w:val="0061036A"/>
    <w:rsid w:val="006109E5"/>
    <w:rsid w:val="00613336"/>
    <w:rsid w:val="00614A9F"/>
    <w:rsid w:val="00614D09"/>
    <w:rsid w:val="006156EF"/>
    <w:rsid w:val="006161D7"/>
    <w:rsid w:val="00620548"/>
    <w:rsid w:val="00620D1C"/>
    <w:rsid w:val="006210AB"/>
    <w:rsid w:val="00621319"/>
    <w:rsid w:val="00621588"/>
    <w:rsid w:val="006243EE"/>
    <w:rsid w:val="00625CCB"/>
    <w:rsid w:val="006277AB"/>
    <w:rsid w:val="00627AAF"/>
    <w:rsid w:val="00630293"/>
    <w:rsid w:val="00630986"/>
    <w:rsid w:val="0063115C"/>
    <w:rsid w:val="0063254B"/>
    <w:rsid w:val="006346A8"/>
    <w:rsid w:val="00634AF3"/>
    <w:rsid w:val="0063563C"/>
    <w:rsid w:val="00637262"/>
    <w:rsid w:val="00637B75"/>
    <w:rsid w:val="00637C4B"/>
    <w:rsid w:val="0064024C"/>
    <w:rsid w:val="00640DA8"/>
    <w:rsid w:val="00641440"/>
    <w:rsid w:val="00642DCE"/>
    <w:rsid w:val="00645F87"/>
    <w:rsid w:val="00646F93"/>
    <w:rsid w:val="0065098E"/>
    <w:rsid w:val="006513B0"/>
    <w:rsid w:val="00652684"/>
    <w:rsid w:val="00653CC8"/>
    <w:rsid w:val="00653E8C"/>
    <w:rsid w:val="00653F5E"/>
    <w:rsid w:val="0065579B"/>
    <w:rsid w:val="00655EC6"/>
    <w:rsid w:val="00656DDC"/>
    <w:rsid w:val="00660CD5"/>
    <w:rsid w:val="0066368D"/>
    <w:rsid w:val="00664674"/>
    <w:rsid w:val="00664AED"/>
    <w:rsid w:val="00665818"/>
    <w:rsid w:val="00665D3A"/>
    <w:rsid w:val="006665F5"/>
    <w:rsid w:val="00671170"/>
    <w:rsid w:val="00671E85"/>
    <w:rsid w:val="0067391F"/>
    <w:rsid w:val="00673942"/>
    <w:rsid w:val="00673B08"/>
    <w:rsid w:val="006741F3"/>
    <w:rsid w:val="006745A1"/>
    <w:rsid w:val="00675111"/>
    <w:rsid w:val="00676177"/>
    <w:rsid w:val="006767C5"/>
    <w:rsid w:val="0068177A"/>
    <w:rsid w:val="006823D3"/>
    <w:rsid w:val="00686BD0"/>
    <w:rsid w:val="006878A8"/>
    <w:rsid w:val="00687C31"/>
    <w:rsid w:val="00687E8E"/>
    <w:rsid w:val="006912F8"/>
    <w:rsid w:val="00692D4A"/>
    <w:rsid w:val="0069414E"/>
    <w:rsid w:val="00694537"/>
    <w:rsid w:val="00694E5B"/>
    <w:rsid w:val="00695EC7"/>
    <w:rsid w:val="00696CD2"/>
    <w:rsid w:val="006970AD"/>
    <w:rsid w:val="006A00D0"/>
    <w:rsid w:val="006A00D7"/>
    <w:rsid w:val="006A073A"/>
    <w:rsid w:val="006A3028"/>
    <w:rsid w:val="006A4530"/>
    <w:rsid w:val="006A6503"/>
    <w:rsid w:val="006B1A95"/>
    <w:rsid w:val="006B23C8"/>
    <w:rsid w:val="006B2621"/>
    <w:rsid w:val="006B49E9"/>
    <w:rsid w:val="006B5654"/>
    <w:rsid w:val="006B6971"/>
    <w:rsid w:val="006C009D"/>
    <w:rsid w:val="006C0A52"/>
    <w:rsid w:val="006C1BC2"/>
    <w:rsid w:val="006C1BFB"/>
    <w:rsid w:val="006C25F3"/>
    <w:rsid w:val="006C2FBE"/>
    <w:rsid w:val="006C2FC4"/>
    <w:rsid w:val="006C3A21"/>
    <w:rsid w:val="006C3CD7"/>
    <w:rsid w:val="006C5E11"/>
    <w:rsid w:val="006D06A9"/>
    <w:rsid w:val="006D0B96"/>
    <w:rsid w:val="006D0BF7"/>
    <w:rsid w:val="006D390A"/>
    <w:rsid w:val="006D458F"/>
    <w:rsid w:val="006D5DDA"/>
    <w:rsid w:val="006D753C"/>
    <w:rsid w:val="006E1A5C"/>
    <w:rsid w:val="006E1D87"/>
    <w:rsid w:val="006E2220"/>
    <w:rsid w:val="006E290B"/>
    <w:rsid w:val="006E2AEC"/>
    <w:rsid w:val="006E3918"/>
    <w:rsid w:val="006E3A4D"/>
    <w:rsid w:val="006E571A"/>
    <w:rsid w:val="006E5A83"/>
    <w:rsid w:val="006E64FF"/>
    <w:rsid w:val="006E77C8"/>
    <w:rsid w:val="006F0F0A"/>
    <w:rsid w:val="006F1495"/>
    <w:rsid w:val="006F33EB"/>
    <w:rsid w:val="006F47BB"/>
    <w:rsid w:val="006F4FD5"/>
    <w:rsid w:val="0070011D"/>
    <w:rsid w:val="0070148B"/>
    <w:rsid w:val="00701BB2"/>
    <w:rsid w:val="00702874"/>
    <w:rsid w:val="00702C18"/>
    <w:rsid w:val="00703F32"/>
    <w:rsid w:val="007078C6"/>
    <w:rsid w:val="00710204"/>
    <w:rsid w:val="007105B1"/>
    <w:rsid w:val="00710F98"/>
    <w:rsid w:val="00711223"/>
    <w:rsid w:val="00712042"/>
    <w:rsid w:val="0071228E"/>
    <w:rsid w:val="007136C4"/>
    <w:rsid w:val="007137FB"/>
    <w:rsid w:val="00714BE8"/>
    <w:rsid w:val="00715A9A"/>
    <w:rsid w:val="007169D0"/>
    <w:rsid w:val="00717021"/>
    <w:rsid w:val="00717300"/>
    <w:rsid w:val="00721922"/>
    <w:rsid w:val="00721AF6"/>
    <w:rsid w:val="00724BEA"/>
    <w:rsid w:val="00732777"/>
    <w:rsid w:val="00732CE3"/>
    <w:rsid w:val="00732D99"/>
    <w:rsid w:val="0073312C"/>
    <w:rsid w:val="007331BD"/>
    <w:rsid w:val="00734415"/>
    <w:rsid w:val="0073577A"/>
    <w:rsid w:val="00736356"/>
    <w:rsid w:val="00737867"/>
    <w:rsid w:val="00740AB8"/>
    <w:rsid w:val="00744116"/>
    <w:rsid w:val="0074434F"/>
    <w:rsid w:val="007466DB"/>
    <w:rsid w:val="00747006"/>
    <w:rsid w:val="00750080"/>
    <w:rsid w:val="00752140"/>
    <w:rsid w:val="00752D4A"/>
    <w:rsid w:val="00753978"/>
    <w:rsid w:val="0075551F"/>
    <w:rsid w:val="00761955"/>
    <w:rsid w:val="00762278"/>
    <w:rsid w:val="00762984"/>
    <w:rsid w:val="00762EF0"/>
    <w:rsid w:val="007641E1"/>
    <w:rsid w:val="00764937"/>
    <w:rsid w:val="007658C9"/>
    <w:rsid w:val="00765C3C"/>
    <w:rsid w:val="00766194"/>
    <w:rsid w:val="0076651D"/>
    <w:rsid w:val="007677DE"/>
    <w:rsid w:val="00770BC5"/>
    <w:rsid w:val="0077111B"/>
    <w:rsid w:val="00771747"/>
    <w:rsid w:val="00772232"/>
    <w:rsid w:val="007739E8"/>
    <w:rsid w:val="00773BBB"/>
    <w:rsid w:val="00773F1A"/>
    <w:rsid w:val="007766BB"/>
    <w:rsid w:val="00776D92"/>
    <w:rsid w:val="00777F70"/>
    <w:rsid w:val="007844FD"/>
    <w:rsid w:val="007862D4"/>
    <w:rsid w:val="00791544"/>
    <w:rsid w:val="007932F8"/>
    <w:rsid w:val="0079341A"/>
    <w:rsid w:val="00793665"/>
    <w:rsid w:val="0079367B"/>
    <w:rsid w:val="00793C57"/>
    <w:rsid w:val="00795189"/>
    <w:rsid w:val="00795B63"/>
    <w:rsid w:val="00795D2F"/>
    <w:rsid w:val="007A0A9F"/>
    <w:rsid w:val="007A1BE9"/>
    <w:rsid w:val="007A25F7"/>
    <w:rsid w:val="007A3164"/>
    <w:rsid w:val="007A3720"/>
    <w:rsid w:val="007A3F55"/>
    <w:rsid w:val="007A680A"/>
    <w:rsid w:val="007B005F"/>
    <w:rsid w:val="007B22D7"/>
    <w:rsid w:val="007B42C7"/>
    <w:rsid w:val="007B4B35"/>
    <w:rsid w:val="007B5AFA"/>
    <w:rsid w:val="007B5EB3"/>
    <w:rsid w:val="007B5FB7"/>
    <w:rsid w:val="007B6177"/>
    <w:rsid w:val="007B72F5"/>
    <w:rsid w:val="007C333C"/>
    <w:rsid w:val="007C3831"/>
    <w:rsid w:val="007C56E5"/>
    <w:rsid w:val="007C5C42"/>
    <w:rsid w:val="007C5FE0"/>
    <w:rsid w:val="007C67C6"/>
    <w:rsid w:val="007D0E58"/>
    <w:rsid w:val="007D19A0"/>
    <w:rsid w:val="007D3137"/>
    <w:rsid w:val="007D46D6"/>
    <w:rsid w:val="007D4B5D"/>
    <w:rsid w:val="007D4FBC"/>
    <w:rsid w:val="007D552E"/>
    <w:rsid w:val="007D7577"/>
    <w:rsid w:val="007D7D68"/>
    <w:rsid w:val="007E1185"/>
    <w:rsid w:val="007E5089"/>
    <w:rsid w:val="007E573C"/>
    <w:rsid w:val="007E75EB"/>
    <w:rsid w:val="007E763F"/>
    <w:rsid w:val="007E781D"/>
    <w:rsid w:val="007F1767"/>
    <w:rsid w:val="007F203E"/>
    <w:rsid w:val="007F28AA"/>
    <w:rsid w:val="007F2A71"/>
    <w:rsid w:val="007F32C3"/>
    <w:rsid w:val="007F4353"/>
    <w:rsid w:val="007F4361"/>
    <w:rsid w:val="007F49A4"/>
    <w:rsid w:val="007F692E"/>
    <w:rsid w:val="007F7542"/>
    <w:rsid w:val="007F7A0A"/>
    <w:rsid w:val="007F7A7E"/>
    <w:rsid w:val="007F7E04"/>
    <w:rsid w:val="008003A7"/>
    <w:rsid w:val="00800AA2"/>
    <w:rsid w:val="0080319F"/>
    <w:rsid w:val="008036A6"/>
    <w:rsid w:val="00804100"/>
    <w:rsid w:val="008044C2"/>
    <w:rsid w:val="00810F6D"/>
    <w:rsid w:val="00812A94"/>
    <w:rsid w:val="0081303A"/>
    <w:rsid w:val="00813B2E"/>
    <w:rsid w:val="0081604B"/>
    <w:rsid w:val="00816B08"/>
    <w:rsid w:val="00820620"/>
    <w:rsid w:val="00820FB5"/>
    <w:rsid w:val="00821613"/>
    <w:rsid w:val="00826B86"/>
    <w:rsid w:val="00831CD9"/>
    <w:rsid w:val="008323DF"/>
    <w:rsid w:val="00833BA7"/>
    <w:rsid w:val="00834C2B"/>
    <w:rsid w:val="00835F94"/>
    <w:rsid w:val="00836A88"/>
    <w:rsid w:val="00841077"/>
    <w:rsid w:val="008410A9"/>
    <w:rsid w:val="00845279"/>
    <w:rsid w:val="008455B0"/>
    <w:rsid w:val="0084624F"/>
    <w:rsid w:val="00846555"/>
    <w:rsid w:val="008566DF"/>
    <w:rsid w:val="00861B21"/>
    <w:rsid w:val="00861D40"/>
    <w:rsid w:val="008622F3"/>
    <w:rsid w:val="0086259C"/>
    <w:rsid w:val="00863BF9"/>
    <w:rsid w:val="00863C00"/>
    <w:rsid w:val="00864574"/>
    <w:rsid w:val="0086462A"/>
    <w:rsid w:val="00865088"/>
    <w:rsid w:val="00867094"/>
    <w:rsid w:val="00867310"/>
    <w:rsid w:val="00867B19"/>
    <w:rsid w:val="008705BA"/>
    <w:rsid w:val="00870633"/>
    <w:rsid w:val="00870781"/>
    <w:rsid w:val="008710EE"/>
    <w:rsid w:val="008713D0"/>
    <w:rsid w:val="008720B2"/>
    <w:rsid w:val="00875798"/>
    <w:rsid w:val="00875D9C"/>
    <w:rsid w:val="008775BD"/>
    <w:rsid w:val="00877676"/>
    <w:rsid w:val="0087798D"/>
    <w:rsid w:val="008829AF"/>
    <w:rsid w:val="00884208"/>
    <w:rsid w:val="0088571F"/>
    <w:rsid w:val="00887FB4"/>
    <w:rsid w:val="00890644"/>
    <w:rsid w:val="0089101C"/>
    <w:rsid w:val="0089192A"/>
    <w:rsid w:val="00893FCE"/>
    <w:rsid w:val="0089485F"/>
    <w:rsid w:val="008948EA"/>
    <w:rsid w:val="00894BEA"/>
    <w:rsid w:val="0089750D"/>
    <w:rsid w:val="008A0513"/>
    <w:rsid w:val="008A0DDF"/>
    <w:rsid w:val="008A0F6C"/>
    <w:rsid w:val="008A10E3"/>
    <w:rsid w:val="008A1A92"/>
    <w:rsid w:val="008A37EB"/>
    <w:rsid w:val="008A54F9"/>
    <w:rsid w:val="008B075C"/>
    <w:rsid w:val="008B0763"/>
    <w:rsid w:val="008B0A8B"/>
    <w:rsid w:val="008B0BCC"/>
    <w:rsid w:val="008B20A2"/>
    <w:rsid w:val="008B22F5"/>
    <w:rsid w:val="008B3AAF"/>
    <w:rsid w:val="008B5B9E"/>
    <w:rsid w:val="008B5C42"/>
    <w:rsid w:val="008B5D60"/>
    <w:rsid w:val="008B711B"/>
    <w:rsid w:val="008C11EE"/>
    <w:rsid w:val="008C14EB"/>
    <w:rsid w:val="008C199A"/>
    <w:rsid w:val="008C4E2D"/>
    <w:rsid w:val="008C6E70"/>
    <w:rsid w:val="008D0E1A"/>
    <w:rsid w:val="008D1243"/>
    <w:rsid w:val="008D152D"/>
    <w:rsid w:val="008D2D15"/>
    <w:rsid w:val="008D7855"/>
    <w:rsid w:val="008E18B4"/>
    <w:rsid w:val="008E31F8"/>
    <w:rsid w:val="008E396F"/>
    <w:rsid w:val="008E3B8D"/>
    <w:rsid w:val="008E4E39"/>
    <w:rsid w:val="008E4E7D"/>
    <w:rsid w:val="008E5198"/>
    <w:rsid w:val="008E6757"/>
    <w:rsid w:val="008E79CF"/>
    <w:rsid w:val="008F0753"/>
    <w:rsid w:val="008F0A8E"/>
    <w:rsid w:val="008F2481"/>
    <w:rsid w:val="008F445E"/>
    <w:rsid w:val="008F611E"/>
    <w:rsid w:val="008F651E"/>
    <w:rsid w:val="008F7973"/>
    <w:rsid w:val="00900263"/>
    <w:rsid w:val="00900A02"/>
    <w:rsid w:val="009035E2"/>
    <w:rsid w:val="0090752B"/>
    <w:rsid w:val="0091022F"/>
    <w:rsid w:val="00910379"/>
    <w:rsid w:val="00910615"/>
    <w:rsid w:val="00911E30"/>
    <w:rsid w:val="009122A4"/>
    <w:rsid w:val="00912652"/>
    <w:rsid w:val="0091301D"/>
    <w:rsid w:val="00915049"/>
    <w:rsid w:val="0091541A"/>
    <w:rsid w:val="00917270"/>
    <w:rsid w:val="00917795"/>
    <w:rsid w:val="00921833"/>
    <w:rsid w:val="00921DA5"/>
    <w:rsid w:val="00927115"/>
    <w:rsid w:val="009279B4"/>
    <w:rsid w:val="009311E1"/>
    <w:rsid w:val="0093190B"/>
    <w:rsid w:val="00932EC8"/>
    <w:rsid w:val="00933CE0"/>
    <w:rsid w:val="00941E8D"/>
    <w:rsid w:val="00944CEE"/>
    <w:rsid w:val="00945779"/>
    <w:rsid w:val="00946533"/>
    <w:rsid w:val="00946FB9"/>
    <w:rsid w:val="009475A8"/>
    <w:rsid w:val="0094789A"/>
    <w:rsid w:val="00947A7B"/>
    <w:rsid w:val="00947ED0"/>
    <w:rsid w:val="00951161"/>
    <w:rsid w:val="00952C89"/>
    <w:rsid w:val="00953BFF"/>
    <w:rsid w:val="009557B6"/>
    <w:rsid w:val="009558BB"/>
    <w:rsid w:val="0095630F"/>
    <w:rsid w:val="00962082"/>
    <w:rsid w:val="00963163"/>
    <w:rsid w:val="00964D0C"/>
    <w:rsid w:val="0096613B"/>
    <w:rsid w:val="009662C5"/>
    <w:rsid w:val="00970A16"/>
    <w:rsid w:val="009720B2"/>
    <w:rsid w:val="009731DC"/>
    <w:rsid w:val="00976FE4"/>
    <w:rsid w:val="00977EB4"/>
    <w:rsid w:val="0098034B"/>
    <w:rsid w:val="0098140C"/>
    <w:rsid w:val="00981606"/>
    <w:rsid w:val="00982398"/>
    <w:rsid w:val="00984A47"/>
    <w:rsid w:val="00984AA7"/>
    <w:rsid w:val="009871B4"/>
    <w:rsid w:val="0098727F"/>
    <w:rsid w:val="0098791B"/>
    <w:rsid w:val="0099000B"/>
    <w:rsid w:val="00990BC8"/>
    <w:rsid w:val="00990DEF"/>
    <w:rsid w:val="00991C4F"/>
    <w:rsid w:val="00994442"/>
    <w:rsid w:val="00994D6A"/>
    <w:rsid w:val="00996267"/>
    <w:rsid w:val="009A0BB3"/>
    <w:rsid w:val="009A4195"/>
    <w:rsid w:val="009A47F0"/>
    <w:rsid w:val="009A4A84"/>
    <w:rsid w:val="009A52F4"/>
    <w:rsid w:val="009A78D9"/>
    <w:rsid w:val="009A7DCB"/>
    <w:rsid w:val="009B088E"/>
    <w:rsid w:val="009B092B"/>
    <w:rsid w:val="009B11CF"/>
    <w:rsid w:val="009B15CC"/>
    <w:rsid w:val="009B22FC"/>
    <w:rsid w:val="009B2CE6"/>
    <w:rsid w:val="009B2EDB"/>
    <w:rsid w:val="009B5614"/>
    <w:rsid w:val="009B5903"/>
    <w:rsid w:val="009B5CAE"/>
    <w:rsid w:val="009B6E6C"/>
    <w:rsid w:val="009C0555"/>
    <w:rsid w:val="009C0D34"/>
    <w:rsid w:val="009C182B"/>
    <w:rsid w:val="009C380B"/>
    <w:rsid w:val="009C38FB"/>
    <w:rsid w:val="009C49AF"/>
    <w:rsid w:val="009C5BC4"/>
    <w:rsid w:val="009C5C13"/>
    <w:rsid w:val="009C6F16"/>
    <w:rsid w:val="009C7B26"/>
    <w:rsid w:val="009D156B"/>
    <w:rsid w:val="009D177C"/>
    <w:rsid w:val="009D2CB0"/>
    <w:rsid w:val="009D2E7D"/>
    <w:rsid w:val="009D4DE3"/>
    <w:rsid w:val="009D4E5C"/>
    <w:rsid w:val="009D555F"/>
    <w:rsid w:val="009D7374"/>
    <w:rsid w:val="009E40B6"/>
    <w:rsid w:val="009E68C2"/>
    <w:rsid w:val="009E6E31"/>
    <w:rsid w:val="009E7747"/>
    <w:rsid w:val="009F153F"/>
    <w:rsid w:val="009F3F5D"/>
    <w:rsid w:val="009F4724"/>
    <w:rsid w:val="009F4C51"/>
    <w:rsid w:val="009F616D"/>
    <w:rsid w:val="009F710E"/>
    <w:rsid w:val="00A00142"/>
    <w:rsid w:val="00A0075D"/>
    <w:rsid w:val="00A01911"/>
    <w:rsid w:val="00A0296B"/>
    <w:rsid w:val="00A046A2"/>
    <w:rsid w:val="00A054B9"/>
    <w:rsid w:val="00A056D4"/>
    <w:rsid w:val="00A05771"/>
    <w:rsid w:val="00A059A7"/>
    <w:rsid w:val="00A10269"/>
    <w:rsid w:val="00A1108E"/>
    <w:rsid w:val="00A14638"/>
    <w:rsid w:val="00A147DC"/>
    <w:rsid w:val="00A1570F"/>
    <w:rsid w:val="00A1574E"/>
    <w:rsid w:val="00A162E1"/>
    <w:rsid w:val="00A17C84"/>
    <w:rsid w:val="00A21B95"/>
    <w:rsid w:val="00A23245"/>
    <w:rsid w:val="00A235E3"/>
    <w:rsid w:val="00A2680F"/>
    <w:rsid w:val="00A26D6A"/>
    <w:rsid w:val="00A302F4"/>
    <w:rsid w:val="00A30B7F"/>
    <w:rsid w:val="00A3112D"/>
    <w:rsid w:val="00A3249B"/>
    <w:rsid w:val="00A331F4"/>
    <w:rsid w:val="00A3477B"/>
    <w:rsid w:val="00A34C4F"/>
    <w:rsid w:val="00A3534F"/>
    <w:rsid w:val="00A35AE8"/>
    <w:rsid w:val="00A4096D"/>
    <w:rsid w:val="00A42171"/>
    <w:rsid w:val="00A43986"/>
    <w:rsid w:val="00A44B28"/>
    <w:rsid w:val="00A45FAE"/>
    <w:rsid w:val="00A4626B"/>
    <w:rsid w:val="00A46292"/>
    <w:rsid w:val="00A4639F"/>
    <w:rsid w:val="00A463CB"/>
    <w:rsid w:val="00A47A97"/>
    <w:rsid w:val="00A5026B"/>
    <w:rsid w:val="00A51198"/>
    <w:rsid w:val="00A54539"/>
    <w:rsid w:val="00A56B1B"/>
    <w:rsid w:val="00A56B67"/>
    <w:rsid w:val="00A60D61"/>
    <w:rsid w:val="00A61F35"/>
    <w:rsid w:val="00A63211"/>
    <w:rsid w:val="00A64EF1"/>
    <w:rsid w:val="00A6514C"/>
    <w:rsid w:val="00A66BE0"/>
    <w:rsid w:val="00A66EAF"/>
    <w:rsid w:val="00A670B6"/>
    <w:rsid w:val="00A723CD"/>
    <w:rsid w:val="00A72EC3"/>
    <w:rsid w:val="00A74771"/>
    <w:rsid w:val="00A748AC"/>
    <w:rsid w:val="00A74F96"/>
    <w:rsid w:val="00A760C9"/>
    <w:rsid w:val="00A77667"/>
    <w:rsid w:val="00A7768B"/>
    <w:rsid w:val="00A7777E"/>
    <w:rsid w:val="00A779B8"/>
    <w:rsid w:val="00A8426B"/>
    <w:rsid w:val="00A8450E"/>
    <w:rsid w:val="00A85662"/>
    <w:rsid w:val="00A86055"/>
    <w:rsid w:val="00A862AC"/>
    <w:rsid w:val="00A86E85"/>
    <w:rsid w:val="00A86F86"/>
    <w:rsid w:val="00A87AF5"/>
    <w:rsid w:val="00A916B1"/>
    <w:rsid w:val="00A927F5"/>
    <w:rsid w:val="00A92EF2"/>
    <w:rsid w:val="00A92FDB"/>
    <w:rsid w:val="00A95E5E"/>
    <w:rsid w:val="00A96B35"/>
    <w:rsid w:val="00A97675"/>
    <w:rsid w:val="00AA4B2D"/>
    <w:rsid w:val="00AA6982"/>
    <w:rsid w:val="00AB126B"/>
    <w:rsid w:val="00AB1343"/>
    <w:rsid w:val="00AB60EE"/>
    <w:rsid w:val="00AB6218"/>
    <w:rsid w:val="00AB6557"/>
    <w:rsid w:val="00AB73A9"/>
    <w:rsid w:val="00AB7455"/>
    <w:rsid w:val="00AC27C5"/>
    <w:rsid w:val="00AC28C1"/>
    <w:rsid w:val="00AC382A"/>
    <w:rsid w:val="00AC3FCF"/>
    <w:rsid w:val="00AC492F"/>
    <w:rsid w:val="00AD0B83"/>
    <w:rsid w:val="00AD1412"/>
    <w:rsid w:val="00AD2554"/>
    <w:rsid w:val="00AD2DFF"/>
    <w:rsid w:val="00AD45D8"/>
    <w:rsid w:val="00AD4C88"/>
    <w:rsid w:val="00AD6724"/>
    <w:rsid w:val="00AE1405"/>
    <w:rsid w:val="00AE2300"/>
    <w:rsid w:val="00AE341F"/>
    <w:rsid w:val="00AE4298"/>
    <w:rsid w:val="00AE4701"/>
    <w:rsid w:val="00AE53DD"/>
    <w:rsid w:val="00AE7F19"/>
    <w:rsid w:val="00AE7F99"/>
    <w:rsid w:val="00AF3393"/>
    <w:rsid w:val="00AF3CEF"/>
    <w:rsid w:val="00AF4B0C"/>
    <w:rsid w:val="00AF5F50"/>
    <w:rsid w:val="00AF6195"/>
    <w:rsid w:val="00B00265"/>
    <w:rsid w:val="00B01D7D"/>
    <w:rsid w:val="00B01DF7"/>
    <w:rsid w:val="00B02010"/>
    <w:rsid w:val="00B020FC"/>
    <w:rsid w:val="00B0351D"/>
    <w:rsid w:val="00B03B3A"/>
    <w:rsid w:val="00B066A0"/>
    <w:rsid w:val="00B11857"/>
    <w:rsid w:val="00B127D7"/>
    <w:rsid w:val="00B130B5"/>
    <w:rsid w:val="00B1344A"/>
    <w:rsid w:val="00B13CD7"/>
    <w:rsid w:val="00B1533A"/>
    <w:rsid w:val="00B16982"/>
    <w:rsid w:val="00B16F60"/>
    <w:rsid w:val="00B205F1"/>
    <w:rsid w:val="00B20EED"/>
    <w:rsid w:val="00B21658"/>
    <w:rsid w:val="00B232D5"/>
    <w:rsid w:val="00B2396C"/>
    <w:rsid w:val="00B260FB"/>
    <w:rsid w:val="00B30674"/>
    <w:rsid w:val="00B3636E"/>
    <w:rsid w:val="00B36EBC"/>
    <w:rsid w:val="00B37AEE"/>
    <w:rsid w:val="00B37C46"/>
    <w:rsid w:val="00B40811"/>
    <w:rsid w:val="00B417EE"/>
    <w:rsid w:val="00B41E7B"/>
    <w:rsid w:val="00B43540"/>
    <w:rsid w:val="00B4372E"/>
    <w:rsid w:val="00B44705"/>
    <w:rsid w:val="00B44E89"/>
    <w:rsid w:val="00B46C31"/>
    <w:rsid w:val="00B471C4"/>
    <w:rsid w:val="00B502F2"/>
    <w:rsid w:val="00B508FC"/>
    <w:rsid w:val="00B50DBF"/>
    <w:rsid w:val="00B51F56"/>
    <w:rsid w:val="00B52B46"/>
    <w:rsid w:val="00B538FD"/>
    <w:rsid w:val="00B53AFC"/>
    <w:rsid w:val="00B5465B"/>
    <w:rsid w:val="00B549ED"/>
    <w:rsid w:val="00B54FB3"/>
    <w:rsid w:val="00B55C37"/>
    <w:rsid w:val="00B561E4"/>
    <w:rsid w:val="00B562AE"/>
    <w:rsid w:val="00B565C8"/>
    <w:rsid w:val="00B56FD0"/>
    <w:rsid w:val="00B57789"/>
    <w:rsid w:val="00B60222"/>
    <w:rsid w:val="00B6138B"/>
    <w:rsid w:val="00B634D2"/>
    <w:rsid w:val="00B63AF9"/>
    <w:rsid w:val="00B64BE7"/>
    <w:rsid w:val="00B653AA"/>
    <w:rsid w:val="00B654E8"/>
    <w:rsid w:val="00B66F20"/>
    <w:rsid w:val="00B72A32"/>
    <w:rsid w:val="00B7314D"/>
    <w:rsid w:val="00B73594"/>
    <w:rsid w:val="00B73A8A"/>
    <w:rsid w:val="00B7558B"/>
    <w:rsid w:val="00B758B3"/>
    <w:rsid w:val="00B75B4D"/>
    <w:rsid w:val="00B7670F"/>
    <w:rsid w:val="00B77AA1"/>
    <w:rsid w:val="00B77ECB"/>
    <w:rsid w:val="00B80B63"/>
    <w:rsid w:val="00B8182F"/>
    <w:rsid w:val="00B81840"/>
    <w:rsid w:val="00B81F17"/>
    <w:rsid w:val="00B82FDF"/>
    <w:rsid w:val="00B83439"/>
    <w:rsid w:val="00B839C3"/>
    <w:rsid w:val="00B83BEA"/>
    <w:rsid w:val="00B9027E"/>
    <w:rsid w:val="00B91200"/>
    <w:rsid w:val="00B9319F"/>
    <w:rsid w:val="00B93681"/>
    <w:rsid w:val="00B9532C"/>
    <w:rsid w:val="00B9660E"/>
    <w:rsid w:val="00B967B8"/>
    <w:rsid w:val="00BA13C2"/>
    <w:rsid w:val="00BA1ACF"/>
    <w:rsid w:val="00BA1D10"/>
    <w:rsid w:val="00BA25D9"/>
    <w:rsid w:val="00BA3F90"/>
    <w:rsid w:val="00BA5F4E"/>
    <w:rsid w:val="00BB213E"/>
    <w:rsid w:val="00BB2C18"/>
    <w:rsid w:val="00BB3317"/>
    <w:rsid w:val="00BB4088"/>
    <w:rsid w:val="00BB4320"/>
    <w:rsid w:val="00BB4816"/>
    <w:rsid w:val="00BB7553"/>
    <w:rsid w:val="00BB75B9"/>
    <w:rsid w:val="00BB7DF5"/>
    <w:rsid w:val="00BC1C89"/>
    <w:rsid w:val="00BC1D4D"/>
    <w:rsid w:val="00BC2C43"/>
    <w:rsid w:val="00BC3239"/>
    <w:rsid w:val="00BC373B"/>
    <w:rsid w:val="00BC5A18"/>
    <w:rsid w:val="00BC69F8"/>
    <w:rsid w:val="00BD1B84"/>
    <w:rsid w:val="00BD2E0C"/>
    <w:rsid w:val="00BD3146"/>
    <w:rsid w:val="00BD39FE"/>
    <w:rsid w:val="00BD49FA"/>
    <w:rsid w:val="00BD5C22"/>
    <w:rsid w:val="00BD5DBF"/>
    <w:rsid w:val="00BD5E2B"/>
    <w:rsid w:val="00BD732F"/>
    <w:rsid w:val="00BD7F63"/>
    <w:rsid w:val="00BE068B"/>
    <w:rsid w:val="00BE113A"/>
    <w:rsid w:val="00BE1E3A"/>
    <w:rsid w:val="00BE2453"/>
    <w:rsid w:val="00BE295E"/>
    <w:rsid w:val="00BE3311"/>
    <w:rsid w:val="00BE5EDB"/>
    <w:rsid w:val="00BE5FF2"/>
    <w:rsid w:val="00BE60E8"/>
    <w:rsid w:val="00BE63A6"/>
    <w:rsid w:val="00BE6901"/>
    <w:rsid w:val="00BF0A98"/>
    <w:rsid w:val="00BF0E5E"/>
    <w:rsid w:val="00BF1092"/>
    <w:rsid w:val="00BF36FB"/>
    <w:rsid w:val="00BF3837"/>
    <w:rsid w:val="00BF3938"/>
    <w:rsid w:val="00BF5F4C"/>
    <w:rsid w:val="00C0085B"/>
    <w:rsid w:val="00C01F2B"/>
    <w:rsid w:val="00C02ABC"/>
    <w:rsid w:val="00C02C35"/>
    <w:rsid w:val="00C033FE"/>
    <w:rsid w:val="00C03BA1"/>
    <w:rsid w:val="00C05DF1"/>
    <w:rsid w:val="00C077EA"/>
    <w:rsid w:val="00C11171"/>
    <w:rsid w:val="00C1157B"/>
    <w:rsid w:val="00C1211D"/>
    <w:rsid w:val="00C12173"/>
    <w:rsid w:val="00C13373"/>
    <w:rsid w:val="00C134D7"/>
    <w:rsid w:val="00C143A1"/>
    <w:rsid w:val="00C14F62"/>
    <w:rsid w:val="00C16144"/>
    <w:rsid w:val="00C21300"/>
    <w:rsid w:val="00C21BC4"/>
    <w:rsid w:val="00C226DA"/>
    <w:rsid w:val="00C235D3"/>
    <w:rsid w:val="00C25313"/>
    <w:rsid w:val="00C25F96"/>
    <w:rsid w:val="00C260BC"/>
    <w:rsid w:val="00C26D5F"/>
    <w:rsid w:val="00C2779D"/>
    <w:rsid w:val="00C278B7"/>
    <w:rsid w:val="00C30FB8"/>
    <w:rsid w:val="00C315C5"/>
    <w:rsid w:val="00C32F8E"/>
    <w:rsid w:val="00C33D8B"/>
    <w:rsid w:val="00C34197"/>
    <w:rsid w:val="00C3479B"/>
    <w:rsid w:val="00C36007"/>
    <w:rsid w:val="00C36F05"/>
    <w:rsid w:val="00C374F2"/>
    <w:rsid w:val="00C37D6A"/>
    <w:rsid w:val="00C413E2"/>
    <w:rsid w:val="00C43012"/>
    <w:rsid w:val="00C43BE8"/>
    <w:rsid w:val="00C44C4F"/>
    <w:rsid w:val="00C4706E"/>
    <w:rsid w:val="00C50E08"/>
    <w:rsid w:val="00C516B1"/>
    <w:rsid w:val="00C516FE"/>
    <w:rsid w:val="00C51743"/>
    <w:rsid w:val="00C519DC"/>
    <w:rsid w:val="00C52D64"/>
    <w:rsid w:val="00C5321B"/>
    <w:rsid w:val="00C53635"/>
    <w:rsid w:val="00C538DB"/>
    <w:rsid w:val="00C5411E"/>
    <w:rsid w:val="00C5456F"/>
    <w:rsid w:val="00C54C3D"/>
    <w:rsid w:val="00C56C06"/>
    <w:rsid w:val="00C57A19"/>
    <w:rsid w:val="00C57C01"/>
    <w:rsid w:val="00C60214"/>
    <w:rsid w:val="00C6426B"/>
    <w:rsid w:val="00C64CE5"/>
    <w:rsid w:val="00C651B4"/>
    <w:rsid w:val="00C6536B"/>
    <w:rsid w:val="00C66702"/>
    <w:rsid w:val="00C66C83"/>
    <w:rsid w:val="00C704D7"/>
    <w:rsid w:val="00C74E58"/>
    <w:rsid w:val="00C75E84"/>
    <w:rsid w:val="00C7686F"/>
    <w:rsid w:val="00C773A0"/>
    <w:rsid w:val="00C808FB"/>
    <w:rsid w:val="00C82FA2"/>
    <w:rsid w:val="00C84B6A"/>
    <w:rsid w:val="00C856D4"/>
    <w:rsid w:val="00C8574B"/>
    <w:rsid w:val="00C85A6C"/>
    <w:rsid w:val="00C861A8"/>
    <w:rsid w:val="00C867DD"/>
    <w:rsid w:val="00C90895"/>
    <w:rsid w:val="00C90C6F"/>
    <w:rsid w:val="00C9493B"/>
    <w:rsid w:val="00C963FF"/>
    <w:rsid w:val="00C97A06"/>
    <w:rsid w:val="00CA1CA8"/>
    <w:rsid w:val="00CA23AF"/>
    <w:rsid w:val="00CA246A"/>
    <w:rsid w:val="00CA2C6C"/>
    <w:rsid w:val="00CA3F88"/>
    <w:rsid w:val="00CA7E9B"/>
    <w:rsid w:val="00CB0176"/>
    <w:rsid w:val="00CB0264"/>
    <w:rsid w:val="00CB11DE"/>
    <w:rsid w:val="00CB1C59"/>
    <w:rsid w:val="00CB2CC7"/>
    <w:rsid w:val="00CB35E0"/>
    <w:rsid w:val="00CB4C7E"/>
    <w:rsid w:val="00CB4DB0"/>
    <w:rsid w:val="00CB6001"/>
    <w:rsid w:val="00CB64C4"/>
    <w:rsid w:val="00CB689A"/>
    <w:rsid w:val="00CC09B1"/>
    <w:rsid w:val="00CC0C20"/>
    <w:rsid w:val="00CC0C72"/>
    <w:rsid w:val="00CC20FF"/>
    <w:rsid w:val="00CC27AB"/>
    <w:rsid w:val="00CC673F"/>
    <w:rsid w:val="00CC6A16"/>
    <w:rsid w:val="00CD01BD"/>
    <w:rsid w:val="00CD0C01"/>
    <w:rsid w:val="00CD0CDD"/>
    <w:rsid w:val="00CD0EA6"/>
    <w:rsid w:val="00CD1D93"/>
    <w:rsid w:val="00CD401C"/>
    <w:rsid w:val="00CD79D2"/>
    <w:rsid w:val="00CE22AD"/>
    <w:rsid w:val="00CE3AD4"/>
    <w:rsid w:val="00CE461E"/>
    <w:rsid w:val="00CE49BC"/>
    <w:rsid w:val="00CE5161"/>
    <w:rsid w:val="00CE556A"/>
    <w:rsid w:val="00CE7BF2"/>
    <w:rsid w:val="00CF13AC"/>
    <w:rsid w:val="00CF26E9"/>
    <w:rsid w:val="00CF3315"/>
    <w:rsid w:val="00CF3C54"/>
    <w:rsid w:val="00CF4A9B"/>
    <w:rsid w:val="00CF5AA7"/>
    <w:rsid w:val="00CF6621"/>
    <w:rsid w:val="00CF6EC3"/>
    <w:rsid w:val="00D02DBC"/>
    <w:rsid w:val="00D02F71"/>
    <w:rsid w:val="00D0331C"/>
    <w:rsid w:val="00D0446B"/>
    <w:rsid w:val="00D07171"/>
    <w:rsid w:val="00D1019C"/>
    <w:rsid w:val="00D1095F"/>
    <w:rsid w:val="00D119A4"/>
    <w:rsid w:val="00D13101"/>
    <w:rsid w:val="00D131BC"/>
    <w:rsid w:val="00D13A2D"/>
    <w:rsid w:val="00D152C2"/>
    <w:rsid w:val="00D15AA9"/>
    <w:rsid w:val="00D16D70"/>
    <w:rsid w:val="00D172A9"/>
    <w:rsid w:val="00D207C0"/>
    <w:rsid w:val="00D21AFC"/>
    <w:rsid w:val="00D21C3A"/>
    <w:rsid w:val="00D22394"/>
    <w:rsid w:val="00D22F99"/>
    <w:rsid w:val="00D23DCE"/>
    <w:rsid w:val="00D26428"/>
    <w:rsid w:val="00D30CDA"/>
    <w:rsid w:val="00D3407A"/>
    <w:rsid w:val="00D358F7"/>
    <w:rsid w:val="00D36269"/>
    <w:rsid w:val="00D363E9"/>
    <w:rsid w:val="00D41D1A"/>
    <w:rsid w:val="00D4212F"/>
    <w:rsid w:val="00D4249C"/>
    <w:rsid w:val="00D4299B"/>
    <w:rsid w:val="00D43415"/>
    <w:rsid w:val="00D43A25"/>
    <w:rsid w:val="00D4410B"/>
    <w:rsid w:val="00D44A01"/>
    <w:rsid w:val="00D45436"/>
    <w:rsid w:val="00D46004"/>
    <w:rsid w:val="00D46CD3"/>
    <w:rsid w:val="00D47213"/>
    <w:rsid w:val="00D47846"/>
    <w:rsid w:val="00D508C2"/>
    <w:rsid w:val="00D50DF4"/>
    <w:rsid w:val="00D53175"/>
    <w:rsid w:val="00D56FAC"/>
    <w:rsid w:val="00D57137"/>
    <w:rsid w:val="00D57E80"/>
    <w:rsid w:val="00D60654"/>
    <w:rsid w:val="00D608DD"/>
    <w:rsid w:val="00D609BD"/>
    <w:rsid w:val="00D60CA7"/>
    <w:rsid w:val="00D62890"/>
    <w:rsid w:val="00D63129"/>
    <w:rsid w:val="00D63260"/>
    <w:rsid w:val="00D63AE3"/>
    <w:rsid w:val="00D67856"/>
    <w:rsid w:val="00D67BBE"/>
    <w:rsid w:val="00D73177"/>
    <w:rsid w:val="00D741C5"/>
    <w:rsid w:val="00D7559C"/>
    <w:rsid w:val="00D761C7"/>
    <w:rsid w:val="00D7650B"/>
    <w:rsid w:val="00D76D70"/>
    <w:rsid w:val="00D77938"/>
    <w:rsid w:val="00D80E86"/>
    <w:rsid w:val="00D81AA1"/>
    <w:rsid w:val="00D82D5D"/>
    <w:rsid w:val="00D834D7"/>
    <w:rsid w:val="00D85486"/>
    <w:rsid w:val="00D85BC5"/>
    <w:rsid w:val="00D8777C"/>
    <w:rsid w:val="00D87E31"/>
    <w:rsid w:val="00D90D1B"/>
    <w:rsid w:val="00D92104"/>
    <w:rsid w:val="00D92C1E"/>
    <w:rsid w:val="00D9352E"/>
    <w:rsid w:val="00D946D1"/>
    <w:rsid w:val="00D94AC6"/>
    <w:rsid w:val="00D95C49"/>
    <w:rsid w:val="00D97A7E"/>
    <w:rsid w:val="00DA0E3B"/>
    <w:rsid w:val="00DA0FBF"/>
    <w:rsid w:val="00DA155E"/>
    <w:rsid w:val="00DA447C"/>
    <w:rsid w:val="00DA56A4"/>
    <w:rsid w:val="00DA61F8"/>
    <w:rsid w:val="00DA72D7"/>
    <w:rsid w:val="00DA7A7F"/>
    <w:rsid w:val="00DB1C1D"/>
    <w:rsid w:val="00DB3C1B"/>
    <w:rsid w:val="00DB3C53"/>
    <w:rsid w:val="00DB5A03"/>
    <w:rsid w:val="00DB5DD7"/>
    <w:rsid w:val="00DB654E"/>
    <w:rsid w:val="00DB67F9"/>
    <w:rsid w:val="00DB7B24"/>
    <w:rsid w:val="00DC18B6"/>
    <w:rsid w:val="00DC19DD"/>
    <w:rsid w:val="00DC1BE8"/>
    <w:rsid w:val="00DC2886"/>
    <w:rsid w:val="00DC2D44"/>
    <w:rsid w:val="00DC3A51"/>
    <w:rsid w:val="00DC4927"/>
    <w:rsid w:val="00DC51F8"/>
    <w:rsid w:val="00DC5E46"/>
    <w:rsid w:val="00DC63F6"/>
    <w:rsid w:val="00DD0300"/>
    <w:rsid w:val="00DD038D"/>
    <w:rsid w:val="00DD1625"/>
    <w:rsid w:val="00DD37F5"/>
    <w:rsid w:val="00DD3E22"/>
    <w:rsid w:val="00DD4AAB"/>
    <w:rsid w:val="00DD5180"/>
    <w:rsid w:val="00DD7647"/>
    <w:rsid w:val="00DE1D5D"/>
    <w:rsid w:val="00DE2591"/>
    <w:rsid w:val="00DE2D04"/>
    <w:rsid w:val="00DE4E7E"/>
    <w:rsid w:val="00DE7AF6"/>
    <w:rsid w:val="00DF3CB1"/>
    <w:rsid w:val="00DF57D3"/>
    <w:rsid w:val="00DF5F7D"/>
    <w:rsid w:val="00DF7130"/>
    <w:rsid w:val="00DF7B9B"/>
    <w:rsid w:val="00E00671"/>
    <w:rsid w:val="00E006E8"/>
    <w:rsid w:val="00E00C58"/>
    <w:rsid w:val="00E02E9C"/>
    <w:rsid w:val="00E03C1A"/>
    <w:rsid w:val="00E0432D"/>
    <w:rsid w:val="00E05EFB"/>
    <w:rsid w:val="00E0784E"/>
    <w:rsid w:val="00E07DAB"/>
    <w:rsid w:val="00E1067F"/>
    <w:rsid w:val="00E12F06"/>
    <w:rsid w:val="00E137D8"/>
    <w:rsid w:val="00E171D5"/>
    <w:rsid w:val="00E226CD"/>
    <w:rsid w:val="00E26246"/>
    <w:rsid w:val="00E273BC"/>
    <w:rsid w:val="00E27B3F"/>
    <w:rsid w:val="00E31790"/>
    <w:rsid w:val="00E35960"/>
    <w:rsid w:val="00E40A1F"/>
    <w:rsid w:val="00E42744"/>
    <w:rsid w:val="00E4374E"/>
    <w:rsid w:val="00E43D55"/>
    <w:rsid w:val="00E47E17"/>
    <w:rsid w:val="00E535CD"/>
    <w:rsid w:val="00E5406B"/>
    <w:rsid w:val="00E56227"/>
    <w:rsid w:val="00E5658C"/>
    <w:rsid w:val="00E56D3A"/>
    <w:rsid w:val="00E60440"/>
    <w:rsid w:val="00E60648"/>
    <w:rsid w:val="00E6088A"/>
    <w:rsid w:val="00E64498"/>
    <w:rsid w:val="00E65A8E"/>
    <w:rsid w:val="00E65F7D"/>
    <w:rsid w:val="00E6727A"/>
    <w:rsid w:val="00E67CEC"/>
    <w:rsid w:val="00E70EB3"/>
    <w:rsid w:val="00E73720"/>
    <w:rsid w:val="00E76D06"/>
    <w:rsid w:val="00E775A7"/>
    <w:rsid w:val="00E7771C"/>
    <w:rsid w:val="00E80BB8"/>
    <w:rsid w:val="00E85097"/>
    <w:rsid w:val="00E853FC"/>
    <w:rsid w:val="00E855BF"/>
    <w:rsid w:val="00E85E68"/>
    <w:rsid w:val="00E860E6"/>
    <w:rsid w:val="00E86705"/>
    <w:rsid w:val="00E86A1A"/>
    <w:rsid w:val="00E86F7E"/>
    <w:rsid w:val="00E87C06"/>
    <w:rsid w:val="00E87F7E"/>
    <w:rsid w:val="00E90245"/>
    <w:rsid w:val="00E90FA0"/>
    <w:rsid w:val="00E9115E"/>
    <w:rsid w:val="00E91527"/>
    <w:rsid w:val="00E93D34"/>
    <w:rsid w:val="00EA26F4"/>
    <w:rsid w:val="00EA5D5D"/>
    <w:rsid w:val="00EA5DA8"/>
    <w:rsid w:val="00EA6274"/>
    <w:rsid w:val="00EB07FC"/>
    <w:rsid w:val="00EB1E46"/>
    <w:rsid w:val="00EB244D"/>
    <w:rsid w:val="00EB336D"/>
    <w:rsid w:val="00EB33A4"/>
    <w:rsid w:val="00EB4A55"/>
    <w:rsid w:val="00EB6536"/>
    <w:rsid w:val="00EB695E"/>
    <w:rsid w:val="00EB72DC"/>
    <w:rsid w:val="00EB7E1F"/>
    <w:rsid w:val="00EC0539"/>
    <w:rsid w:val="00EC0B4B"/>
    <w:rsid w:val="00EC100E"/>
    <w:rsid w:val="00EC29DB"/>
    <w:rsid w:val="00EC2B75"/>
    <w:rsid w:val="00EC2D01"/>
    <w:rsid w:val="00EC39A9"/>
    <w:rsid w:val="00EC535D"/>
    <w:rsid w:val="00EC5C1A"/>
    <w:rsid w:val="00EC622C"/>
    <w:rsid w:val="00EC6FE6"/>
    <w:rsid w:val="00ED1101"/>
    <w:rsid w:val="00ED143D"/>
    <w:rsid w:val="00ED1731"/>
    <w:rsid w:val="00ED36B1"/>
    <w:rsid w:val="00ED3AD0"/>
    <w:rsid w:val="00ED3F15"/>
    <w:rsid w:val="00ED46CF"/>
    <w:rsid w:val="00ED47DC"/>
    <w:rsid w:val="00ED54AF"/>
    <w:rsid w:val="00ED71C3"/>
    <w:rsid w:val="00EE0B67"/>
    <w:rsid w:val="00EE2ADA"/>
    <w:rsid w:val="00EE432D"/>
    <w:rsid w:val="00EE4AA3"/>
    <w:rsid w:val="00EE5C0A"/>
    <w:rsid w:val="00EE795B"/>
    <w:rsid w:val="00EE7B58"/>
    <w:rsid w:val="00EF0890"/>
    <w:rsid w:val="00EF132D"/>
    <w:rsid w:val="00EF30D7"/>
    <w:rsid w:val="00EF4431"/>
    <w:rsid w:val="00EF4DFF"/>
    <w:rsid w:val="00EF5CD4"/>
    <w:rsid w:val="00EF7455"/>
    <w:rsid w:val="00EF7699"/>
    <w:rsid w:val="00EF7E42"/>
    <w:rsid w:val="00F01959"/>
    <w:rsid w:val="00F03F93"/>
    <w:rsid w:val="00F04320"/>
    <w:rsid w:val="00F06A18"/>
    <w:rsid w:val="00F1121F"/>
    <w:rsid w:val="00F1172B"/>
    <w:rsid w:val="00F1341E"/>
    <w:rsid w:val="00F14277"/>
    <w:rsid w:val="00F144E7"/>
    <w:rsid w:val="00F14C25"/>
    <w:rsid w:val="00F153A8"/>
    <w:rsid w:val="00F178CD"/>
    <w:rsid w:val="00F207BA"/>
    <w:rsid w:val="00F22C27"/>
    <w:rsid w:val="00F252B3"/>
    <w:rsid w:val="00F2604C"/>
    <w:rsid w:val="00F26627"/>
    <w:rsid w:val="00F27346"/>
    <w:rsid w:val="00F347D9"/>
    <w:rsid w:val="00F36206"/>
    <w:rsid w:val="00F36464"/>
    <w:rsid w:val="00F37DC4"/>
    <w:rsid w:val="00F406EA"/>
    <w:rsid w:val="00F40B3C"/>
    <w:rsid w:val="00F4116A"/>
    <w:rsid w:val="00F41B12"/>
    <w:rsid w:val="00F435A3"/>
    <w:rsid w:val="00F4422D"/>
    <w:rsid w:val="00F443BC"/>
    <w:rsid w:val="00F452D1"/>
    <w:rsid w:val="00F46084"/>
    <w:rsid w:val="00F46773"/>
    <w:rsid w:val="00F46FDB"/>
    <w:rsid w:val="00F47633"/>
    <w:rsid w:val="00F51172"/>
    <w:rsid w:val="00F52227"/>
    <w:rsid w:val="00F52FC2"/>
    <w:rsid w:val="00F53C51"/>
    <w:rsid w:val="00F54988"/>
    <w:rsid w:val="00F54C34"/>
    <w:rsid w:val="00F54F01"/>
    <w:rsid w:val="00F57007"/>
    <w:rsid w:val="00F57BCE"/>
    <w:rsid w:val="00F57E54"/>
    <w:rsid w:val="00F61A67"/>
    <w:rsid w:val="00F62A06"/>
    <w:rsid w:val="00F638F0"/>
    <w:rsid w:val="00F645FB"/>
    <w:rsid w:val="00F648D9"/>
    <w:rsid w:val="00F6718D"/>
    <w:rsid w:val="00F672B7"/>
    <w:rsid w:val="00F71AB8"/>
    <w:rsid w:val="00F727E4"/>
    <w:rsid w:val="00F72B76"/>
    <w:rsid w:val="00F7394F"/>
    <w:rsid w:val="00F73A91"/>
    <w:rsid w:val="00F74CCF"/>
    <w:rsid w:val="00F74D96"/>
    <w:rsid w:val="00F8050A"/>
    <w:rsid w:val="00F80C18"/>
    <w:rsid w:val="00F81532"/>
    <w:rsid w:val="00F8187A"/>
    <w:rsid w:val="00F832C3"/>
    <w:rsid w:val="00F832C8"/>
    <w:rsid w:val="00F83476"/>
    <w:rsid w:val="00F838A3"/>
    <w:rsid w:val="00F83D94"/>
    <w:rsid w:val="00F83FA6"/>
    <w:rsid w:val="00F84A93"/>
    <w:rsid w:val="00F861CE"/>
    <w:rsid w:val="00F8638E"/>
    <w:rsid w:val="00F86733"/>
    <w:rsid w:val="00F86BA8"/>
    <w:rsid w:val="00F90A1B"/>
    <w:rsid w:val="00F911B1"/>
    <w:rsid w:val="00F9204B"/>
    <w:rsid w:val="00F94BBB"/>
    <w:rsid w:val="00F9541B"/>
    <w:rsid w:val="00FA0C14"/>
    <w:rsid w:val="00FA0F9F"/>
    <w:rsid w:val="00FA2412"/>
    <w:rsid w:val="00FA2450"/>
    <w:rsid w:val="00FA4677"/>
    <w:rsid w:val="00FA5A81"/>
    <w:rsid w:val="00FA6AAF"/>
    <w:rsid w:val="00FA734B"/>
    <w:rsid w:val="00FB03C6"/>
    <w:rsid w:val="00FB2CDE"/>
    <w:rsid w:val="00FB4C3F"/>
    <w:rsid w:val="00FB5B8D"/>
    <w:rsid w:val="00FB626B"/>
    <w:rsid w:val="00FC0F65"/>
    <w:rsid w:val="00FC200D"/>
    <w:rsid w:val="00FC3DC7"/>
    <w:rsid w:val="00FC48D7"/>
    <w:rsid w:val="00FC64E3"/>
    <w:rsid w:val="00FC69F3"/>
    <w:rsid w:val="00FC7339"/>
    <w:rsid w:val="00FC7F27"/>
    <w:rsid w:val="00FD1A90"/>
    <w:rsid w:val="00FD1ED7"/>
    <w:rsid w:val="00FD226C"/>
    <w:rsid w:val="00FD23DA"/>
    <w:rsid w:val="00FD3A54"/>
    <w:rsid w:val="00FD3EFF"/>
    <w:rsid w:val="00FD7C20"/>
    <w:rsid w:val="00FE030D"/>
    <w:rsid w:val="00FE05CD"/>
    <w:rsid w:val="00FE1C39"/>
    <w:rsid w:val="00FE2BBA"/>
    <w:rsid w:val="00FE3174"/>
    <w:rsid w:val="00FE522D"/>
    <w:rsid w:val="00FE6C57"/>
    <w:rsid w:val="00FF020F"/>
    <w:rsid w:val="00FF1224"/>
    <w:rsid w:val="00FF13DD"/>
    <w:rsid w:val="00FF1466"/>
    <w:rsid w:val="00FF291B"/>
    <w:rsid w:val="00FF41A7"/>
    <w:rsid w:val="00FF5228"/>
    <w:rsid w:val="00FF5B18"/>
    <w:rsid w:val="00FF5DA8"/>
    <w:rsid w:val="00FF606F"/>
    <w:rsid w:val="00FF686C"/>
    <w:rsid w:val="00FF6887"/>
    <w:rsid w:val="00FF6DC0"/>
    <w:rsid w:val="00FF724B"/>
    <w:rsid w:val="00FF79F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86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197"/>
    <w:pPr>
      <w:tabs>
        <w:tab w:val="center" w:pos="4419"/>
        <w:tab w:val="right" w:pos="8838"/>
      </w:tabs>
      <w:spacing w:after="0" w:line="240" w:lineRule="auto"/>
    </w:pPr>
    <w:rPr>
      <w:rFonts w:ascii="Verdana" w:hAnsi="Verdana"/>
      <w:sz w:val="20"/>
    </w:rPr>
  </w:style>
  <w:style w:type="paragraph" w:styleId="Ttulo1">
    <w:name w:val="heading 1"/>
    <w:aliases w:val="Título Verdana"/>
    <w:basedOn w:val="Normal"/>
    <w:next w:val="Normal"/>
    <w:link w:val="Ttulo1Car"/>
    <w:uiPriority w:val="9"/>
    <w:qFormat/>
    <w:rsid w:val="000A52D5"/>
    <w:pPr>
      <w:keepNext/>
      <w:keepLines/>
      <w:tabs>
        <w:tab w:val="clear" w:pos="4419"/>
        <w:tab w:val="clear" w:pos="8838"/>
      </w:tabs>
      <w:spacing w:before="60" w:after="60"/>
      <w:jc w:val="center"/>
      <w:outlineLvl w:val="0"/>
    </w:pPr>
    <w:rPr>
      <w:rFonts w:eastAsia="Times New Roman" w:cs="Verdana"/>
      <w:b/>
      <w:bCs/>
      <w:caps/>
      <w:snapToGrid w:val="0"/>
      <w:szCs w:val="20"/>
      <w:lang w:eastAsia="es-ES"/>
    </w:rPr>
  </w:style>
  <w:style w:type="paragraph" w:styleId="Ttulo2">
    <w:name w:val="heading 2"/>
    <w:basedOn w:val="Normal"/>
    <w:next w:val="Normal"/>
    <w:link w:val="Ttulo2Car"/>
    <w:autoRedefine/>
    <w:uiPriority w:val="9"/>
    <w:qFormat/>
    <w:rsid w:val="00247F1A"/>
    <w:pPr>
      <w:keepNext/>
      <w:keepLines/>
      <w:numPr>
        <w:numId w:val="22"/>
      </w:numPr>
      <w:tabs>
        <w:tab w:val="clear" w:pos="4419"/>
        <w:tab w:val="clear" w:pos="8838"/>
      </w:tabs>
      <w:jc w:val="both"/>
      <w:outlineLvl w:val="1"/>
    </w:pPr>
    <w:rPr>
      <w:rFonts w:eastAsia="Times New Roman" w:cs="Times New Roman"/>
      <w:b/>
      <w:bCs/>
      <w:i/>
      <w:szCs w:val="20"/>
      <w:lang w:val="es-MX"/>
    </w:rPr>
  </w:style>
  <w:style w:type="paragraph" w:styleId="Ttulo3">
    <w:name w:val="heading 3"/>
    <w:basedOn w:val="Normal"/>
    <w:next w:val="Normal"/>
    <w:link w:val="Ttulo3Car"/>
    <w:uiPriority w:val="9"/>
    <w:qFormat/>
    <w:rsid w:val="000A20C1"/>
    <w:pPr>
      <w:tabs>
        <w:tab w:val="clear" w:pos="4419"/>
        <w:tab w:val="clear" w:pos="8838"/>
      </w:tabs>
      <w:ind w:left="709"/>
      <w:jc w:val="both"/>
      <w:outlineLvl w:val="2"/>
    </w:pPr>
    <w:rPr>
      <w:rFonts w:eastAsia="Batang" w:cs="Times"/>
      <w:b/>
      <w:i/>
      <w:szCs w:val="24"/>
      <w:lang w:val="es-MX"/>
    </w:rPr>
  </w:style>
  <w:style w:type="paragraph" w:styleId="Ttulo4">
    <w:name w:val="heading 4"/>
    <w:basedOn w:val="Normal"/>
    <w:next w:val="Normal"/>
    <w:link w:val="Ttulo4Car"/>
    <w:uiPriority w:val="9"/>
    <w:qFormat/>
    <w:rsid w:val="000A52D5"/>
    <w:pPr>
      <w:keepNext/>
      <w:keepLines/>
      <w:tabs>
        <w:tab w:val="clear" w:pos="4419"/>
        <w:tab w:val="clear" w:pos="8838"/>
      </w:tabs>
      <w:spacing w:before="60" w:after="60"/>
      <w:ind w:left="567" w:firstLine="709"/>
      <w:outlineLvl w:val="3"/>
    </w:pPr>
    <w:rPr>
      <w:rFonts w:eastAsia="Times New Roman" w:cs="Times New Roman"/>
      <w:bCs/>
      <w:i/>
      <w:iCs/>
      <w:szCs w:val="24"/>
      <w:lang w:val="es-MX"/>
    </w:rPr>
  </w:style>
  <w:style w:type="paragraph" w:styleId="Ttulo5">
    <w:name w:val="heading 5"/>
    <w:basedOn w:val="Normal"/>
    <w:next w:val="Normal"/>
    <w:link w:val="Ttulo5Car"/>
    <w:uiPriority w:val="9"/>
    <w:qFormat/>
    <w:rsid w:val="000A52D5"/>
    <w:pPr>
      <w:keepNext/>
      <w:keepLines/>
      <w:numPr>
        <w:numId w:val="7"/>
      </w:numPr>
      <w:tabs>
        <w:tab w:val="clear" w:pos="4419"/>
        <w:tab w:val="clear" w:pos="8838"/>
      </w:tabs>
      <w:spacing w:before="60" w:after="60"/>
      <w:ind w:left="714" w:hanging="357"/>
      <w:outlineLvl w:val="4"/>
    </w:pPr>
    <w:rPr>
      <w:rFonts w:eastAsia="Times New Roman" w:cs="Times New Roman"/>
      <w:i/>
      <w:szCs w:val="24"/>
      <w:lang w:val="es-MX"/>
    </w:rPr>
  </w:style>
  <w:style w:type="paragraph" w:styleId="Ttulo6">
    <w:name w:val="heading 6"/>
    <w:basedOn w:val="Ttulo5"/>
    <w:next w:val="Normal"/>
    <w:link w:val="Ttulo6Car"/>
    <w:uiPriority w:val="9"/>
    <w:qFormat/>
    <w:rsid w:val="000A52D5"/>
    <w:pPr>
      <w:keepNext w:val="0"/>
      <w:keepLines w:val="0"/>
      <w:numPr>
        <w:numId w:val="0"/>
      </w:numPr>
      <w:tabs>
        <w:tab w:val="num" w:pos="3600"/>
      </w:tabs>
      <w:spacing w:before="0" w:after="0"/>
      <w:ind w:left="3600" w:hanging="360"/>
      <w:outlineLvl w:val="5"/>
    </w:pPr>
    <w:rPr>
      <w:i w:val="0"/>
      <w:spacing w:val="-2"/>
      <w:szCs w:val="20"/>
      <w:lang w:eastAsia="es-CR"/>
    </w:rPr>
  </w:style>
  <w:style w:type="paragraph" w:styleId="Ttulo7">
    <w:name w:val="heading 7"/>
    <w:basedOn w:val="Normal"/>
    <w:next w:val="Normal"/>
    <w:link w:val="Ttulo7Car"/>
    <w:uiPriority w:val="9"/>
    <w:qFormat/>
    <w:rsid w:val="000A52D5"/>
    <w:pPr>
      <w:keepNext/>
      <w:keepLines/>
      <w:tabs>
        <w:tab w:val="clear" w:pos="4419"/>
        <w:tab w:val="clear" w:pos="8838"/>
      </w:tabs>
      <w:spacing w:before="200"/>
      <w:outlineLvl w:val="6"/>
    </w:pPr>
    <w:rPr>
      <w:rFonts w:ascii="Cambria" w:eastAsia="Times New Roman" w:hAnsi="Cambria" w:cs="Times New Roman"/>
      <w:i/>
      <w:iCs/>
      <w:color w:val="404040"/>
      <w:szCs w:val="24"/>
      <w:lang w:val="es-MX"/>
    </w:rPr>
  </w:style>
  <w:style w:type="paragraph" w:styleId="Ttulo8">
    <w:name w:val="heading 8"/>
    <w:basedOn w:val="Normal"/>
    <w:next w:val="Normal"/>
    <w:link w:val="Ttulo8Car"/>
    <w:uiPriority w:val="9"/>
    <w:unhideWhenUsed/>
    <w:qFormat/>
    <w:rsid w:val="000A52D5"/>
    <w:pPr>
      <w:keepNext/>
      <w:tabs>
        <w:tab w:val="clear" w:pos="4419"/>
        <w:tab w:val="clear" w:pos="8838"/>
      </w:tabs>
      <w:contextualSpacing/>
      <w:outlineLvl w:val="7"/>
    </w:pPr>
    <w:rPr>
      <w:rFonts w:eastAsia="Batang" w:cs="Times"/>
      <w:i/>
      <w:szCs w:val="24"/>
      <w:lang w:val="es-MX"/>
    </w:rPr>
  </w:style>
  <w:style w:type="paragraph" w:styleId="Ttulo9">
    <w:name w:val="heading 9"/>
    <w:basedOn w:val="Normal"/>
    <w:next w:val="Normal"/>
    <w:link w:val="Ttulo9Car"/>
    <w:uiPriority w:val="9"/>
    <w:unhideWhenUsed/>
    <w:qFormat/>
    <w:rsid w:val="00721AF6"/>
    <w:pPr>
      <w:keepNext/>
      <w:keepLines/>
      <w:numPr>
        <w:numId w:val="4"/>
      </w:numPr>
      <w:tabs>
        <w:tab w:val="clear" w:pos="4419"/>
        <w:tab w:val="clear" w:pos="8838"/>
      </w:tabs>
      <w:outlineLvl w:val="8"/>
    </w:pPr>
    <w:rPr>
      <w:rFonts w:eastAsia="Times New Roman" w:cs="Times New Roman"/>
      <w:b/>
      <w:bCs/>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TextonotapieCar"/>
    <w:unhideWhenUsed/>
    <w:qFormat/>
    <w:rsid w:val="008003A7"/>
    <w:pPr>
      <w:spacing w:after="40"/>
      <w:jc w:val="both"/>
    </w:pPr>
    <w:rPr>
      <w:sz w:val="16"/>
      <w:szCs w:val="16"/>
      <w:lang w:val="en-US"/>
    </w:rPr>
  </w:style>
  <w:style w:type="character" w:customStyle="1" w:styleId="TextonotapieCar">
    <w:name w:val="Texto nota pie Car"/>
    <w:aliases w:val="2. Footnote Text Car,Footnote Tesina Car,Footnote Text Char Char Char Char Char Car,Footnote Text Char Char Char Char Car,Footnote reference Car,FA Fu Car,Footnote Text Char Char Char Car,Footnote Text Cha Car,FA Fußnotentext Car"/>
    <w:basedOn w:val="Fuentedeprrafopredeter"/>
    <w:link w:val="Textonotapie"/>
    <w:rsid w:val="008003A7"/>
    <w:rPr>
      <w:rFonts w:ascii="Verdana" w:hAnsi="Verdana"/>
      <w:sz w:val="16"/>
      <w:szCs w:val="16"/>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BA1ACF"/>
    <w:rPr>
      <w:rFonts w:cs="Times New Roman"/>
      <w:szCs w:val="20"/>
      <w:vertAlign w:val="superscript"/>
    </w:rPr>
  </w:style>
  <w:style w:type="character" w:styleId="Textoennegrita">
    <w:name w:val="Strong"/>
    <w:uiPriority w:val="22"/>
    <w:qFormat/>
    <w:rsid w:val="00BA1ACF"/>
    <w:rPr>
      <w:b/>
      <w:bCs/>
    </w:rPr>
  </w:style>
  <w:style w:type="paragraph" w:styleId="TDC1">
    <w:name w:val="toc 1"/>
    <w:basedOn w:val="Normal"/>
    <w:next w:val="Normal"/>
    <w:autoRedefine/>
    <w:uiPriority w:val="39"/>
    <w:unhideWhenUsed/>
    <w:qFormat/>
    <w:rsid w:val="009F4724"/>
    <w:pPr>
      <w:tabs>
        <w:tab w:val="clear" w:pos="4419"/>
        <w:tab w:val="clear" w:pos="8838"/>
        <w:tab w:val="center" w:pos="9356"/>
      </w:tabs>
      <w:jc w:val="both"/>
    </w:pPr>
    <w:rPr>
      <w:b/>
      <w:sz w:val="18"/>
      <w:szCs w:val="18"/>
    </w:rPr>
  </w:style>
  <w:style w:type="paragraph" w:styleId="TDC2">
    <w:name w:val="toc 2"/>
    <w:basedOn w:val="Normal"/>
    <w:next w:val="Normal"/>
    <w:autoRedefine/>
    <w:uiPriority w:val="39"/>
    <w:unhideWhenUsed/>
    <w:qFormat/>
    <w:rsid w:val="007078C6"/>
    <w:pPr>
      <w:tabs>
        <w:tab w:val="clear" w:pos="4419"/>
        <w:tab w:val="clear" w:pos="8838"/>
        <w:tab w:val="right" w:pos="9270"/>
      </w:tabs>
      <w:spacing w:after="40"/>
      <w:ind w:left="432"/>
      <w:jc w:val="both"/>
    </w:pPr>
  </w:style>
  <w:style w:type="paragraph" w:styleId="TDC3">
    <w:name w:val="toc 3"/>
    <w:basedOn w:val="Normal"/>
    <w:next w:val="Normal"/>
    <w:autoRedefine/>
    <w:uiPriority w:val="39"/>
    <w:unhideWhenUsed/>
    <w:qFormat/>
    <w:rsid w:val="00FC3DC7"/>
    <w:pPr>
      <w:tabs>
        <w:tab w:val="clear" w:pos="4419"/>
        <w:tab w:val="clear" w:pos="8838"/>
        <w:tab w:val="center" w:pos="0"/>
        <w:tab w:val="right" w:pos="9356"/>
      </w:tabs>
      <w:spacing w:after="40"/>
      <w:ind w:left="482"/>
      <w:jc w:val="both"/>
    </w:pPr>
  </w:style>
  <w:style w:type="character" w:styleId="Hipervnculo">
    <w:name w:val="Hyperlink"/>
    <w:basedOn w:val="Fuentedeprrafopredeter"/>
    <w:uiPriority w:val="99"/>
    <w:unhideWhenUsed/>
    <w:rsid w:val="00BA1ACF"/>
    <w:rPr>
      <w:color w:val="0000FF" w:themeColor="hyperlink"/>
      <w:u w:val="single"/>
    </w:rPr>
  </w:style>
  <w:style w:type="paragraph" w:styleId="Prrafodelista">
    <w:name w:val="List Paragraph"/>
    <w:aliases w:val="Párrafo de lista1,Footnote,List Paragraph2,List Paragraph1,Colorful List - Accent 11,Lista vistosa - Énfasis 11"/>
    <w:basedOn w:val="Normal"/>
    <w:link w:val="PrrafodelistaCar"/>
    <w:uiPriority w:val="34"/>
    <w:qFormat/>
    <w:rsid w:val="00D609BD"/>
    <w:pPr>
      <w:tabs>
        <w:tab w:val="clear" w:pos="4419"/>
        <w:tab w:val="clear" w:pos="8838"/>
      </w:tabs>
      <w:ind w:left="720"/>
      <w:contextualSpacing/>
      <w:jc w:val="both"/>
    </w:pPr>
  </w:style>
  <w:style w:type="character" w:customStyle="1" w:styleId="PrrafodelistaCar">
    <w:name w:val="Párrafo de lista Car"/>
    <w:aliases w:val="Párrafo de lista1 Car,Footnote Car,List Paragraph2 Car,List Paragraph1 Car,Colorful List - Accent 11 Car,Lista vistosa - Énfasis 11 Car"/>
    <w:basedOn w:val="Fuentedeprrafopredeter"/>
    <w:link w:val="Prrafodelista"/>
    <w:uiPriority w:val="34"/>
    <w:locked/>
    <w:rsid w:val="00D609BD"/>
    <w:rPr>
      <w:rFonts w:ascii="Verdana" w:hAnsi="Verdana"/>
      <w:sz w:val="20"/>
    </w:rPr>
  </w:style>
  <w:style w:type="paragraph" w:customStyle="1" w:styleId="Default">
    <w:name w:val="Default"/>
    <w:rsid w:val="001A317E"/>
    <w:pPr>
      <w:autoSpaceDE w:val="0"/>
      <w:autoSpaceDN w:val="0"/>
      <w:adjustRightInd w:val="0"/>
      <w:spacing w:after="0" w:line="240" w:lineRule="auto"/>
    </w:pPr>
    <w:rPr>
      <w:rFonts w:ascii="Verdana" w:eastAsia="Calibri" w:hAnsi="Verdana" w:cs="Verdana"/>
      <w:color w:val="000000"/>
      <w:sz w:val="24"/>
      <w:szCs w:val="24"/>
      <w:lang w:val="en-US"/>
    </w:rPr>
  </w:style>
  <w:style w:type="character" w:styleId="Refdecomentario">
    <w:name w:val="annotation reference"/>
    <w:basedOn w:val="Fuentedeprrafopredeter"/>
    <w:uiPriority w:val="99"/>
    <w:unhideWhenUsed/>
    <w:rsid w:val="008410A9"/>
    <w:rPr>
      <w:sz w:val="16"/>
      <w:szCs w:val="16"/>
    </w:rPr>
  </w:style>
  <w:style w:type="paragraph" w:styleId="Textocomentario">
    <w:name w:val="annotation text"/>
    <w:basedOn w:val="Normal"/>
    <w:link w:val="TextocomentarioCar"/>
    <w:uiPriority w:val="99"/>
    <w:unhideWhenUsed/>
    <w:rsid w:val="008410A9"/>
    <w:rPr>
      <w:szCs w:val="20"/>
    </w:rPr>
  </w:style>
  <w:style w:type="character" w:customStyle="1" w:styleId="TextocomentarioCar">
    <w:name w:val="Texto comentario Car"/>
    <w:basedOn w:val="Fuentedeprrafopredeter"/>
    <w:link w:val="Textocomentario"/>
    <w:uiPriority w:val="99"/>
    <w:rsid w:val="008410A9"/>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unhideWhenUsed/>
    <w:rsid w:val="008410A9"/>
    <w:rPr>
      <w:b/>
      <w:bCs/>
    </w:rPr>
  </w:style>
  <w:style w:type="character" w:customStyle="1" w:styleId="AsuntodelcomentarioCar">
    <w:name w:val="Asunto del comentario Car"/>
    <w:basedOn w:val="TextocomentarioCar"/>
    <w:link w:val="Asuntodelcomentario"/>
    <w:uiPriority w:val="99"/>
    <w:rsid w:val="008410A9"/>
    <w:rPr>
      <w:rFonts w:ascii="Times New Roman" w:hAnsi="Times New Roman"/>
      <w:b/>
      <w:bCs/>
      <w:sz w:val="20"/>
      <w:szCs w:val="20"/>
    </w:rPr>
  </w:style>
  <w:style w:type="paragraph" w:styleId="Textodeglobo">
    <w:name w:val="Balloon Text"/>
    <w:basedOn w:val="Normal"/>
    <w:link w:val="TextodegloboCar"/>
    <w:uiPriority w:val="99"/>
    <w:semiHidden/>
    <w:unhideWhenUsed/>
    <w:rsid w:val="00841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0A9"/>
    <w:rPr>
      <w:rFonts w:ascii="Tahoma" w:hAnsi="Tahoma" w:cs="Tahoma"/>
      <w:sz w:val="16"/>
      <w:szCs w:val="16"/>
    </w:rPr>
  </w:style>
  <w:style w:type="paragraph" w:styleId="Encabezado">
    <w:name w:val="header"/>
    <w:basedOn w:val="Normal"/>
    <w:link w:val="EncabezadoCar"/>
    <w:uiPriority w:val="99"/>
    <w:unhideWhenUsed/>
    <w:rsid w:val="00952C89"/>
  </w:style>
  <w:style w:type="character" w:customStyle="1" w:styleId="EncabezadoCar">
    <w:name w:val="Encabezado Car"/>
    <w:basedOn w:val="Fuentedeprrafopredeter"/>
    <w:link w:val="Encabezado"/>
    <w:uiPriority w:val="99"/>
    <w:rsid w:val="00952C89"/>
    <w:rPr>
      <w:rFonts w:ascii="Times New Roman" w:hAnsi="Times New Roman"/>
      <w:sz w:val="24"/>
    </w:rPr>
  </w:style>
  <w:style w:type="paragraph" w:styleId="Piedepgina">
    <w:name w:val="footer"/>
    <w:basedOn w:val="Normal"/>
    <w:link w:val="PiedepginaCar"/>
    <w:uiPriority w:val="99"/>
    <w:unhideWhenUsed/>
    <w:rsid w:val="00952C89"/>
  </w:style>
  <w:style w:type="character" w:customStyle="1" w:styleId="PiedepginaCar">
    <w:name w:val="Pie de página Car"/>
    <w:basedOn w:val="Fuentedeprrafopredeter"/>
    <w:link w:val="Piedepgina"/>
    <w:uiPriority w:val="99"/>
    <w:rsid w:val="00952C89"/>
    <w:rPr>
      <w:rFonts w:ascii="Times New Roman" w:hAnsi="Times New Roman"/>
      <w:sz w:val="24"/>
    </w:rPr>
  </w:style>
  <w:style w:type="character" w:customStyle="1" w:styleId="Ttulo1Car">
    <w:name w:val="Título 1 Car"/>
    <w:aliases w:val="Título Verdana Car"/>
    <w:basedOn w:val="Fuentedeprrafopredeter"/>
    <w:link w:val="Ttulo1"/>
    <w:uiPriority w:val="9"/>
    <w:rsid w:val="000A52D5"/>
    <w:rPr>
      <w:rFonts w:ascii="Verdana" w:eastAsia="Times New Roman" w:hAnsi="Verdana" w:cs="Verdana"/>
      <w:b/>
      <w:bCs/>
      <w:caps/>
      <w:snapToGrid w:val="0"/>
      <w:sz w:val="20"/>
      <w:szCs w:val="20"/>
      <w:lang w:eastAsia="es-ES"/>
    </w:rPr>
  </w:style>
  <w:style w:type="character" w:customStyle="1" w:styleId="Ttulo2Car">
    <w:name w:val="Título 2 Car"/>
    <w:basedOn w:val="Fuentedeprrafopredeter"/>
    <w:link w:val="Ttulo2"/>
    <w:uiPriority w:val="9"/>
    <w:rsid w:val="00247F1A"/>
    <w:rPr>
      <w:rFonts w:ascii="Verdana" w:eastAsia="Times New Roman" w:hAnsi="Verdana" w:cs="Times New Roman"/>
      <w:b/>
      <w:bCs/>
      <w:i/>
      <w:sz w:val="20"/>
      <w:szCs w:val="20"/>
      <w:lang w:val="es-MX"/>
    </w:rPr>
  </w:style>
  <w:style w:type="character" w:customStyle="1" w:styleId="Ttulo3Car">
    <w:name w:val="Título 3 Car"/>
    <w:basedOn w:val="Fuentedeprrafopredeter"/>
    <w:link w:val="Ttulo3"/>
    <w:uiPriority w:val="9"/>
    <w:rsid w:val="000A20C1"/>
    <w:rPr>
      <w:rFonts w:ascii="Verdana" w:eastAsia="Batang" w:hAnsi="Verdana" w:cs="Times"/>
      <w:b/>
      <w:i/>
      <w:sz w:val="20"/>
      <w:szCs w:val="24"/>
      <w:lang w:val="es-MX"/>
    </w:rPr>
  </w:style>
  <w:style w:type="character" w:customStyle="1" w:styleId="Ttulo4Car">
    <w:name w:val="Título 4 Car"/>
    <w:basedOn w:val="Fuentedeprrafopredeter"/>
    <w:link w:val="Ttulo4"/>
    <w:uiPriority w:val="9"/>
    <w:rsid w:val="000A52D5"/>
    <w:rPr>
      <w:rFonts w:ascii="Verdana" w:eastAsia="Times New Roman" w:hAnsi="Verdana" w:cs="Times New Roman"/>
      <w:bCs/>
      <w:i/>
      <w:iCs/>
      <w:sz w:val="20"/>
      <w:szCs w:val="24"/>
      <w:lang w:val="es-MX"/>
    </w:rPr>
  </w:style>
  <w:style w:type="character" w:customStyle="1" w:styleId="Ttulo5Car">
    <w:name w:val="Título 5 Car"/>
    <w:basedOn w:val="Fuentedeprrafopredeter"/>
    <w:link w:val="Ttulo5"/>
    <w:uiPriority w:val="9"/>
    <w:rsid w:val="000A52D5"/>
    <w:rPr>
      <w:rFonts w:ascii="Verdana" w:eastAsia="Times New Roman" w:hAnsi="Verdana" w:cs="Times New Roman"/>
      <w:i/>
      <w:sz w:val="20"/>
      <w:szCs w:val="24"/>
      <w:lang w:val="es-MX"/>
    </w:rPr>
  </w:style>
  <w:style w:type="character" w:customStyle="1" w:styleId="Ttulo6Car">
    <w:name w:val="Título 6 Car"/>
    <w:basedOn w:val="Fuentedeprrafopredeter"/>
    <w:link w:val="Ttulo6"/>
    <w:uiPriority w:val="9"/>
    <w:rsid w:val="000A52D5"/>
    <w:rPr>
      <w:rFonts w:ascii="Verdana" w:eastAsia="Times New Roman" w:hAnsi="Verdana" w:cs="Times New Roman"/>
      <w:spacing w:val="-2"/>
      <w:sz w:val="20"/>
      <w:szCs w:val="20"/>
      <w:lang w:val="es-MX" w:eastAsia="es-CR"/>
    </w:rPr>
  </w:style>
  <w:style w:type="character" w:customStyle="1" w:styleId="Ttulo7Car">
    <w:name w:val="Título 7 Car"/>
    <w:basedOn w:val="Fuentedeprrafopredeter"/>
    <w:link w:val="Ttulo7"/>
    <w:uiPriority w:val="9"/>
    <w:rsid w:val="000A52D5"/>
    <w:rPr>
      <w:rFonts w:ascii="Cambria" w:eastAsia="Times New Roman" w:hAnsi="Cambria" w:cs="Times New Roman"/>
      <w:i/>
      <w:iCs/>
      <w:color w:val="404040"/>
      <w:sz w:val="20"/>
      <w:szCs w:val="24"/>
      <w:lang w:val="es-MX"/>
    </w:rPr>
  </w:style>
  <w:style w:type="character" w:customStyle="1" w:styleId="Ttulo8Car">
    <w:name w:val="Título 8 Car"/>
    <w:basedOn w:val="Fuentedeprrafopredeter"/>
    <w:link w:val="Ttulo8"/>
    <w:uiPriority w:val="9"/>
    <w:rsid w:val="000A52D5"/>
    <w:rPr>
      <w:rFonts w:ascii="Verdana" w:eastAsia="Batang" w:hAnsi="Verdana" w:cs="Times"/>
      <w:i/>
      <w:sz w:val="20"/>
      <w:szCs w:val="24"/>
      <w:lang w:val="es-MX"/>
    </w:rPr>
  </w:style>
  <w:style w:type="paragraph" w:styleId="Ttulo">
    <w:name w:val="Title"/>
    <w:basedOn w:val="Normal"/>
    <w:link w:val="TtuloCar"/>
    <w:qFormat/>
    <w:rsid w:val="000A52D5"/>
    <w:pPr>
      <w:tabs>
        <w:tab w:val="clear" w:pos="4419"/>
        <w:tab w:val="clear" w:pos="8838"/>
      </w:tabs>
      <w:jc w:val="center"/>
    </w:pPr>
    <w:rPr>
      <w:rFonts w:eastAsia="Times New Roman" w:cs="Times New Roman"/>
      <w:b/>
      <w:szCs w:val="20"/>
      <w:lang w:val="es-MX"/>
    </w:rPr>
  </w:style>
  <w:style w:type="character" w:customStyle="1" w:styleId="TtuloCar">
    <w:name w:val="Título Car"/>
    <w:basedOn w:val="Fuentedeprrafopredeter"/>
    <w:link w:val="Ttulo"/>
    <w:rsid w:val="000A52D5"/>
    <w:rPr>
      <w:rFonts w:ascii="Verdana" w:eastAsia="Times New Roman" w:hAnsi="Verdana" w:cs="Times New Roman"/>
      <w:b/>
      <w:sz w:val="20"/>
      <w:szCs w:val="20"/>
      <w:lang w:val="es-MX"/>
    </w:rPr>
  </w:style>
  <w:style w:type="paragraph" w:styleId="Subttulo">
    <w:name w:val="Subtitle"/>
    <w:basedOn w:val="Normal"/>
    <w:next w:val="Normal"/>
    <w:link w:val="SubttuloCar"/>
    <w:qFormat/>
    <w:rsid w:val="000A52D5"/>
    <w:pPr>
      <w:numPr>
        <w:ilvl w:val="1"/>
      </w:numPr>
      <w:tabs>
        <w:tab w:val="clear" w:pos="4419"/>
        <w:tab w:val="clear" w:pos="8838"/>
      </w:tabs>
      <w:jc w:val="center"/>
    </w:pPr>
    <w:rPr>
      <w:rFonts w:eastAsia="Times New Roman" w:cs="Times New Roman"/>
      <w:b/>
      <w:i/>
      <w:iCs/>
      <w:spacing w:val="15"/>
      <w:szCs w:val="24"/>
      <w:lang w:val="es-MX"/>
    </w:rPr>
  </w:style>
  <w:style w:type="character" w:customStyle="1" w:styleId="SubttuloCar">
    <w:name w:val="Subtítulo Car"/>
    <w:basedOn w:val="Fuentedeprrafopredeter"/>
    <w:link w:val="Subttulo"/>
    <w:rsid w:val="000A52D5"/>
    <w:rPr>
      <w:rFonts w:ascii="Verdana" w:eastAsia="Times New Roman" w:hAnsi="Verdana" w:cs="Times New Roman"/>
      <w:b/>
      <w:i/>
      <w:iCs/>
      <w:spacing w:val="15"/>
      <w:sz w:val="20"/>
      <w:szCs w:val="24"/>
      <w:lang w:val="es-MX"/>
    </w:rPr>
  </w:style>
  <w:style w:type="paragraph" w:customStyle="1" w:styleId="citaindirecta">
    <w:name w:val="cita indirecta"/>
    <w:basedOn w:val="Normal"/>
    <w:uiPriority w:val="99"/>
    <w:rsid w:val="000A52D5"/>
    <w:pPr>
      <w:tabs>
        <w:tab w:val="clear" w:pos="4419"/>
        <w:tab w:val="clear" w:pos="8838"/>
      </w:tabs>
      <w:ind w:left="708"/>
    </w:pPr>
    <w:rPr>
      <w:rFonts w:eastAsia="Times New Roman" w:cs="Times New Roman"/>
      <w:szCs w:val="20"/>
      <w:lang w:val="es-MX"/>
    </w:rPr>
  </w:style>
  <w:style w:type="paragraph" w:customStyle="1" w:styleId="Estilo1">
    <w:name w:val="Estilo1"/>
    <w:basedOn w:val="Normal"/>
    <w:link w:val="Estilo1Car"/>
    <w:qFormat/>
    <w:rsid w:val="000A52D5"/>
    <w:pPr>
      <w:tabs>
        <w:tab w:val="clear" w:pos="4419"/>
        <w:tab w:val="clear" w:pos="8838"/>
      </w:tabs>
      <w:spacing w:after="120"/>
      <w:ind w:left="2018" w:right="6" w:hanging="180"/>
    </w:pPr>
    <w:rPr>
      <w:rFonts w:eastAsia="Batang" w:cs="Times"/>
      <w:i/>
      <w:szCs w:val="24"/>
      <w:lang w:val="es-MX"/>
    </w:rPr>
  </w:style>
  <w:style w:type="character" w:customStyle="1" w:styleId="Estilo1Car">
    <w:name w:val="Estilo1 Car"/>
    <w:link w:val="Estilo1"/>
    <w:rsid w:val="000A52D5"/>
    <w:rPr>
      <w:rFonts w:ascii="Verdana" w:eastAsia="Batang" w:hAnsi="Verdana" w:cs="Times"/>
      <w:i/>
      <w:sz w:val="20"/>
      <w:szCs w:val="24"/>
      <w:lang w:val="es-MX"/>
    </w:rPr>
  </w:style>
  <w:style w:type="paragraph" w:customStyle="1" w:styleId="Style1">
    <w:name w:val="Style1"/>
    <w:basedOn w:val="Ttulo1"/>
    <w:link w:val="Style1Char"/>
    <w:qFormat/>
    <w:rsid w:val="000A52D5"/>
    <w:pPr>
      <w:spacing w:before="0"/>
    </w:pPr>
    <w:rPr>
      <w:lang w:val="es-ES"/>
    </w:rPr>
  </w:style>
  <w:style w:type="character" w:customStyle="1" w:styleId="Style1Char">
    <w:name w:val="Style1 Char"/>
    <w:link w:val="Style1"/>
    <w:rsid w:val="000A52D5"/>
    <w:rPr>
      <w:rFonts w:ascii="Verdana" w:eastAsia="Times New Roman" w:hAnsi="Verdana" w:cs="Verdana"/>
      <w:b/>
      <w:bCs/>
      <w:caps/>
      <w:snapToGrid w:val="0"/>
      <w:sz w:val="20"/>
      <w:szCs w:val="20"/>
      <w:lang w:val="es-ES" w:eastAsia="es-ES"/>
    </w:rPr>
  </w:style>
  <w:style w:type="paragraph" w:customStyle="1" w:styleId="Estilo7">
    <w:name w:val="Estilo7"/>
    <w:basedOn w:val="Normal"/>
    <w:qFormat/>
    <w:rsid w:val="000A52D5"/>
    <w:pPr>
      <w:numPr>
        <w:ilvl w:val="2"/>
        <w:numId w:val="5"/>
      </w:numPr>
      <w:tabs>
        <w:tab w:val="clear" w:pos="4419"/>
        <w:tab w:val="clear" w:pos="8838"/>
        <w:tab w:val="left" w:pos="567"/>
        <w:tab w:val="left" w:pos="851"/>
      </w:tabs>
      <w:spacing w:before="120" w:after="120"/>
    </w:pPr>
    <w:rPr>
      <w:rFonts w:eastAsia="Batang" w:cs="Times New Roman"/>
      <w:b/>
      <w:i/>
      <w:szCs w:val="20"/>
      <w:lang w:val="es-MX" w:eastAsia="es-MX"/>
    </w:rPr>
  </w:style>
  <w:style w:type="paragraph" w:customStyle="1" w:styleId="Footnotes">
    <w:name w:val="**. Footnotes"/>
    <w:basedOn w:val="Textonotapie"/>
    <w:link w:val="FootnotesChar"/>
    <w:autoRedefine/>
    <w:qFormat/>
    <w:rsid w:val="00B13CD7"/>
    <w:pPr>
      <w:tabs>
        <w:tab w:val="clear" w:pos="4419"/>
        <w:tab w:val="clear" w:pos="8838"/>
      </w:tabs>
    </w:pPr>
    <w:rPr>
      <w:rFonts w:eastAsia="Times New Roman" w:cs="Times New Roman"/>
      <w:bCs/>
      <w:iCs/>
      <w:lang w:val="pt-BR" w:eastAsia="x-none"/>
    </w:rPr>
  </w:style>
  <w:style w:type="character" w:customStyle="1" w:styleId="FootnotesChar">
    <w:name w:val="**. Footnotes Char"/>
    <w:link w:val="Footnotes"/>
    <w:rsid w:val="00B13CD7"/>
    <w:rPr>
      <w:rFonts w:ascii="Verdana" w:eastAsia="Times New Roman" w:hAnsi="Verdana" w:cs="Times New Roman"/>
      <w:bCs/>
      <w:iCs/>
      <w:sz w:val="16"/>
      <w:szCs w:val="16"/>
      <w:lang w:val="pt-BR" w:eastAsia="x-none"/>
    </w:rPr>
  </w:style>
  <w:style w:type="paragraph" w:customStyle="1" w:styleId="Style2">
    <w:name w:val="Style2"/>
    <w:basedOn w:val="Ttulo2"/>
    <w:link w:val="Style2Char"/>
    <w:autoRedefine/>
    <w:qFormat/>
    <w:rsid w:val="000A52D5"/>
    <w:pPr>
      <w:spacing w:before="360"/>
    </w:pPr>
    <w:rPr>
      <w:lang w:val="es-CR"/>
    </w:rPr>
  </w:style>
  <w:style w:type="character" w:customStyle="1" w:styleId="Style2Char">
    <w:name w:val="Style2 Char"/>
    <w:link w:val="Style2"/>
    <w:rsid w:val="000A52D5"/>
    <w:rPr>
      <w:rFonts w:ascii="Verdana" w:eastAsia="Times New Roman" w:hAnsi="Verdana" w:cs="Times New Roman"/>
      <w:b/>
      <w:bCs/>
      <w:i/>
      <w:sz w:val="20"/>
      <w:szCs w:val="20"/>
    </w:rPr>
  </w:style>
  <w:style w:type="paragraph" w:styleId="TDC4">
    <w:name w:val="toc 4"/>
    <w:basedOn w:val="Normal"/>
    <w:next w:val="Normal"/>
    <w:autoRedefine/>
    <w:uiPriority w:val="39"/>
    <w:unhideWhenUsed/>
    <w:rsid w:val="000A52D5"/>
    <w:pPr>
      <w:tabs>
        <w:tab w:val="clear" w:pos="4419"/>
        <w:tab w:val="clear" w:pos="8838"/>
      </w:tabs>
      <w:spacing w:before="60" w:after="60"/>
      <w:ind w:left="601"/>
      <w:contextualSpacing/>
    </w:pPr>
    <w:rPr>
      <w:rFonts w:eastAsia="Batang" w:cs="Times"/>
      <w:sz w:val="18"/>
      <w:szCs w:val="24"/>
      <w:lang w:val="es-MX"/>
    </w:rPr>
  </w:style>
  <w:style w:type="paragraph" w:styleId="TDC5">
    <w:name w:val="toc 5"/>
    <w:basedOn w:val="Normal"/>
    <w:next w:val="Normal"/>
    <w:autoRedefine/>
    <w:uiPriority w:val="39"/>
    <w:unhideWhenUsed/>
    <w:rsid w:val="000A52D5"/>
    <w:pPr>
      <w:tabs>
        <w:tab w:val="clear" w:pos="4419"/>
        <w:tab w:val="clear" w:pos="8838"/>
      </w:tabs>
      <w:spacing w:before="60" w:after="60"/>
      <w:ind w:left="799"/>
      <w:contextualSpacing/>
    </w:pPr>
    <w:rPr>
      <w:rFonts w:eastAsia="Batang" w:cs="Times"/>
      <w:sz w:val="18"/>
      <w:szCs w:val="24"/>
      <w:lang w:val="es-MX"/>
    </w:rPr>
  </w:style>
  <w:style w:type="paragraph" w:customStyle="1" w:styleId="Encabezadodetabladecontenido">
    <w:name w:val="Encabezado de tabla de contenido"/>
    <w:basedOn w:val="Ttulo1"/>
    <w:next w:val="Normal"/>
    <w:uiPriority w:val="39"/>
    <w:unhideWhenUsed/>
    <w:qFormat/>
    <w:rsid w:val="000A52D5"/>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customStyle="1" w:styleId="PrrafodeSentencia0">
    <w:name w:val="*. Párrafo de Sentencia"/>
    <w:basedOn w:val="Textonotapie"/>
    <w:link w:val="PrrafodeSentenciaChar"/>
    <w:autoRedefine/>
    <w:qFormat/>
    <w:rsid w:val="000A52D5"/>
    <w:pPr>
      <w:widowControl w:val="0"/>
      <w:tabs>
        <w:tab w:val="clear" w:pos="4419"/>
        <w:tab w:val="clear" w:pos="8838"/>
      </w:tabs>
      <w:spacing w:before="240" w:after="240"/>
      <w:ind w:firstLine="720"/>
    </w:pPr>
    <w:rPr>
      <w:rFonts w:eastAsia="Batang" w:cs="Times New Roman"/>
      <w:lang w:eastAsia="es-MX" w:bidi="en-US"/>
    </w:rPr>
  </w:style>
  <w:style w:type="paragraph" w:customStyle="1" w:styleId="Estilo2">
    <w:name w:val="Estilo2"/>
    <w:basedOn w:val="Normal"/>
    <w:link w:val="Estilo2Car"/>
    <w:qFormat/>
    <w:rsid w:val="000A52D5"/>
    <w:pPr>
      <w:tabs>
        <w:tab w:val="clear" w:pos="4419"/>
        <w:tab w:val="clear" w:pos="8838"/>
        <w:tab w:val="left" w:pos="567"/>
        <w:tab w:val="left" w:pos="1134"/>
        <w:tab w:val="num" w:pos="4767"/>
      </w:tabs>
      <w:spacing w:after="120"/>
      <w:ind w:firstLine="357"/>
    </w:pPr>
    <w:rPr>
      <w:rFonts w:eastAsia="Calibri" w:cs="Times New Roman"/>
      <w:szCs w:val="20"/>
      <w:lang w:val="es-MX" w:eastAsia="x-none"/>
    </w:rPr>
  </w:style>
  <w:style w:type="table" w:styleId="Cuadrculaclara-nfasis3">
    <w:name w:val="Light Grid Accent 3"/>
    <w:basedOn w:val="Tablanormal"/>
    <w:uiPriority w:val="99"/>
    <w:rsid w:val="000A52D5"/>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rsid w:val="000A52D5"/>
    <w:rPr>
      <w:rFonts w:cs="Times New Roman"/>
    </w:rPr>
  </w:style>
  <w:style w:type="paragraph" w:styleId="Textoindependiente">
    <w:name w:val="Body Text"/>
    <w:basedOn w:val="Normal"/>
    <w:link w:val="TextoindependienteCar"/>
    <w:uiPriority w:val="99"/>
    <w:unhideWhenUsed/>
    <w:rsid w:val="000A52D5"/>
    <w:pPr>
      <w:tabs>
        <w:tab w:val="clear" w:pos="4419"/>
        <w:tab w:val="clear" w:pos="8838"/>
      </w:tabs>
    </w:pPr>
    <w:rPr>
      <w:rFonts w:ascii="Garamond" w:eastAsia="Times" w:hAnsi="Garamond" w:cs="Times New Roman"/>
      <w:sz w:val="22"/>
      <w:szCs w:val="20"/>
      <w:lang w:val="es-MX"/>
    </w:rPr>
  </w:style>
  <w:style w:type="character" w:customStyle="1" w:styleId="TextoindependienteCar">
    <w:name w:val="Texto independiente Car"/>
    <w:basedOn w:val="Fuentedeprrafopredeter"/>
    <w:link w:val="Textoindependiente"/>
    <w:uiPriority w:val="99"/>
    <w:rsid w:val="000A52D5"/>
    <w:rPr>
      <w:rFonts w:ascii="Garamond" w:eastAsia="Times" w:hAnsi="Garamond" w:cs="Times New Roman"/>
      <w:szCs w:val="20"/>
      <w:lang w:val="es-MX"/>
    </w:rPr>
  </w:style>
  <w:style w:type="paragraph" w:customStyle="1" w:styleId="NotasProyectos">
    <w:name w:val="Notas Proyectos"/>
    <w:basedOn w:val="Normal"/>
    <w:link w:val="NotasProyectosChar"/>
    <w:autoRedefine/>
    <w:qFormat/>
    <w:rsid w:val="000A52D5"/>
    <w:pPr>
      <w:tabs>
        <w:tab w:val="clear" w:pos="4419"/>
        <w:tab w:val="clear" w:pos="8838"/>
      </w:tabs>
      <w:spacing w:before="120"/>
      <w:ind w:left="720"/>
    </w:pPr>
    <w:rPr>
      <w:rFonts w:eastAsia="Times New Roman" w:cs="Times New Roman"/>
      <w:szCs w:val="20"/>
      <w:lang w:val="es-MX" w:eastAsia="es-ES"/>
    </w:rPr>
  </w:style>
  <w:style w:type="character" w:customStyle="1" w:styleId="NotasProyectosChar">
    <w:name w:val="Notas Proyectos Char"/>
    <w:link w:val="NotasProyectos"/>
    <w:rsid w:val="000A52D5"/>
    <w:rPr>
      <w:rFonts w:ascii="Verdana" w:eastAsia="Times New Roman" w:hAnsi="Verdana" w:cs="Times New Roman"/>
      <w:sz w:val="20"/>
      <w:szCs w:val="20"/>
      <w:lang w:val="es-MX" w:eastAsia="es-ES"/>
    </w:rPr>
  </w:style>
  <w:style w:type="paragraph" w:customStyle="1" w:styleId="1Prrafosentencia">
    <w:name w:val="1. Párrafo sentencia"/>
    <w:autoRedefine/>
    <w:qFormat/>
    <w:rsid w:val="000A52D5"/>
    <w:pPr>
      <w:spacing w:before="120" w:after="120"/>
      <w:ind w:left="1440" w:hanging="360"/>
      <w:jc w:val="both"/>
    </w:pPr>
    <w:rPr>
      <w:rFonts w:eastAsia="Times New Roman" w:cs="Univers"/>
      <w:color w:val="000000"/>
      <w:sz w:val="24"/>
      <w:lang w:val="en-US"/>
    </w:rPr>
  </w:style>
  <w:style w:type="paragraph" w:styleId="Sangradetextonormal">
    <w:name w:val="Body Text Indent"/>
    <w:basedOn w:val="Normal"/>
    <w:link w:val="SangradetextonormalCar"/>
    <w:uiPriority w:val="99"/>
    <w:unhideWhenUsed/>
    <w:rsid w:val="000A52D5"/>
    <w:pPr>
      <w:tabs>
        <w:tab w:val="clear" w:pos="4419"/>
        <w:tab w:val="clear" w:pos="8838"/>
        <w:tab w:val="left" w:pos="1276"/>
      </w:tabs>
      <w:spacing w:before="120" w:after="120"/>
      <w:ind w:left="1996" w:firstLine="164"/>
    </w:pPr>
    <w:rPr>
      <w:rFonts w:eastAsia="Batang" w:cs="Arial"/>
      <w:i/>
      <w:szCs w:val="20"/>
      <w:lang w:val="es-MX"/>
    </w:rPr>
  </w:style>
  <w:style w:type="character" w:customStyle="1" w:styleId="SangradetextonormalCar">
    <w:name w:val="Sangría de texto normal Car"/>
    <w:basedOn w:val="Fuentedeprrafopredeter"/>
    <w:link w:val="Sangradetextonormal"/>
    <w:uiPriority w:val="99"/>
    <w:rsid w:val="000A52D5"/>
    <w:rPr>
      <w:rFonts w:ascii="Verdana" w:eastAsia="Batang" w:hAnsi="Verdana" w:cs="Arial"/>
      <w:i/>
      <w:sz w:val="20"/>
      <w:szCs w:val="20"/>
      <w:lang w:val="es-MX"/>
    </w:rPr>
  </w:style>
  <w:style w:type="character" w:styleId="nfasis">
    <w:name w:val="Emphasis"/>
    <w:qFormat/>
    <w:rsid w:val="000A52D5"/>
    <w:rPr>
      <w:i/>
      <w:iCs/>
    </w:rPr>
  </w:style>
  <w:style w:type="paragraph" w:customStyle="1" w:styleId="Prrafonumerado">
    <w:name w:val="Párrafo numerado"/>
    <w:basedOn w:val="Normal"/>
    <w:autoRedefine/>
    <w:rsid w:val="000A52D5"/>
    <w:pPr>
      <w:tabs>
        <w:tab w:val="clear" w:pos="4419"/>
        <w:tab w:val="clear" w:pos="8838"/>
      </w:tabs>
      <w:spacing w:before="120" w:after="120"/>
      <w:ind w:left="567" w:right="855"/>
    </w:pPr>
    <w:rPr>
      <w:rFonts w:eastAsia="Times New Roman" w:cs="Times New Roman"/>
      <w:sz w:val="16"/>
      <w:szCs w:val="16"/>
      <w:lang w:val="es-CO" w:eastAsia="es-ES"/>
    </w:rPr>
  </w:style>
  <w:style w:type="paragraph" w:customStyle="1" w:styleId="2Footnotes">
    <w:name w:val="2. Footnotes"/>
    <w:basedOn w:val="Textonotapie"/>
    <w:link w:val="2FootnotesChar"/>
    <w:autoRedefine/>
    <w:qFormat/>
    <w:rsid w:val="000A52D5"/>
    <w:pPr>
      <w:tabs>
        <w:tab w:val="clear" w:pos="4419"/>
        <w:tab w:val="clear" w:pos="8838"/>
      </w:tabs>
      <w:spacing w:before="120" w:after="120"/>
    </w:pPr>
    <w:rPr>
      <w:rFonts w:eastAsia="Times New Roman" w:cs="Palatino-Italic"/>
      <w:iCs/>
      <w:szCs w:val="18"/>
      <w:lang w:val="es-ES"/>
    </w:rPr>
  </w:style>
  <w:style w:type="character" w:customStyle="1" w:styleId="2FootnotesChar">
    <w:name w:val="2. Footnotes Char"/>
    <w:link w:val="2Footnotes"/>
    <w:rsid w:val="000A52D5"/>
    <w:rPr>
      <w:rFonts w:ascii="Verdana" w:eastAsia="Times New Roman" w:hAnsi="Verdana" w:cs="Palatino-Italic"/>
      <w:iCs/>
      <w:sz w:val="16"/>
      <w:szCs w:val="18"/>
      <w:lang w:val="es-ES"/>
    </w:rPr>
  </w:style>
  <w:style w:type="paragraph" w:styleId="Mapadeldocumento">
    <w:name w:val="Document Map"/>
    <w:basedOn w:val="Normal"/>
    <w:link w:val="MapadeldocumentoCar"/>
    <w:uiPriority w:val="99"/>
    <w:semiHidden/>
    <w:unhideWhenUsed/>
    <w:rsid w:val="000A52D5"/>
    <w:pPr>
      <w:tabs>
        <w:tab w:val="clear" w:pos="4419"/>
        <w:tab w:val="clear" w:pos="8838"/>
      </w:tabs>
    </w:pPr>
    <w:rPr>
      <w:rFonts w:ascii="Tahoma" w:eastAsia="Batang" w:hAnsi="Tahoma" w:cs="Tahoma"/>
      <w:sz w:val="16"/>
      <w:szCs w:val="16"/>
      <w:lang w:val="es-MX"/>
    </w:rPr>
  </w:style>
  <w:style w:type="character" w:customStyle="1" w:styleId="MapadeldocumentoCar">
    <w:name w:val="Mapa del documento Car"/>
    <w:basedOn w:val="Fuentedeprrafopredeter"/>
    <w:link w:val="Mapadeldocumento"/>
    <w:uiPriority w:val="99"/>
    <w:semiHidden/>
    <w:rsid w:val="000A52D5"/>
    <w:rPr>
      <w:rFonts w:ascii="Tahoma" w:eastAsia="Batang" w:hAnsi="Tahoma" w:cs="Tahoma"/>
      <w:sz w:val="16"/>
      <w:szCs w:val="16"/>
      <w:lang w:val="es-MX"/>
    </w:rPr>
  </w:style>
  <w:style w:type="paragraph" w:styleId="Textonotaalfinal">
    <w:name w:val="endnote text"/>
    <w:basedOn w:val="Normal"/>
    <w:link w:val="TextonotaalfinalCar"/>
    <w:unhideWhenUsed/>
    <w:rsid w:val="000A52D5"/>
    <w:pPr>
      <w:tabs>
        <w:tab w:val="clear" w:pos="4419"/>
        <w:tab w:val="clear" w:pos="8838"/>
      </w:tabs>
    </w:pPr>
    <w:rPr>
      <w:rFonts w:eastAsia="Batang" w:cs="Times"/>
      <w:szCs w:val="20"/>
      <w:lang w:val="es-MX"/>
    </w:rPr>
  </w:style>
  <w:style w:type="character" w:customStyle="1" w:styleId="TextonotaalfinalCar">
    <w:name w:val="Texto nota al final Car"/>
    <w:basedOn w:val="Fuentedeprrafopredeter"/>
    <w:link w:val="Textonotaalfinal"/>
    <w:rsid w:val="000A52D5"/>
    <w:rPr>
      <w:rFonts w:ascii="Verdana" w:eastAsia="Batang" w:hAnsi="Verdana" w:cs="Times"/>
      <w:sz w:val="20"/>
      <w:szCs w:val="20"/>
      <w:lang w:val="es-MX"/>
    </w:rPr>
  </w:style>
  <w:style w:type="character" w:styleId="Refdenotaalfinal">
    <w:name w:val="endnote reference"/>
    <w:semiHidden/>
    <w:unhideWhenUsed/>
    <w:rsid w:val="000A52D5"/>
    <w:rPr>
      <w:vertAlign w:val="superscript"/>
    </w:rPr>
  </w:style>
  <w:style w:type="paragraph" w:customStyle="1" w:styleId="PrrafodeSentencia">
    <w:name w:val="Párrafo de Sentencia"/>
    <w:autoRedefine/>
    <w:qFormat/>
    <w:rsid w:val="000A52D5"/>
    <w:pPr>
      <w:numPr>
        <w:ilvl w:val="4"/>
        <w:numId w:val="6"/>
      </w:numPr>
      <w:tabs>
        <w:tab w:val="num" w:pos="360"/>
      </w:tabs>
      <w:ind w:left="720" w:firstLine="0"/>
      <w:contextualSpacing/>
      <w:jc w:val="both"/>
    </w:pPr>
    <w:rPr>
      <w:rFonts w:eastAsia="Times New Roman" w:cs="Times New Roman"/>
      <w:szCs w:val="20"/>
      <w:lang w:val="en-US" w:eastAsia="es-ES"/>
    </w:rPr>
  </w:style>
  <w:style w:type="paragraph" w:customStyle="1" w:styleId="Textonotapie1">
    <w:name w:val="Texto nota pie1"/>
    <w:basedOn w:val="Normal"/>
    <w:semiHidden/>
    <w:rsid w:val="000A52D5"/>
    <w:pPr>
      <w:tabs>
        <w:tab w:val="clear" w:pos="4419"/>
        <w:tab w:val="clear" w:pos="8838"/>
      </w:tabs>
    </w:pPr>
    <w:rPr>
      <w:rFonts w:eastAsia="Times New Roman" w:cs="Times New Roman"/>
      <w:szCs w:val="20"/>
      <w:lang w:val="es-MX" w:eastAsia="es-ES"/>
    </w:rPr>
  </w:style>
  <w:style w:type="paragraph" w:styleId="TDC6">
    <w:name w:val="toc 6"/>
    <w:basedOn w:val="Normal"/>
    <w:next w:val="Normal"/>
    <w:autoRedefine/>
    <w:uiPriority w:val="39"/>
    <w:unhideWhenUsed/>
    <w:rsid w:val="000A52D5"/>
    <w:pPr>
      <w:tabs>
        <w:tab w:val="clear" w:pos="4419"/>
        <w:tab w:val="clear" w:pos="8838"/>
      </w:tabs>
      <w:spacing w:after="100" w:line="276" w:lineRule="auto"/>
      <w:ind w:left="1100"/>
    </w:pPr>
    <w:rPr>
      <w:rFonts w:ascii="Calibri" w:eastAsia="Times New Roman" w:hAnsi="Calibri" w:cs="Times New Roman"/>
      <w:sz w:val="22"/>
      <w:lang w:eastAsia="es-CR"/>
    </w:rPr>
  </w:style>
  <w:style w:type="paragraph" w:styleId="TDC7">
    <w:name w:val="toc 7"/>
    <w:basedOn w:val="Normal"/>
    <w:next w:val="Normal"/>
    <w:autoRedefine/>
    <w:uiPriority w:val="39"/>
    <w:unhideWhenUsed/>
    <w:rsid w:val="000A52D5"/>
    <w:pPr>
      <w:tabs>
        <w:tab w:val="clear" w:pos="4419"/>
        <w:tab w:val="clear" w:pos="8838"/>
      </w:tabs>
      <w:spacing w:after="100" w:line="276" w:lineRule="auto"/>
      <w:ind w:left="1320"/>
    </w:pPr>
    <w:rPr>
      <w:rFonts w:ascii="Calibri" w:eastAsia="Times New Roman" w:hAnsi="Calibri" w:cs="Times New Roman"/>
      <w:sz w:val="22"/>
      <w:lang w:eastAsia="es-CR"/>
    </w:rPr>
  </w:style>
  <w:style w:type="paragraph" w:styleId="TDC8">
    <w:name w:val="toc 8"/>
    <w:basedOn w:val="Normal"/>
    <w:next w:val="Normal"/>
    <w:autoRedefine/>
    <w:uiPriority w:val="39"/>
    <w:unhideWhenUsed/>
    <w:rsid w:val="000A52D5"/>
    <w:pPr>
      <w:tabs>
        <w:tab w:val="clear" w:pos="4419"/>
        <w:tab w:val="clear" w:pos="8838"/>
      </w:tabs>
      <w:spacing w:after="100" w:line="276" w:lineRule="auto"/>
      <w:ind w:left="1540"/>
    </w:pPr>
    <w:rPr>
      <w:rFonts w:ascii="Calibri" w:eastAsia="Times New Roman" w:hAnsi="Calibri" w:cs="Times New Roman"/>
      <w:sz w:val="22"/>
      <w:lang w:eastAsia="es-CR"/>
    </w:rPr>
  </w:style>
  <w:style w:type="paragraph" w:styleId="TDC9">
    <w:name w:val="toc 9"/>
    <w:basedOn w:val="Normal"/>
    <w:next w:val="Normal"/>
    <w:autoRedefine/>
    <w:uiPriority w:val="39"/>
    <w:unhideWhenUsed/>
    <w:rsid w:val="000A52D5"/>
    <w:pPr>
      <w:tabs>
        <w:tab w:val="clear" w:pos="4419"/>
        <w:tab w:val="clear" w:pos="8838"/>
      </w:tabs>
      <w:spacing w:after="100" w:line="276" w:lineRule="auto"/>
      <w:ind w:left="1760"/>
    </w:pPr>
    <w:rPr>
      <w:rFonts w:ascii="Calibri" w:eastAsia="Times New Roman" w:hAnsi="Calibri" w:cs="Times New Roman"/>
      <w:sz w:val="22"/>
      <w:lang w:eastAsia="es-CR"/>
    </w:rPr>
  </w:style>
  <w:style w:type="character" w:customStyle="1" w:styleId="normalchar">
    <w:name w:val="normal__char"/>
    <w:basedOn w:val="Fuentedeprrafopredeter"/>
    <w:rsid w:val="000A52D5"/>
  </w:style>
  <w:style w:type="character" w:customStyle="1" w:styleId="apple-converted-space">
    <w:name w:val="apple-converted-space"/>
    <w:basedOn w:val="Fuentedeprrafopredeter"/>
    <w:rsid w:val="000A52D5"/>
  </w:style>
  <w:style w:type="paragraph" w:styleId="NormalWeb">
    <w:name w:val="Normal (Web)"/>
    <w:aliases w:val="Normal (Web) Char1,Normal (Web) Char Char,Normal (Web) Char1 Char,Normal (Web) Char Char Char"/>
    <w:basedOn w:val="Normal"/>
    <w:uiPriority w:val="99"/>
    <w:unhideWhenUsed/>
    <w:rsid w:val="000A52D5"/>
    <w:pPr>
      <w:tabs>
        <w:tab w:val="clear" w:pos="4419"/>
        <w:tab w:val="clear" w:pos="8838"/>
      </w:tabs>
      <w:spacing w:before="100" w:beforeAutospacing="1" w:after="100" w:afterAutospacing="1"/>
    </w:pPr>
    <w:rPr>
      <w:rFonts w:eastAsia="Times New Roman" w:cs="Times New Roman"/>
      <w:szCs w:val="24"/>
      <w:lang w:eastAsia="es-CR"/>
    </w:rPr>
  </w:style>
  <w:style w:type="character" w:styleId="Nmerodelnea">
    <w:name w:val="line number"/>
    <w:basedOn w:val="Fuentedeprrafopredeter"/>
    <w:uiPriority w:val="99"/>
    <w:semiHidden/>
    <w:unhideWhenUsed/>
    <w:rsid w:val="000A52D5"/>
  </w:style>
  <w:style w:type="character" w:customStyle="1" w:styleId="PrrafodeSentenciaChar">
    <w:name w:val="*. Párrafo de Sentencia Char"/>
    <w:link w:val="PrrafodeSentencia0"/>
    <w:rsid w:val="000A52D5"/>
    <w:rPr>
      <w:rFonts w:ascii="Verdana" w:eastAsia="Batang" w:hAnsi="Verdana" w:cs="Times New Roman"/>
      <w:sz w:val="20"/>
      <w:szCs w:val="20"/>
      <w:lang w:eastAsia="es-MX" w:bidi="en-US"/>
    </w:rPr>
  </w:style>
  <w:style w:type="character" w:customStyle="1" w:styleId="Caracteresdenotafinal">
    <w:name w:val="Caracteres de nota final"/>
    <w:rsid w:val="000A52D5"/>
    <w:rPr>
      <w:vertAlign w:val="superscript"/>
    </w:rPr>
  </w:style>
  <w:style w:type="character" w:customStyle="1" w:styleId="FootnoteRef">
    <w:name w:val="Footnote Ref"/>
    <w:rsid w:val="000A52D5"/>
    <w:rPr>
      <w:rFonts w:cs="Times New Roman"/>
      <w:vertAlign w:val="superscript"/>
    </w:rPr>
  </w:style>
  <w:style w:type="paragraph" w:styleId="Textosinformato">
    <w:name w:val="Plain Text"/>
    <w:basedOn w:val="Normal"/>
    <w:link w:val="TextosinformatoCar"/>
    <w:uiPriority w:val="99"/>
    <w:unhideWhenUsed/>
    <w:rsid w:val="000A52D5"/>
    <w:pPr>
      <w:tabs>
        <w:tab w:val="clear" w:pos="4419"/>
        <w:tab w:val="clear" w:pos="8838"/>
      </w:tabs>
    </w:pPr>
    <w:rPr>
      <w:rFonts w:ascii="Consolas" w:eastAsia="Calibri" w:hAnsi="Consolas" w:cs="Consolas"/>
      <w:sz w:val="21"/>
      <w:szCs w:val="21"/>
      <w:lang w:eastAsia="es-CR"/>
    </w:rPr>
  </w:style>
  <w:style w:type="character" w:customStyle="1" w:styleId="TextosinformatoCar">
    <w:name w:val="Texto sin formato Car"/>
    <w:basedOn w:val="Fuentedeprrafopredeter"/>
    <w:link w:val="Textosinformato"/>
    <w:uiPriority w:val="99"/>
    <w:rsid w:val="000A52D5"/>
    <w:rPr>
      <w:rFonts w:ascii="Consolas" w:eastAsia="Calibri" w:hAnsi="Consolas" w:cs="Consolas"/>
      <w:sz w:val="21"/>
      <w:szCs w:val="21"/>
      <w:lang w:eastAsia="es-CR"/>
    </w:rPr>
  </w:style>
  <w:style w:type="character" w:styleId="Hipervnculovisitado">
    <w:name w:val="FollowedHyperlink"/>
    <w:uiPriority w:val="99"/>
    <w:semiHidden/>
    <w:unhideWhenUsed/>
    <w:rsid w:val="000A52D5"/>
    <w:rPr>
      <w:color w:val="800080"/>
      <w:u w:val="single"/>
    </w:rPr>
  </w:style>
  <w:style w:type="paragraph" w:customStyle="1" w:styleId="CM15">
    <w:name w:val="CM15"/>
    <w:basedOn w:val="Default"/>
    <w:next w:val="Default"/>
    <w:uiPriority w:val="99"/>
    <w:rsid w:val="000A52D5"/>
    <w:pPr>
      <w:spacing w:line="276" w:lineRule="atLeast"/>
    </w:pPr>
    <w:rPr>
      <w:rFonts w:ascii="Arial" w:hAnsi="Arial" w:cs="Arial"/>
      <w:color w:val="auto"/>
    </w:rPr>
  </w:style>
  <w:style w:type="character" w:customStyle="1" w:styleId="longtext1">
    <w:name w:val="long_text1"/>
    <w:rsid w:val="000A52D5"/>
    <w:rPr>
      <w:sz w:val="14"/>
      <w:szCs w:val="14"/>
    </w:rPr>
  </w:style>
  <w:style w:type="character" w:customStyle="1" w:styleId="ListParagraphChar1">
    <w:name w:val="List Paragraph Char1"/>
    <w:aliases w:val="Footnote Char2"/>
    <w:uiPriority w:val="99"/>
    <w:rsid w:val="000A52D5"/>
    <w:rPr>
      <w:rFonts w:ascii="Verdana" w:eastAsia="Times New Roman" w:hAnsi="Verdana"/>
      <w:lang w:val="es-ES_tradnl" w:eastAsia="en-US"/>
    </w:rPr>
  </w:style>
  <w:style w:type="character" w:customStyle="1" w:styleId="apple-style-span">
    <w:name w:val="apple-style-span"/>
    <w:basedOn w:val="Fuentedeprrafopredeter"/>
    <w:rsid w:val="000A52D5"/>
  </w:style>
  <w:style w:type="character" w:customStyle="1" w:styleId="Refdenotaalpie2">
    <w:name w:val="Ref. de nota al pie2"/>
    <w:rsid w:val="000A52D5"/>
    <w:rPr>
      <w:vertAlign w:val="superscript"/>
    </w:rPr>
  </w:style>
  <w:style w:type="paragraph" w:customStyle="1" w:styleId="xl66">
    <w:name w:val="xl66"/>
    <w:basedOn w:val="Normal"/>
    <w:rsid w:val="000A52D5"/>
    <w:pPr>
      <w:pBdr>
        <w:top w:val="single" w:sz="8" w:space="0" w:color="auto"/>
        <w:left w:val="single" w:sz="8"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67">
    <w:name w:val="xl67"/>
    <w:basedOn w:val="Normal"/>
    <w:rsid w:val="000A52D5"/>
    <w:pPr>
      <w:pBdr>
        <w:top w:val="single" w:sz="8" w:space="0" w:color="auto"/>
        <w:left w:val="single" w:sz="8" w:space="0" w:color="auto"/>
        <w:right w:val="single" w:sz="8"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68">
    <w:name w:val="xl68"/>
    <w:basedOn w:val="Normal"/>
    <w:rsid w:val="000A52D5"/>
    <w:pPr>
      <w:pBdr>
        <w:top w:val="single" w:sz="8"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70">
    <w:name w:val="xl70"/>
    <w:basedOn w:val="Normal"/>
    <w:rsid w:val="000A52D5"/>
    <w:pPr>
      <w:pBdr>
        <w:top w:val="single" w:sz="4" w:space="0" w:color="auto"/>
        <w:left w:val="single" w:sz="8" w:space="0" w:color="auto"/>
        <w:bottom w:val="single" w:sz="4"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71">
    <w:name w:val="xl71"/>
    <w:basedOn w:val="Normal"/>
    <w:rsid w:val="000A52D5"/>
    <w:pPr>
      <w:pBdr>
        <w:top w:val="single" w:sz="4" w:space="0" w:color="auto"/>
        <w:left w:val="single" w:sz="8" w:space="0" w:color="auto"/>
        <w:bottom w:val="single" w:sz="4" w:space="0" w:color="auto"/>
        <w:right w:val="single" w:sz="8"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2">
    <w:name w:val="xl72"/>
    <w:basedOn w:val="Normal"/>
    <w:rsid w:val="000A52D5"/>
    <w:pPr>
      <w:pBdr>
        <w:top w:val="single" w:sz="4" w:space="0" w:color="auto"/>
        <w:bottom w:val="single" w:sz="4"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3">
    <w:name w:val="xl73"/>
    <w:basedOn w:val="Normal"/>
    <w:rsid w:val="000A52D5"/>
    <w:pPr>
      <w:pBdr>
        <w:top w:val="single" w:sz="4" w:space="0" w:color="auto"/>
        <w:left w:val="single" w:sz="8" w:space="0" w:color="auto"/>
        <w:bottom w:val="single" w:sz="4" w:space="0" w:color="auto"/>
        <w:right w:val="single" w:sz="8"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4">
    <w:name w:val="xl74"/>
    <w:basedOn w:val="Normal"/>
    <w:rsid w:val="000A52D5"/>
    <w:pPr>
      <w:pBdr>
        <w:top w:val="single" w:sz="4" w:space="0" w:color="auto"/>
        <w:left w:val="single" w:sz="8" w:space="0" w:color="auto"/>
        <w:right w:val="single" w:sz="8"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5">
    <w:name w:val="xl75"/>
    <w:basedOn w:val="Normal"/>
    <w:rsid w:val="000A52D5"/>
    <w:pPr>
      <w:pBdr>
        <w:top w:val="single" w:sz="4" w:space="0" w:color="auto"/>
        <w:left w:val="single" w:sz="8" w:space="0" w:color="auto"/>
        <w:bottom w:val="single" w:sz="4" w:space="0" w:color="auto"/>
        <w:right w:val="single" w:sz="8" w:space="0" w:color="auto"/>
      </w:pBdr>
      <w:shd w:val="clear" w:color="000000" w:fill="E6B9B8"/>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6">
    <w:name w:val="xl76"/>
    <w:basedOn w:val="Normal"/>
    <w:rsid w:val="000A52D5"/>
    <w:pPr>
      <w:pBdr>
        <w:top w:val="single" w:sz="4" w:space="0" w:color="auto"/>
        <w:bottom w:val="single" w:sz="4" w:space="0" w:color="auto"/>
      </w:pBdr>
      <w:shd w:val="clear" w:color="000000" w:fill="E6B9B8"/>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7">
    <w:name w:val="xl77"/>
    <w:basedOn w:val="Normal"/>
    <w:rsid w:val="000A52D5"/>
    <w:pPr>
      <w:pBdr>
        <w:top w:val="single" w:sz="4" w:space="0" w:color="auto"/>
        <w:left w:val="single" w:sz="8" w:space="0" w:color="auto"/>
        <w:bottom w:val="single" w:sz="4" w:space="0" w:color="auto"/>
        <w:right w:val="single" w:sz="8" w:space="0" w:color="auto"/>
      </w:pBdr>
      <w:shd w:val="clear" w:color="000000" w:fill="E6B9B8"/>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69">
    <w:name w:val="xl69"/>
    <w:basedOn w:val="Normal"/>
    <w:rsid w:val="000A52D5"/>
    <w:pPr>
      <w:pBdr>
        <w:top w:val="single" w:sz="4" w:space="0" w:color="auto"/>
        <w:left w:val="single" w:sz="4" w:space="0" w:color="auto"/>
        <w:bottom w:val="single" w:sz="4" w:space="0" w:color="auto"/>
        <w:right w:val="single" w:sz="4" w:space="0" w:color="auto"/>
      </w:pBdr>
      <w:tabs>
        <w:tab w:val="clear" w:pos="4419"/>
        <w:tab w:val="clear" w:pos="8838"/>
      </w:tabs>
      <w:spacing w:before="100" w:beforeAutospacing="1" w:after="100" w:afterAutospacing="1"/>
      <w:jc w:val="center"/>
      <w:textAlignment w:val="center"/>
    </w:pPr>
    <w:rPr>
      <w:rFonts w:eastAsia="Times New Roman" w:cs="Times New Roman"/>
      <w:szCs w:val="24"/>
      <w:lang w:eastAsia="es-CR"/>
    </w:rPr>
  </w:style>
  <w:style w:type="paragraph" w:styleId="Sangra2detindependiente">
    <w:name w:val="Body Text Indent 2"/>
    <w:basedOn w:val="Normal"/>
    <w:link w:val="Sangra2detindependienteCar"/>
    <w:uiPriority w:val="99"/>
    <w:semiHidden/>
    <w:unhideWhenUsed/>
    <w:rsid w:val="000A52D5"/>
    <w:pPr>
      <w:tabs>
        <w:tab w:val="clear" w:pos="4419"/>
        <w:tab w:val="clear" w:pos="8838"/>
      </w:tabs>
      <w:spacing w:after="120" w:line="480" w:lineRule="auto"/>
      <w:ind w:left="283"/>
    </w:pPr>
    <w:rPr>
      <w:rFonts w:eastAsia="Batang" w:cs="Times"/>
      <w:szCs w:val="24"/>
      <w:lang w:val="es-MX"/>
    </w:rPr>
  </w:style>
  <w:style w:type="character" w:customStyle="1" w:styleId="Sangra2detindependienteCar">
    <w:name w:val="Sangría 2 de t. independiente Car"/>
    <w:basedOn w:val="Fuentedeprrafopredeter"/>
    <w:link w:val="Sangra2detindependiente"/>
    <w:uiPriority w:val="99"/>
    <w:semiHidden/>
    <w:rsid w:val="000A52D5"/>
    <w:rPr>
      <w:rFonts w:ascii="Verdana" w:eastAsia="Batang" w:hAnsi="Verdana" w:cs="Times"/>
      <w:sz w:val="20"/>
      <w:szCs w:val="24"/>
      <w:lang w:val="es-MX"/>
    </w:rPr>
  </w:style>
  <w:style w:type="paragraph" w:customStyle="1" w:styleId="NotasProyectos0">
    <w:name w:val="***. Notas Proyectos"/>
    <w:basedOn w:val="Normal"/>
    <w:link w:val="NotasProyectosChar0"/>
    <w:autoRedefine/>
    <w:qFormat/>
    <w:rsid w:val="000A52D5"/>
    <w:pPr>
      <w:tabs>
        <w:tab w:val="clear" w:pos="4419"/>
        <w:tab w:val="clear" w:pos="8838"/>
      </w:tabs>
      <w:spacing w:before="120"/>
      <w:ind w:left="720"/>
    </w:pPr>
    <w:rPr>
      <w:rFonts w:eastAsia="Times New Roman" w:cs="Times New Roman"/>
      <w:szCs w:val="20"/>
      <w:lang w:val="es-MX" w:eastAsia="es-ES"/>
    </w:rPr>
  </w:style>
  <w:style w:type="character" w:customStyle="1" w:styleId="NotasProyectosChar0">
    <w:name w:val="***. Notas Proyectos Char"/>
    <w:link w:val="NotasProyectos0"/>
    <w:rsid w:val="000A52D5"/>
    <w:rPr>
      <w:rFonts w:ascii="Verdana" w:eastAsia="Times New Roman" w:hAnsi="Verdana" w:cs="Times New Roman"/>
      <w:sz w:val="20"/>
      <w:szCs w:val="20"/>
      <w:lang w:val="es-MX" w:eastAsia="es-ES"/>
    </w:rPr>
  </w:style>
  <w:style w:type="character" w:customStyle="1" w:styleId="Smbolodenotaalpie">
    <w:name w:val="Símbolo de nota al pie"/>
    <w:rsid w:val="000A52D5"/>
    <w:rPr>
      <w:vertAlign w:val="superscript"/>
    </w:rPr>
  </w:style>
  <w:style w:type="table" w:styleId="Tablaconcuadrcula">
    <w:name w:val="Table Grid"/>
    <w:basedOn w:val="Tablanormal"/>
    <w:uiPriority w:val="59"/>
    <w:rsid w:val="000A52D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1">
    <w:name w:val="Body Text 31"/>
    <w:basedOn w:val="Normal"/>
    <w:rsid w:val="000A52D5"/>
    <w:pPr>
      <w:tabs>
        <w:tab w:val="clear" w:pos="4419"/>
        <w:tab w:val="clear" w:pos="8838"/>
      </w:tabs>
      <w:overflowPunct w:val="0"/>
      <w:autoSpaceDE w:val="0"/>
      <w:autoSpaceDN w:val="0"/>
      <w:adjustRightInd w:val="0"/>
      <w:textAlignment w:val="baseline"/>
    </w:pPr>
    <w:rPr>
      <w:rFonts w:ascii="Times" w:eastAsia="Times New Roman" w:hAnsi="Times" w:cs="Times New Roman"/>
      <w:b/>
      <w:caps/>
      <w:szCs w:val="20"/>
      <w:lang w:val="en-US" w:eastAsia="es-ES"/>
    </w:rPr>
  </w:style>
  <w:style w:type="character" w:customStyle="1" w:styleId="Estilo2Car">
    <w:name w:val="Estilo2 Car"/>
    <w:link w:val="Estilo2"/>
    <w:rsid w:val="000A52D5"/>
    <w:rPr>
      <w:rFonts w:ascii="Verdana" w:eastAsia="Calibri" w:hAnsi="Verdana" w:cs="Times New Roman"/>
      <w:sz w:val="20"/>
      <w:szCs w:val="20"/>
      <w:lang w:val="es-MX" w:eastAsia="x-none"/>
    </w:rPr>
  </w:style>
  <w:style w:type="paragraph" w:customStyle="1" w:styleId="Textoindependiente1">
    <w:name w:val="Texto independiente1"/>
    <w:basedOn w:val="Normal"/>
    <w:rsid w:val="000A52D5"/>
    <w:pPr>
      <w:widowControl w:val="0"/>
      <w:tabs>
        <w:tab w:val="clear" w:pos="4419"/>
        <w:tab w:val="clear" w:pos="8838"/>
      </w:tabs>
    </w:pPr>
    <w:rPr>
      <w:rFonts w:eastAsia="MS Mincho" w:cs="Times New Roman"/>
      <w:szCs w:val="20"/>
      <w:lang w:val="es-ES"/>
    </w:rPr>
  </w:style>
  <w:style w:type="paragraph" w:customStyle="1" w:styleId="xmsonormal">
    <w:name w:val="x_msonormal"/>
    <w:basedOn w:val="Normal"/>
    <w:rsid w:val="000A52D5"/>
    <w:pPr>
      <w:tabs>
        <w:tab w:val="clear" w:pos="4419"/>
        <w:tab w:val="clear" w:pos="8838"/>
      </w:tabs>
      <w:spacing w:before="100" w:beforeAutospacing="1" w:after="100" w:afterAutospacing="1"/>
    </w:pPr>
    <w:rPr>
      <w:rFonts w:eastAsia="Times New Roman" w:cs="Times New Roman"/>
      <w:szCs w:val="24"/>
      <w:lang w:eastAsia="es-CR"/>
    </w:rPr>
  </w:style>
  <w:style w:type="character" w:customStyle="1" w:styleId="normal--char">
    <w:name w:val="normal--char"/>
    <w:basedOn w:val="Fuentedeprrafopredeter"/>
    <w:rsid w:val="000A52D5"/>
  </w:style>
  <w:style w:type="character" w:customStyle="1" w:styleId="ju-005fpara-002cleft-002cfirst-0020line-003a-0020-00200-0020cm--char">
    <w:name w:val="ju-005fpara-002cleft-002cfirst-0020line-003a-0020-00200-0020cm--char"/>
    <w:basedOn w:val="Fuentedeprrafopredeter"/>
    <w:rsid w:val="000A52D5"/>
  </w:style>
  <w:style w:type="character" w:customStyle="1" w:styleId="skypepnhprintcontainer">
    <w:name w:val="skype_pnh_print_container"/>
    <w:basedOn w:val="Fuentedeprrafopredeter"/>
    <w:rsid w:val="000A52D5"/>
  </w:style>
  <w:style w:type="character" w:customStyle="1" w:styleId="s6b621b36">
    <w:name w:val="s6b621b36"/>
    <w:basedOn w:val="Fuentedeprrafopredeter"/>
    <w:rsid w:val="000A52D5"/>
  </w:style>
  <w:style w:type="paragraph" w:customStyle="1" w:styleId="ng-scope1">
    <w:name w:val="ng-scope1"/>
    <w:basedOn w:val="Normal"/>
    <w:rsid w:val="000A52D5"/>
    <w:pPr>
      <w:tabs>
        <w:tab w:val="clear" w:pos="4419"/>
        <w:tab w:val="clear" w:pos="8838"/>
      </w:tabs>
      <w:spacing w:before="100" w:beforeAutospacing="1" w:after="100" w:afterAutospacing="1"/>
    </w:pPr>
    <w:rPr>
      <w:rFonts w:eastAsia="Times New Roman" w:cs="Times New Roman"/>
      <w:szCs w:val="24"/>
      <w:lang w:val="en-US"/>
    </w:rPr>
  </w:style>
  <w:style w:type="character" w:customStyle="1" w:styleId="nfasissutil1">
    <w:name w:val="Énfasis sutil1"/>
    <w:uiPriority w:val="19"/>
    <w:qFormat/>
    <w:rsid w:val="000A52D5"/>
    <w:rPr>
      <w:rFonts w:ascii="Verdana" w:hAnsi="Verdana"/>
      <w:i/>
      <w:iCs/>
      <w:color w:val="auto"/>
      <w:sz w:val="20"/>
    </w:rPr>
  </w:style>
  <w:style w:type="character" w:customStyle="1" w:styleId="CarCar">
    <w:name w:val="Car Car"/>
    <w:rsid w:val="000A52D5"/>
    <w:rPr>
      <w:rFonts w:ascii="Times New Roman" w:eastAsia="Times New Roman" w:hAnsi="Times New Roman" w:cs="Times New Roman"/>
      <w:sz w:val="20"/>
      <w:szCs w:val="20"/>
      <w:lang w:val="es-ES_tradnl"/>
    </w:rPr>
  </w:style>
  <w:style w:type="character" w:customStyle="1" w:styleId="skypepnhcontainer">
    <w:name w:val="skype_pnh_container"/>
    <w:rsid w:val="000A52D5"/>
    <w:rPr>
      <w:rFonts w:cs="Times New Roman"/>
    </w:rPr>
  </w:style>
  <w:style w:type="paragraph" w:customStyle="1" w:styleId="TextoArtculo">
    <w:name w:val="Texto Artículo"/>
    <w:next w:val="Normal"/>
    <w:rsid w:val="000A52D5"/>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0A52D5"/>
  </w:style>
  <w:style w:type="paragraph" w:customStyle="1" w:styleId="s32b251d">
    <w:name w:val="s32b251d"/>
    <w:basedOn w:val="Normal"/>
    <w:rsid w:val="000A52D5"/>
    <w:pPr>
      <w:tabs>
        <w:tab w:val="clear" w:pos="4419"/>
        <w:tab w:val="clear" w:pos="8838"/>
      </w:tabs>
      <w:spacing w:before="100" w:beforeAutospacing="1" w:after="100" w:afterAutospacing="1"/>
    </w:pPr>
    <w:rPr>
      <w:rFonts w:eastAsia="Times New Roman" w:cs="Times New Roman"/>
      <w:szCs w:val="24"/>
      <w:lang w:val="es-EC" w:eastAsia="es-EC"/>
    </w:rPr>
  </w:style>
  <w:style w:type="paragraph" w:customStyle="1" w:styleId="Prrafodelista4">
    <w:name w:val="Párrafo de lista4"/>
    <w:basedOn w:val="Normal"/>
    <w:uiPriority w:val="99"/>
    <w:qFormat/>
    <w:rsid w:val="000A52D5"/>
    <w:pPr>
      <w:tabs>
        <w:tab w:val="clear" w:pos="4419"/>
        <w:tab w:val="clear" w:pos="8838"/>
      </w:tabs>
      <w:ind w:left="720"/>
    </w:pPr>
    <w:rPr>
      <w:rFonts w:eastAsia="Times New Roman" w:cs="Times New Roman"/>
      <w:szCs w:val="20"/>
      <w:lang w:val="es-MX"/>
    </w:rPr>
  </w:style>
  <w:style w:type="character" w:customStyle="1" w:styleId="MediumGrid2-Accent2Char">
    <w:name w:val="Medium Grid 2 - Accent 2 Char"/>
    <w:link w:val="Cuadrculamedia2-nfasis2"/>
    <w:uiPriority w:val="29"/>
    <w:rsid w:val="000A52D5"/>
    <w:rPr>
      <w:rFonts w:ascii="Calibri" w:hAnsi="Calibri" w:cs="Times New Roman"/>
      <w:i/>
      <w:iCs/>
      <w:color w:val="000000"/>
      <w:sz w:val="20"/>
    </w:rPr>
  </w:style>
  <w:style w:type="paragraph" w:customStyle="1" w:styleId="Style8">
    <w:name w:val="Style 8"/>
    <w:basedOn w:val="Normal"/>
    <w:rsid w:val="000A52D5"/>
    <w:pPr>
      <w:widowControl w:val="0"/>
      <w:tabs>
        <w:tab w:val="clear" w:pos="4419"/>
        <w:tab w:val="clear" w:pos="8838"/>
      </w:tabs>
      <w:autoSpaceDE w:val="0"/>
      <w:autoSpaceDN w:val="0"/>
      <w:ind w:left="1440"/>
    </w:pPr>
    <w:rPr>
      <w:rFonts w:eastAsia="Times New Roman" w:cs="Times New Roman"/>
      <w:szCs w:val="24"/>
      <w:lang w:val="es-MX" w:eastAsia="es-ES_tradnl"/>
    </w:rPr>
  </w:style>
  <w:style w:type="paragraph" w:customStyle="1" w:styleId="Style16">
    <w:name w:val="Style 16"/>
    <w:basedOn w:val="Normal"/>
    <w:rsid w:val="000A52D5"/>
    <w:pPr>
      <w:widowControl w:val="0"/>
      <w:tabs>
        <w:tab w:val="clear" w:pos="4419"/>
        <w:tab w:val="clear" w:pos="8838"/>
      </w:tabs>
      <w:autoSpaceDE w:val="0"/>
      <w:autoSpaceDN w:val="0"/>
      <w:spacing w:before="108" w:line="288" w:lineRule="atLeast"/>
      <w:ind w:left="1080"/>
    </w:pPr>
    <w:rPr>
      <w:rFonts w:eastAsia="Times New Roman" w:cs="Times New Roman"/>
      <w:szCs w:val="24"/>
      <w:lang w:val="es-MX" w:eastAsia="es-ES_tradnl"/>
    </w:rPr>
  </w:style>
  <w:style w:type="character" w:customStyle="1" w:styleId="Listavistosa-nfasis1Car">
    <w:name w:val="Lista vistosa - Énfasis 1 Car"/>
    <w:uiPriority w:val="99"/>
    <w:locked/>
    <w:rsid w:val="000A52D5"/>
    <w:rPr>
      <w:rFonts w:ascii="Verdana" w:eastAsia="Calibri" w:hAnsi="Verdana" w:cs="Times"/>
      <w:sz w:val="20"/>
      <w:szCs w:val="24"/>
      <w:lang w:val="es-ES_tradnl" w:eastAsia="es-ES"/>
    </w:rPr>
  </w:style>
  <w:style w:type="paragraph" w:customStyle="1" w:styleId="Encabezadodetabladecontenido1">
    <w:name w:val="Encabezado de tabla de contenido1"/>
    <w:basedOn w:val="Ttulo1"/>
    <w:next w:val="Normal"/>
    <w:uiPriority w:val="39"/>
    <w:semiHidden/>
    <w:unhideWhenUsed/>
    <w:qFormat/>
    <w:rsid w:val="000A52D5"/>
    <w:pPr>
      <w:spacing w:before="120" w:after="0" w:line="276" w:lineRule="auto"/>
      <w:jc w:val="left"/>
      <w:outlineLvl w:val="9"/>
    </w:pPr>
    <w:rPr>
      <w:rFonts w:ascii="Cambria" w:hAnsi="Cambria" w:cs="Times New Roman"/>
      <w:caps w:val="0"/>
      <w:snapToGrid/>
      <w:color w:val="365F91"/>
      <w:szCs w:val="28"/>
      <w:lang w:val="en-US" w:eastAsia="en-US"/>
    </w:rPr>
  </w:style>
  <w:style w:type="paragraph" w:customStyle="1" w:styleId="Style10">
    <w:name w:val="Style 1"/>
    <w:basedOn w:val="Normal"/>
    <w:rsid w:val="000A52D5"/>
    <w:pPr>
      <w:widowControl w:val="0"/>
      <w:tabs>
        <w:tab w:val="clear" w:pos="4419"/>
        <w:tab w:val="clear" w:pos="8838"/>
      </w:tabs>
      <w:autoSpaceDE w:val="0"/>
      <w:autoSpaceDN w:val="0"/>
      <w:spacing w:line="288" w:lineRule="atLeast"/>
      <w:ind w:left="720" w:hanging="360"/>
    </w:pPr>
    <w:rPr>
      <w:rFonts w:eastAsia="Times New Roman" w:cs="Times New Roman"/>
      <w:szCs w:val="24"/>
      <w:lang w:val="es-MX" w:eastAsia="es-ES_tradnl"/>
    </w:rPr>
  </w:style>
  <w:style w:type="paragraph" w:customStyle="1" w:styleId="Style22">
    <w:name w:val="Style 22"/>
    <w:basedOn w:val="Normal"/>
    <w:rsid w:val="000A52D5"/>
    <w:pPr>
      <w:widowControl w:val="0"/>
      <w:tabs>
        <w:tab w:val="clear" w:pos="4419"/>
        <w:tab w:val="clear" w:pos="8838"/>
      </w:tabs>
      <w:autoSpaceDE w:val="0"/>
      <w:autoSpaceDN w:val="0"/>
      <w:spacing w:before="180" w:line="288" w:lineRule="atLeast"/>
      <w:ind w:left="360" w:right="72" w:hanging="360"/>
    </w:pPr>
    <w:rPr>
      <w:rFonts w:eastAsia="Times New Roman" w:cs="Times New Roman"/>
      <w:szCs w:val="24"/>
      <w:lang w:val="es-MX" w:eastAsia="es-ES_tradnl"/>
    </w:rPr>
  </w:style>
  <w:style w:type="paragraph" w:customStyle="1" w:styleId="Style20">
    <w:name w:val="Style 20"/>
    <w:basedOn w:val="Normal"/>
    <w:rsid w:val="000A52D5"/>
    <w:pPr>
      <w:widowControl w:val="0"/>
      <w:tabs>
        <w:tab w:val="clear" w:pos="4419"/>
        <w:tab w:val="clear" w:pos="8838"/>
      </w:tabs>
      <w:autoSpaceDE w:val="0"/>
      <w:autoSpaceDN w:val="0"/>
      <w:ind w:left="360" w:hanging="360"/>
    </w:pPr>
    <w:rPr>
      <w:rFonts w:eastAsia="Times New Roman" w:cs="Times New Roman"/>
      <w:szCs w:val="24"/>
      <w:lang w:val="es-MX" w:eastAsia="es-ES_tradnl"/>
    </w:rPr>
  </w:style>
  <w:style w:type="paragraph" w:customStyle="1" w:styleId="Style17">
    <w:name w:val="Style 17"/>
    <w:basedOn w:val="Normal"/>
    <w:rsid w:val="000A52D5"/>
    <w:pPr>
      <w:widowControl w:val="0"/>
      <w:tabs>
        <w:tab w:val="clear" w:pos="4419"/>
        <w:tab w:val="clear" w:pos="8838"/>
      </w:tabs>
      <w:autoSpaceDE w:val="0"/>
      <w:autoSpaceDN w:val="0"/>
      <w:spacing w:line="288" w:lineRule="atLeast"/>
      <w:ind w:left="1080"/>
    </w:pPr>
    <w:rPr>
      <w:rFonts w:eastAsia="Times New Roman" w:cs="Times New Roman"/>
      <w:szCs w:val="24"/>
      <w:lang w:val="es-MX" w:eastAsia="es-ES_tradnl"/>
    </w:rPr>
  </w:style>
  <w:style w:type="paragraph" w:customStyle="1" w:styleId="Style13">
    <w:name w:val="Style 13"/>
    <w:basedOn w:val="Normal"/>
    <w:rsid w:val="000A52D5"/>
    <w:pPr>
      <w:widowControl w:val="0"/>
      <w:tabs>
        <w:tab w:val="clear" w:pos="4419"/>
        <w:tab w:val="clear" w:pos="8838"/>
      </w:tabs>
      <w:autoSpaceDE w:val="0"/>
      <w:autoSpaceDN w:val="0"/>
      <w:spacing w:before="288" w:line="288" w:lineRule="atLeast"/>
      <w:ind w:left="720" w:hanging="360"/>
    </w:pPr>
    <w:rPr>
      <w:rFonts w:eastAsia="Times New Roman" w:cs="Times New Roman"/>
      <w:szCs w:val="24"/>
      <w:lang w:val="es-MX" w:eastAsia="es-ES_tradnl"/>
    </w:rPr>
  </w:style>
  <w:style w:type="paragraph" w:customStyle="1" w:styleId="Style11">
    <w:name w:val="Style 11"/>
    <w:basedOn w:val="Normal"/>
    <w:rsid w:val="000A52D5"/>
    <w:pPr>
      <w:widowControl w:val="0"/>
      <w:tabs>
        <w:tab w:val="clear" w:pos="4419"/>
        <w:tab w:val="clear" w:pos="8838"/>
      </w:tabs>
      <w:autoSpaceDE w:val="0"/>
      <w:autoSpaceDN w:val="0"/>
      <w:ind w:left="720" w:right="72" w:hanging="432"/>
    </w:pPr>
    <w:rPr>
      <w:rFonts w:eastAsia="Times New Roman" w:cs="Times New Roman"/>
      <w:szCs w:val="24"/>
      <w:lang w:val="es-MX" w:eastAsia="es-ES_tradnl"/>
    </w:rPr>
  </w:style>
  <w:style w:type="paragraph" w:customStyle="1" w:styleId="Style15">
    <w:name w:val="Style 15"/>
    <w:basedOn w:val="Normal"/>
    <w:rsid w:val="000A52D5"/>
    <w:pPr>
      <w:widowControl w:val="0"/>
      <w:tabs>
        <w:tab w:val="clear" w:pos="4419"/>
        <w:tab w:val="clear" w:pos="8838"/>
      </w:tabs>
      <w:autoSpaceDE w:val="0"/>
      <w:autoSpaceDN w:val="0"/>
      <w:spacing w:before="108" w:line="288" w:lineRule="atLeast"/>
      <w:ind w:left="1440"/>
    </w:pPr>
    <w:rPr>
      <w:rFonts w:eastAsia="Times New Roman" w:cs="Times New Roman"/>
      <w:szCs w:val="24"/>
      <w:lang w:val="es-MX" w:eastAsia="es-ES_tradnl"/>
    </w:rPr>
  </w:style>
  <w:style w:type="paragraph" w:customStyle="1" w:styleId="Style26">
    <w:name w:val="Style 26"/>
    <w:basedOn w:val="Normal"/>
    <w:rsid w:val="000A52D5"/>
    <w:pPr>
      <w:widowControl w:val="0"/>
      <w:tabs>
        <w:tab w:val="clear" w:pos="4419"/>
        <w:tab w:val="clear" w:pos="8838"/>
      </w:tabs>
      <w:autoSpaceDE w:val="0"/>
      <w:autoSpaceDN w:val="0"/>
      <w:spacing w:line="288" w:lineRule="atLeast"/>
      <w:ind w:left="1872" w:hanging="432"/>
    </w:pPr>
    <w:rPr>
      <w:rFonts w:eastAsia="Times New Roman" w:cs="Times New Roman"/>
      <w:szCs w:val="24"/>
      <w:lang w:val="es-MX" w:eastAsia="es-ES_tradnl"/>
    </w:rPr>
  </w:style>
  <w:style w:type="paragraph" w:customStyle="1" w:styleId="Style27">
    <w:name w:val="Style 27"/>
    <w:basedOn w:val="Normal"/>
    <w:rsid w:val="000A52D5"/>
    <w:pPr>
      <w:widowControl w:val="0"/>
      <w:tabs>
        <w:tab w:val="clear" w:pos="4419"/>
        <w:tab w:val="clear" w:pos="8838"/>
      </w:tabs>
      <w:autoSpaceDE w:val="0"/>
      <w:autoSpaceDN w:val="0"/>
      <w:spacing w:line="288" w:lineRule="atLeast"/>
      <w:ind w:left="1440"/>
    </w:pPr>
    <w:rPr>
      <w:rFonts w:eastAsia="Times New Roman" w:cs="Times New Roman"/>
      <w:szCs w:val="24"/>
      <w:lang w:val="es-MX" w:eastAsia="es-ES_tradnl"/>
    </w:rPr>
  </w:style>
  <w:style w:type="paragraph" w:customStyle="1" w:styleId="Style14">
    <w:name w:val="Style 14"/>
    <w:basedOn w:val="Normal"/>
    <w:rsid w:val="000A52D5"/>
    <w:pPr>
      <w:widowControl w:val="0"/>
      <w:tabs>
        <w:tab w:val="clear" w:pos="4419"/>
        <w:tab w:val="clear" w:pos="8838"/>
      </w:tabs>
      <w:autoSpaceDE w:val="0"/>
      <w:autoSpaceDN w:val="0"/>
      <w:spacing w:before="180" w:line="288" w:lineRule="atLeast"/>
      <w:ind w:left="720" w:hanging="360"/>
    </w:pPr>
    <w:rPr>
      <w:rFonts w:eastAsia="Times New Roman" w:cs="Times New Roman"/>
      <w:szCs w:val="24"/>
      <w:lang w:val="es-MX" w:eastAsia="es-ES_tradnl"/>
    </w:rPr>
  </w:style>
  <w:style w:type="paragraph" w:customStyle="1" w:styleId="Style19">
    <w:name w:val="Style 19"/>
    <w:basedOn w:val="Normal"/>
    <w:rsid w:val="000A52D5"/>
    <w:pPr>
      <w:widowControl w:val="0"/>
      <w:tabs>
        <w:tab w:val="clear" w:pos="4419"/>
        <w:tab w:val="clear" w:pos="8838"/>
      </w:tabs>
      <w:autoSpaceDE w:val="0"/>
      <w:autoSpaceDN w:val="0"/>
      <w:jc w:val="center"/>
    </w:pPr>
    <w:rPr>
      <w:rFonts w:eastAsia="Times New Roman" w:cs="Times New Roman"/>
      <w:szCs w:val="24"/>
      <w:lang w:val="es-MX" w:eastAsia="es-ES_tradnl"/>
    </w:rPr>
  </w:style>
  <w:style w:type="paragraph" w:customStyle="1" w:styleId="Univers">
    <w:name w:val="Univers"/>
    <w:basedOn w:val="Normal"/>
    <w:rsid w:val="000A52D5"/>
    <w:pPr>
      <w:tabs>
        <w:tab w:val="clear" w:pos="4419"/>
        <w:tab w:val="clear" w:pos="8838"/>
      </w:tabs>
      <w:spacing w:line="480" w:lineRule="auto"/>
    </w:pPr>
    <w:rPr>
      <w:rFonts w:ascii="Univers" w:eastAsia="Times New Roman" w:hAnsi="Univers" w:cs="Times New Roman"/>
      <w:szCs w:val="32"/>
      <w:lang w:val="es-AR"/>
    </w:rPr>
  </w:style>
  <w:style w:type="paragraph" w:customStyle="1" w:styleId="Estilo4">
    <w:name w:val="Estilo4"/>
    <w:link w:val="Estilo4Car"/>
    <w:qFormat/>
    <w:rsid w:val="000A52D5"/>
    <w:pPr>
      <w:numPr>
        <w:ilvl w:val="1"/>
        <w:numId w:val="8"/>
      </w:numPr>
      <w:spacing w:after="120"/>
      <w:ind w:left="0" w:firstLine="357"/>
      <w:jc w:val="both"/>
    </w:pPr>
    <w:rPr>
      <w:rFonts w:eastAsia="Times New Roman" w:cs="Times New Roman"/>
      <w:spacing w:val="-2"/>
      <w:szCs w:val="20"/>
    </w:rPr>
  </w:style>
  <w:style w:type="paragraph" w:customStyle="1" w:styleId="Footnotes0">
    <w:name w:val="Footnotes"/>
    <w:basedOn w:val="Textonotapie"/>
    <w:autoRedefine/>
    <w:qFormat/>
    <w:rsid w:val="000A52D5"/>
    <w:pPr>
      <w:tabs>
        <w:tab w:val="clear" w:pos="4419"/>
        <w:tab w:val="clear" w:pos="8838"/>
      </w:tabs>
      <w:spacing w:after="120"/>
      <w:ind w:firstLine="709"/>
    </w:pPr>
    <w:rPr>
      <w:rFonts w:ascii="Cambria" w:eastAsia="Times New Roman" w:hAnsi="Cambria" w:cs="Times New Roman"/>
      <w:szCs w:val="18"/>
      <w:lang w:val="es-MX"/>
    </w:rPr>
  </w:style>
  <w:style w:type="character" w:customStyle="1" w:styleId="user-highlighted-active">
    <w:name w:val="user-highlighted-active"/>
    <w:basedOn w:val="Fuentedeprrafopredeter"/>
    <w:rsid w:val="000A52D5"/>
  </w:style>
  <w:style w:type="character" w:customStyle="1" w:styleId="highlighted">
    <w:name w:val="highlighted"/>
    <w:basedOn w:val="Fuentedeprrafopredeter"/>
    <w:rsid w:val="000A52D5"/>
  </w:style>
  <w:style w:type="numbering" w:customStyle="1" w:styleId="NoList1">
    <w:name w:val="No List1"/>
    <w:next w:val="Sinlista"/>
    <w:uiPriority w:val="99"/>
    <w:semiHidden/>
    <w:unhideWhenUsed/>
    <w:rsid w:val="000A52D5"/>
  </w:style>
  <w:style w:type="table" w:customStyle="1" w:styleId="TableGrid1">
    <w:name w:val="Table Grid1"/>
    <w:basedOn w:val="Tablanormal"/>
    <w:next w:val="Tablaconcuadrcula"/>
    <w:uiPriority w:val="59"/>
    <w:rsid w:val="000A52D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0A52D5"/>
    <w:pPr>
      <w:tabs>
        <w:tab w:val="clear" w:pos="4419"/>
        <w:tab w:val="clear" w:pos="8838"/>
      </w:tabs>
    </w:pPr>
    <w:rPr>
      <w:rFonts w:ascii="Calibri" w:eastAsia="Calibri" w:hAnsi="Calibri" w:cs="Times New Roman"/>
      <w:i/>
      <w:iCs/>
      <w:color w:val="000000"/>
      <w:lang w:val="en-US"/>
    </w:rPr>
  </w:style>
  <w:style w:type="character" w:customStyle="1" w:styleId="QuoteChar1">
    <w:name w:val="Quote Char1"/>
    <w:uiPriority w:val="29"/>
    <w:rsid w:val="000A52D5"/>
    <w:rPr>
      <w:i/>
      <w:iCs/>
      <w:color w:val="000000"/>
    </w:rPr>
  </w:style>
  <w:style w:type="paragraph" w:customStyle="1" w:styleId="Estilo3">
    <w:name w:val="Estilo3"/>
    <w:basedOn w:val="Prrafodelista"/>
    <w:qFormat/>
    <w:rsid w:val="000A52D5"/>
    <w:pPr>
      <w:contextualSpacing w:val="0"/>
    </w:pPr>
    <w:rPr>
      <w:rFonts w:eastAsia="Batang" w:cs="Times"/>
      <w:szCs w:val="24"/>
      <w:lang w:val="es-MX"/>
    </w:rPr>
  </w:style>
  <w:style w:type="paragraph" w:customStyle="1" w:styleId="Estilo5">
    <w:name w:val="Estilo5"/>
    <w:basedOn w:val="Estilo2"/>
    <w:link w:val="Estilo5Car"/>
    <w:qFormat/>
    <w:rsid w:val="000A52D5"/>
    <w:pPr>
      <w:numPr>
        <w:numId w:val="9"/>
      </w:numPr>
      <w:tabs>
        <w:tab w:val="clear" w:pos="567"/>
        <w:tab w:val="clear" w:pos="1134"/>
      </w:tabs>
      <w:spacing w:line="259" w:lineRule="auto"/>
      <w:ind w:left="0" w:firstLine="720"/>
    </w:pPr>
    <w:rPr>
      <w:rFonts w:ascii="Times New Roman" w:hAnsi="Times New Roman"/>
      <w:i/>
      <w:sz w:val="24"/>
      <w:szCs w:val="24"/>
      <w:lang w:val="es-UY" w:eastAsia="en-US"/>
    </w:rPr>
  </w:style>
  <w:style w:type="character" w:customStyle="1" w:styleId="Estilo4Car">
    <w:name w:val="Estilo4 Car"/>
    <w:link w:val="Estilo4"/>
    <w:rsid w:val="000A52D5"/>
    <w:rPr>
      <w:rFonts w:eastAsia="Times New Roman" w:cs="Times New Roman"/>
      <w:spacing w:val="-2"/>
      <w:szCs w:val="20"/>
    </w:rPr>
  </w:style>
  <w:style w:type="character" w:customStyle="1" w:styleId="Estilo5Car">
    <w:name w:val="Estilo5 Car"/>
    <w:link w:val="Estilo5"/>
    <w:rsid w:val="000A52D5"/>
    <w:rPr>
      <w:rFonts w:ascii="Times New Roman" w:eastAsia="Calibri" w:hAnsi="Times New Roman" w:cs="Times New Roman"/>
      <w:i/>
      <w:sz w:val="24"/>
      <w:szCs w:val="24"/>
      <w:lang w:val="es-UY"/>
    </w:rPr>
  </w:style>
  <w:style w:type="table" w:styleId="Cuadrculamedia1-nfasis2">
    <w:name w:val="Medium Grid 1 Accent 2"/>
    <w:basedOn w:val="Tablanormal"/>
    <w:rsid w:val="000A52D5"/>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2-nfasis2">
    <w:name w:val="Medium Grid 2 Accent 2"/>
    <w:basedOn w:val="Tablanormal"/>
    <w:link w:val="MediumGrid2-Accent2Char"/>
    <w:uiPriority w:val="29"/>
    <w:rsid w:val="000A52D5"/>
    <w:pPr>
      <w:spacing w:after="0" w:line="240" w:lineRule="auto"/>
    </w:pPr>
    <w:rPr>
      <w:rFonts w:ascii="Calibri" w:hAnsi="Calibri" w:cs="Times New Roman"/>
      <w:i/>
      <w:iCs/>
      <w:color w:val="000000"/>
      <w:sz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Sinespaciado">
    <w:name w:val="No Spacing"/>
    <w:uiPriority w:val="1"/>
    <w:qFormat/>
    <w:rsid w:val="000A52D5"/>
    <w:pPr>
      <w:spacing w:after="0" w:line="240" w:lineRule="auto"/>
    </w:pPr>
    <w:rPr>
      <w:rFonts w:ascii="Calibri" w:eastAsia="Calibri" w:hAnsi="Calibri" w:cs="Times New Roman"/>
      <w:lang w:val="en-US"/>
    </w:rPr>
  </w:style>
  <w:style w:type="character" w:customStyle="1" w:styleId="Refdenotaalpie1">
    <w:name w:val="Ref. de nota al pie1"/>
    <w:rsid w:val="000A52D5"/>
    <w:rPr>
      <w:sz w:val="20"/>
      <w:vertAlign w:val="superscript"/>
    </w:rPr>
  </w:style>
  <w:style w:type="paragraph" w:styleId="Textoindependiente2">
    <w:name w:val="Body Text 2"/>
    <w:basedOn w:val="Normal"/>
    <w:link w:val="Textoindependiente2Car"/>
    <w:uiPriority w:val="99"/>
    <w:unhideWhenUsed/>
    <w:rsid w:val="000A52D5"/>
    <w:pPr>
      <w:tabs>
        <w:tab w:val="clear" w:pos="4419"/>
        <w:tab w:val="clear" w:pos="8838"/>
        <w:tab w:val="left" w:pos="709"/>
      </w:tabs>
      <w:contextualSpacing/>
    </w:pPr>
    <w:rPr>
      <w:rFonts w:eastAsia="Batang" w:cs="Times"/>
      <w:b/>
      <w:spacing w:val="-2"/>
      <w:szCs w:val="20"/>
      <w:lang w:val="es-ES"/>
    </w:rPr>
  </w:style>
  <w:style w:type="character" w:customStyle="1" w:styleId="Textoindependiente2Car">
    <w:name w:val="Texto independiente 2 Car"/>
    <w:basedOn w:val="Fuentedeprrafopredeter"/>
    <w:link w:val="Textoindependiente2"/>
    <w:uiPriority w:val="99"/>
    <w:rsid w:val="000A52D5"/>
    <w:rPr>
      <w:rFonts w:ascii="Verdana" w:eastAsia="Batang" w:hAnsi="Verdana" w:cs="Times"/>
      <w:b/>
      <w:spacing w:val="-2"/>
      <w:sz w:val="20"/>
      <w:szCs w:val="20"/>
      <w:lang w:val="es-ES"/>
    </w:rPr>
  </w:style>
  <w:style w:type="paragraph" w:customStyle="1" w:styleId="Sangradetindependiente">
    <w:name w:val="SangrÃa de t. independiente"/>
    <w:basedOn w:val="Normal"/>
    <w:rsid w:val="000A52D5"/>
    <w:pPr>
      <w:tabs>
        <w:tab w:val="clear" w:pos="4419"/>
        <w:tab w:val="clear" w:pos="8838"/>
      </w:tabs>
      <w:spacing w:line="360" w:lineRule="atLeast"/>
    </w:pPr>
    <w:rPr>
      <w:rFonts w:ascii="Arial" w:eastAsia="Batang" w:hAnsi="Arial" w:cs="Times New Roman"/>
      <w:szCs w:val="20"/>
      <w:lang w:val="es-ES_tradnl"/>
    </w:rPr>
  </w:style>
  <w:style w:type="paragraph" w:customStyle="1" w:styleId="MediumGrid1-Accent22">
    <w:name w:val="Medium Grid 1 - Accent 22"/>
    <w:basedOn w:val="Normal"/>
    <w:qFormat/>
    <w:rsid w:val="000A52D5"/>
    <w:pPr>
      <w:tabs>
        <w:tab w:val="clear" w:pos="4419"/>
        <w:tab w:val="clear" w:pos="8838"/>
      </w:tabs>
      <w:ind w:left="708"/>
    </w:pPr>
    <w:rPr>
      <w:rFonts w:eastAsia="Batang" w:cs="Times"/>
      <w:sz w:val="16"/>
      <w:szCs w:val="24"/>
      <w:lang w:val="es-ES_tradnl"/>
    </w:rPr>
  </w:style>
  <w:style w:type="character" w:customStyle="1" w:styleId="ColorfulList-Accent1Char">
    <w:name w:val="Colorful List - Accent 1 Char"/>
    <w:link w:val="Listavistosa-nfasis1"/>
    <w:uiPriority w:val="99"/>
    <w:locked/>
    <w:rsid w:val="000A52D5"/>
    <w:rPr>
      <w:rFonts w:ascii="Verdana" w:eastAsia="Times New Roman" w:hAnsi="Verdana"/>
      <w:lang w:val="es-ES_tradnl" w:eastAsia="en-US"/>
    </w:rPr>
  </w:style>
  <w:style w:type="character" w:customStyle="1" w:styleId="xs6b621b36">
    <w:name w:val="x_s6b621b36"/>
    <w:basedOn w:val="Fuentedeprrafopredeter"/>
    <w:rsid w:val="000A52D5"/>
  </w:style>
  <w:style w:type="character" w:customStyle="1" w:styleId="xsb8d990e2">
    <w:name w:val="x_sb8d990e2"/>
    <w:basedOn w:val="Fuentedeprrafopredeter"/>
    <w:rsid w:val="000A52D5"/>
  </w:style>
  <w:style w:type="table" w:styleId="Listavistosa-nfasis1">
    <w:name w:val="Colorful List Accent 1"/>
    <w:basedOn w:val="Tablanormal"/>
    <w:link w:val="ColorfulList-Accent1Char"/>
    <w:uiPriority w:val="99"/>
    <w:rsid w:val="000A52D5"/>
    <w:pPr>
      <w:spacing w:after="0" w:line="240" w:lineRule="auto"/>
    </w:pPr>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tulo9Car">
    <w:name w:val="Título 9 Car"/>
    <w:basedOn w:val="Fuentedeprrafopredeter"/>
    <w:link w:val="Ttulo9"/>
    <w:uiPriority w:val="9"/>
    <w:rsid w:val="00721AF6"/>
    <w:rPr>
      <w:rFonts w:ascii="Verdana" w:eastAsia="Times New Roman" w:hAnsi="Verdana" w:cs="Times New Roman"/>
      <w:b/>
      <w:bCs/>
      <w:sz w:val="20"/>
      <w:szCs w:val="20"/>
      <w:lang w:val="es-ES_tradnl"/>
    </w:rPr>
  </w:style>
  <w:style w:type="paragraph" w:styleId="Textoindependiente3">
    <w:name w:val="Body Text 3"/>
    <w:basedOn w:val="Normal"/>
    <w:link w:val="Textoindependiente3Car"/>
    <w:uiPriority w:val="99"/>
    <w:unhideWhenUsed/>
    <w:rsid w:val="0008427B"/>
    <w:pPr>
      <w:autoSpaceDE w:val="0"/>
      <w:autoSpaceDN w:val="0"/>
      <w:adjustRightInd w:val="0"/>
    </w:pPr>
    <w:rPr>
      <w:rFonts w:cs="Arial"/>
      <w:i/>
      <w:iCs/>
      <w:szCs w:val="20"/>
      <w:lang w:val="es-ES"/>
    </w:rPr>
  </w:style>
  <w:style w:type="character" w:customStyle="1" w:styleId="Textoindependiente3Car">
    <w:name w:val="Texto independiente 3 Car"/>
    <w:basedOn w:val="Fuentedeprrafopredeter"/>
    <w:link w:val="Textoindependiente3"/>
    <w:uiPriority w:val="99"/>
    <w:rsid w:val="0008427B"/>
    <w:rPr>
      <w:rFonts w:ascii="Verdana" w:hAnsi="Verdana" w:cs="Arial"/>
      <w:i/>
      <w:iCs/>
      <w:sz w:val="20"/>
      <w:szCs w:val="20"/>
      <w:lang w:val="es-ES"/>
    </w:rPr>
  </w:style>
  <w:style w:type="paragraph" w:styleId="Textodebloque">
    <w:name w:val="Block Text"/>
    <w:basedOn w:val="Normal"/>
    <w:uiPriority w:val="99"/>
    <w:semiHidden/>
    <w:unhideWhenUsed/>
    <w:rsid w:val="00207197"/>
    <w:pPr>
      <w:tabs>
        <w:tab w:val="clear" w:pos="4419"/>
        <w:tab w:val="clear" w:pos="8838"/>
      </w:tabs>
      <w:ind w:left="851" w:right="946"/>
    </w:pPr>
    <w:rPr>
      <w:sz w:val="16"/>
      <w:szCs w:val="16"/>
      <w:lang w:val="es-ES_tradnl"/>
    </w:rPr>
  </w:style>
  <w:style w:type="paragraph" w:customStyle="1" w:styleId="Numberedparagraphs">
    <w:name w:val="Numbered paragraphs"/>
    <w:basedOn w:val="Normal"/>
    <w:qFormat/>
    <w:rsid w:val="00EF30D7"/>
    <w:pPr>
      <w:tabs>
        <w:tab w:val="clear" w:pos="4419"/>
        <w:tab w:val="clear" w:pos="8838"/>
      </w:tabs>
      <w:spacing w:after="200"/>
      <w:jc w:val="both"/>
    </w:pPr>
    <w:rPr>
      <w:rFonts w:eastAsia="MS Mincho" w:cs="Times New Roman"/>
      <w:color w:val="000000"/>
      <w:szCs w:val="20"/>
      <w:lang w:val="es-ES_tradnl"/>
    </w:rPr>
  </w:style>
  <w:style w:type="paragraph" w:styleId="Revisin">
    <w:name w:val="Revision"/>
    <w:hidden/>
    <w:uiPriority w:val="99"/>
    <w:semiHidden/>
    <w:rsid w:val="007932F8"/>
    <w:pPr>
      <w:spacing w:after="0" w:line="240" w:lineRule="auto"/>
    </w:pPr>
    <w:rPr>
      <w:rFonts w:ascii="Verdana" w:hAnsi="Verdana"/>
      <w:sz w:val="20"/>
    </w:rPr>
  </w:style>
  <w:style w:type="paragraph" w:customStyle="1" w:styleId="Prrafodelista2">
    <w:name w:val="Párrafo de lista2"/>
    <w:basedOn w:val="Normal"/>
    <w:uiPriority w:val="99"/>
    <w:rsid w:val="006878A8"/>
    <w:pPr>
      <w:tabs>
        <w:tab w:val="clear" w:pos="4419"/>
        <w:tab w:val="clear" w:pos="8838"/>
      </w:tabs>
      <w:ind w:left="720"/>
    </w:pPr>
    <w:rPr>
      <w:rFonts w:eastAsia="MS Mincho" w:cs="Times New Roman"/>
      <w:szCs w:val="20"/>
      <w:lang w:val="es-ES_tradnl" w:bidi="en-US"/>
    </w:rPr>
  </w:style>
  <w:style w:type="paragraph" w:styleId="TtuloTDC">
    <w:name w:val="TOC Heading"/>
    <w:basedOn w:val="Ttulo1"/>
    <w:next w:val="Normal"/>
    <w:uiPriority w:val="39"/>
    <w:semiHidden/>
    <w:unhideWhenUsed/>
    <w:qFormat/>
    <w:rsid w:val="00EC622C"/>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eastAsia="es-CR"/>
    </w:rPr>
  </w:style>
  <w:style w:type="numbering" w:customStyle="1" w:styleId="NoList2">
    <w:name w:val="No List2"/>
    <w:next w:val="Sinlista"/>
    <w:uiPriority w:val="99"/>
    <w:semiHidden/>
    <w:unhideWhenUsed/>
    <w:rsid w:val="00130785"/>
  </w:style>
  <w:style w:type="paragraph" w:customStyle="1" w:styleId="s30eec3f8">
    <w:name w:val="s30eec3f8"/>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sb8d990e2">
    <w:name w:val="sb8d990e2"/>
    <w:basedOn w:val="Fuentedeprrafopredeter"/>
    <w:rsid w:val="00130785"/>
  </w:style>
  <w:style w:type="character" w:styleId="Nmerodepgina">
    <w:name w:val="page number"/>
    <w:basedOn w:val="Fuentedeprrafopredeter"/>
    <w:uiPriority w:val="99"/>
    <w:semiHidden/>
    <w:unhideWhenUsed/>
    <w:rsid w:val="00130785"/>
  </w:style>
  <w:style w:type="paragraph" w:customStyle="1" w:styleId="sb223ea02">
    <w:name w:val="sb223ea02"/>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s7d2086b4">
    <w:name w:val="s7d2086b4"/>
    <w:basedOn w:val="Fuentedeprrafopredeter"/>
    <w:rsid w:val="00130785"/>
  </w:style>
  <w:style w:type="paragraph" w:customStyle="1" w:styleId="s6704e5c3">
    <w:name w:val="s6704e5c3"/>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sfbbfee58">
    <w:name w:val="sfbbfee58"/>
    <w:basedOn w:val="Fuentedeprrafopredeter"/>
    <w:rsid w:val="00130785"/>
  </w:style>
  <w:style w:type="paragraph" w:customStyle="1" w:styleId="scc90dede">
    <w:name w:val="scc90dede"/>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wordhighlighted">
    <w:name w:val="wordhighlighted"/>
    <w:basedOn w:val="Fuentedeprrafopredeter"/>
    <w:rsid w:val="00130785"/>
  </w:style>
  <w:style w:type="paragraph" w:customStyle="1" w:styleId="sd5b7d322">
    <w:name w:val="sd5b7d322"/>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paragraph" w:customStyle="1" w:styleId="CPClassification">
    <w:name w:val="CP Classification"/>
    <w:basedOn w:val="Normal"/>
    <w:rsid w:val="00130785"/>
    <w:pPr>
      <w:tabs>
        <w:tab w:val="clear" w:pos="4419"/>
        <w:tab w:val="clear" w:pos="8838"/>
        <w:tab w:val="center" w:pos="2160"/>
        <w:tab w:val="left" w:pos="7200"/>
      </w:tabs>
      <w:ind w:left="7200" w:right="-360"/>
      <w:jc w:val="both"/>
    </w:pPr>
    <w:rPr>
      <w:rFonts w:ascii="Times New Roman" w:eastAsia="Times New Roman" w:hAnsi="Times New Roman" w:cs="Times New Roman"/>
      <w:sz w:val="22"/>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0243">
      <w:bodyDiv w:val="1"/>
      <w:marLeft w:val="0"/>
      <w:marRight w:val="0"/>
      <w:marTop w:val="0"/>
      <w:marBottom w:val="0"/>
      <w:divBdr>
        <w:top w:val="none" w:sz="0" w:space="0" w:color="auto"/>
        <w:left w:val="none" w:sz="0" w:space="0" w:color="auto"/>
        <w:bottom w:val="none" w:sz="0" w:space="0" w:color="auto"/>
        <w:right w:val="none" w:sz="0" w:space="0" w:color="auto"/>
      </w:divBdr>
    </w:div>
    <w:div w:id="103815067">
      <w:bodyDiv w:val="1"/>
      <w:marLeft w:val="0"/>
      <w:marRight w:val="0"/>
      <w:marTop w:val="0"/>
      <w:marBottom w:val="0"/>
      <w:divBdr>
        <w:top w:val="none" w:sz="0" w:space="0" w:color="auto"/>
        <w:left w:val="none" w:sz="0" w:space="0" w:color="auto"/>
        <w:bottom w:val="none" w:sz="0" w:space="0" w:color="auto"/>
        <w:right w:val="none" w:sz="0" w:space="0" w:color="auto"/>
      </w:divBdr>
      <w:divsChild>
        <w:div w:id="1158693153">
          <w:marLeft w:val="0"/>
          <w:marRight w:val="0"/>
          <w:marTop w:val="0"/>
          <w:marBottom w:val="0"/>
          <w:divBdr>
            <w:top w:val="none" w:sz="0" w:space="0" w:color="auto"/>
            <w:left w:val="none" w:sz="0" w:space="0" w:color="auto"/>
            <w:bottom w:val="none" w:sz="0" w:space="0" w:color="auto"/>
            <w:right w:val="none" w:sz="0" w:space="0" w:color="auto"/>
          </w:divBdr>
          <w:divsChild>
            <w:div w:id="1232077345">
              <w:marLeft w:val="0"/>
              <w:marRight w:val="60"/>
              <w:marTop w:val="0"/>
              <w:marBottom w:val="0"/>
              <w:divBdr>
                <w:top w:val="none" w:sz="0" w:space="0" w:color="auto"/>
                <w:left w:val="none" w:sz="0" w:space="0" w:color="auto"/>
                <w:bottom w:val="none" w:sz="0" w:space="0" w:color="auto"/>
                <w:right w:val="none" w:sz="0" w:space="0" w:color="auto"/>
              </w:divBdr>
              <w:divsChild>
                <w:div w:id="1588539354">
                  <w:marLeft w:val="0"/>
                  <w:marRight w:val="0"/>
                  <w:marTop w:val="0"/>
                  <w:marBottom w:val="120"/>
                  <w:divBdr>
                    <w:top w:val="single" w:sz="6" w:space="0" w:color="C0C0C0"/>
                    <w:left w:val="single" w:sz="6" w:space="0" w:color="D9D9D9"/>
                    <w:bottom w:val="single" w:sz="6" w:space="0" w:color="D9D9D9"/>
                    <w:right w:val="single" w:sz="6" w:space="0" w:color="D9D9D9"/>
                  </w:divBdr>
                  <w:divsChild>
                    <w:div w:id="3132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8260">
          <w:marLeft w:val="0"/>
          <w:marRight w:val="0"/>
          <w:marTop w:val="0"/>
          <w:marBottom w:val="0"/>
          <w:divBdr>
            <w:top w:val="none" w:sz="0" w:space="0" w:color="auto"/>
            <w:left w:val="none" w:sz="0" w:space="0" w:color="auto"/>
            <w:bottom w:val="none" w:sz="0" w:space="0" w:color="auto"/>
            <w:right w:val="none" w:sz="0" w:space="0" w:color="auto"/>
          </w:divBdr>
          <w:divsChild>
            <w:div w:id="1393037426">
              <w:marLeft w:val="60"/>
              <w:marRight w:val="0"/>
              <w:marTop w:val="0"/>
              <w:marBottom w:val="0"/>
              <w:divBdr>
                <w:top w:val="none" w:sz="0" w:space="0" w:color="auto"/>
                <w:left w:val="none" w:sz="0" w:space="0" w:color="auto"/>
                <w:bottom w:val="none" w:sz="0" w:space="0" w:color="auto"/>
                <w:right w:val="none" w:sz="0" w:space="0" w:color="auto"/>
              </w:divBdr>
              <w:divsChild>
                <w:div w:id="1286618675">
                  <w:marLeft w:val="0"/>
                  <w:marRight w:val="0"/>
                  <w:marTop w:val="0"/>
                  <w:marBottom w:val="0"/>
                  <w:divBdr>
                    <w:top w:val="none" w:sz="0" w:space="0" w:color="auto"/>
                    <w:left w:val="none" w:sz="0" w:space="0" w:color="auto"/>
                    <w:bottom w:val="none" w:sz="0" w:space="0" w:color="auto"/>
                    <w:right w:val="none" w:sz="0" w:space="0" w:color="auto"/>
                  </w:divBdr>
                  <w:divsChild>
                    <w:div w:id="544483476">
                      <w:marLeft w:val="0"/>
                      <w:marRight w:val="0"/>
                      <w:marTop w:val="0"/>
                      <w:marBottom w:val="120"/>
                      <w:divBdr>
                        <w:top w:val="single" w:sz="6" w:space="0" w:color="F5F5F5"/>
                        <w:left w:val="single" w:sz="6" w:space="0" w:color="F5F5F5"/>
                        <w:bottom w:val="single" w:sz="6" w:space="0" w:color="F5F5F5"/>
                        <w:right w:val="single" w:sz="6" w:space="0" w:color="F5F5F5"/>
                      </w:divBdr>
                      <w:divsChild>
                        <w:div w:id="745109106">
                          <w:marLeft w:val="0"/>
                          <w:marRight w:val="0"/>
                          <w:marTop w:val="0"/>
                          <w:marBottom w:val="0"/>
                          <w:divBdr>
                            <w:top w:val="none" w:sz="0" w:space="0" w:color="auto"/>
                            <w:left w:val="none" w:sz="0" w:space="0" w:color="auto"/>
                            <w:bottom w:val="none" w:sz="0" w:space="0" w:color="auto"/>
                            <w:right w:val="none" w:sz="0" w:space="0" w:color="auto"/>
                          </w:divBdr>
                          <w:divsChild>
                            <w:div w:id="682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81291">
      <w:bodyDiv w:val="1"/>
      <w:marLeft w:val="0"/>
      <w:marRight w:val="0"/>
      <w:marTop w:val="0"/>
      <w:marBottom w:val="0"/>
      <w:divBdr>
        <w:top w:val="none" w:sz="0" w:space="0" w:color="auto"/>
        <w:left w:val="none" w:sz="0" w:space="0" w:color="auto"/>
        <w:bottom w:val="none" w:sz="0" w:space="0" w:color="auto"/>
        <w:right w:val="none" w:sz="0" w:space="0" w:color="auto"/>
      </w:divBdr>
    </w:div>
    <w:div w:id="349533233">
      <w:bodyDiv w:val="1"/>
      <w:marLeft w:val="0"/>
      <w:marRight w:val="0"/>
      <w:marTop w:val="0"/>
      <w:marBottom w:val="0"/>
      <w:divBdr>
        <w:top w:val="none" w:sz="0" w:space="0" w:color="auto"/>
        <w:left w:val="none" w:sz="0" w:space="0" w:color="auto"/>
        <w:bottom w:val="none" w:sz="0" w:space="0" w:color="auto"/>
        <w:right w:val="none" w:sz="0" w:space="0" w:color="auto"/>
      </w:divBdr>
    </w:div>
    <w:div w:id="441220179">
      <w:bodyDiv w:val="1"/>
      <w:marLeft w:val="0"/>
      <w:marRight w:val="0"/>
      <w:marTop w:val="0"/>
      <w:marBottom w:val="0"/>
      <w:divBdr>
        <w:top w:val="none" w:sz="0" w:space="0" w:color="auto"/>
        <w:left w:val="none" w:sz="0" w:space="0" w:color="auto"/>
        <w:bottom w:val="none" w:sz="0" w:space="0" w:color="auto"/>
        <w:right w:val="none" w:sz="0" w:space="0" w:color="auto"/>
      </w:divBdr>
    </w:div>
    <w:div w:id="445733205">
      <w:bodyDiv w:val="1"/>
      <w:marLeft w:val="0"/>
      <w:marRight w:val="0"/>
      <w:marTop w:val="0"/>
      <w:marBottom w:val="0"/>
      <w:divBdr>
        <w:top w:val="none" w:sz="0" w:space="0" w:color="auto"/>
        <w:left w:val="none" w:sz="0" w:space="0" w:color="auto"/>
        <w:bottom w:val="none" w:sz="0" w:space="0" w:color="auto"/>
        <w:right w:val="none" w:sz="0" w:space="0" w:color="auto"/>
      </w:divBdr>
    </w:div>
    <w:div w:id="486944552">
      <w:bodyDiv w:val="1"/>
      <w:marLeft w:val="0"/>
      <w:marRight w:val="0"/>
      <w:marTop w:val="0"/>
      <w:marBottom w:val="0"/>
      <w:divBdr>
        <w:top w:val="none" w:sz="0" w:space="0" w:color="auto"/>
        <w:left w:val="none" w:sz="0" w:space="0" w:color="auto"/>
        <w:bottom w:val="none" w:sz="0" w:space="0" w:color="auto"/>
        <w:right w:val="none" w:sz="0" w:space="0" w:color="auto"/>
      </w:divBdr>
    </w:div>
    <w:div w:id="580792018">
      <w:bodyDiv w:val="1"/>
      <w:marLeft w:val="0"/>
      <w:marRight w:val="0"/>
      <w:marTop w:val="0"/>
      <w:marBottom w:val="0"/>
      <w:divBdr>
        <w:top w:val="none" w:sz="0" w:space="0" w:color="auto"/>
        <w:left w:val="none" w:sz="0" w:space="0" w:color="auto"/>
        <w:bottom w:val="none" w:sz="0" w:space="0" w:color="auto"/>
        <w:right w:val="none" w:sz="0" w:space="0" w:color="auto"/>
      </w:divBdr>
    </w:div>
    <w:div w:id="723867573">
      <w:bodyDiv w:val="1"/>
      <w:marLeft w:val="0"/>
      <w:marRight w:val="0"/>
      <w:marTop w:val="0"/>
      <w:marBottom w:val="0"/>
      <w:divBdr>
        <w:top w:val="none" w:sz="0" w:space="0" w:color="auto"/>
        <w:left w:val="none" w:sz="0" w:space="0" w:color="auto"/>
        <w:bottom w:val="none" w:sz="0" w:space="0" w:color="auto"/>
        <w:right w:val="none" w:sz="0" w:space="0" w:color="auto"/>
      </w:divBdr>
    </w:div>
    <w:div w:id="878585614">
      <w:bodyDiv w:val="1"/>
      <w:marLeft w:val="0"/>
      <w:marRight w:val="0"/>
      <w:marTop w:val="0"/>
      <w:marBottom w:val="0"/>
      <w:divBdr>
        <w:top w:val="none" w:sz="0" w:space="0" w:color="auto"/>
        <w:left w:val="none" w:sz="0" w:space="0" w:color="auto"/>
        <w:bottom w:val="none" w:sz="0" w:space="0" w:color="auto"/>
        <w:right w:val="none" w:sz="0" w:space="0" w:color="auto"/>
      </w:divBdr>
    </w:div>
    <w:div w:id="919217106">
      <w:bodyDiv w:val="1"/>
      <w:marLeft w:val="0"/>
      <w:marRight w:val="0"/>
      <w:marTop w:val="0"/>
      <w:marBottom w:val="0"/>
      <w:divBdr>
        <w:top w:val="none" w:sz="0" w:space="0" w:color="auto"/>
        <w:left w:val="none" w:sz="0" w:space="0" w:color="auto"/>
        <w:bottom w:val="none" w:sz="0" w:space="0" w:color="auto"/>
        <w:right w:val="none" w:sz="0" w:space="0" w:color="auto"/>
      </w:divBdr>
    </w:div>
    <w:div w:id="1101026509">
      <w:bodyDiv w:val="1"/>
      <w:marLeft w:val="0"/>
      <w:marRight w:val="0"/>
      <w:marTop w:val="0"/>
      <w:marBottom w:val="0"/>
      <w:divBdr>
        <w:top w:val="none" w:sz="0" w:space="0" w:color="auto"/>
        <w:left w:val="none" w:sz="0" w:space="0" w:color="auto"/>
        <w:bottom w:val="none" w:sz="0" w:space="0" w:color="auto"/>
        <w:right w:val="none" w:sz="0" w:space="0" w:color="auto"/>
      </w:divBdr>
    </w:div>
    <w:div w:id="1122311105">
      <w:bodyDiv w:val="1"/>
      <w:marLeft w:val="0"/>
      <w:marRight w:val="0"/>
      <w:marTop w:val="0"/>
      <w:marBottom w:val="0"/>
      <w:divBdr>
        <w:top w:val="none" w:sz="0" w:space="0" w:color="auto"/>
        <w:left w:val="none" w:sz="0" w:space="0" w:color="auto"/>
        <w:bottom w:val="none" w:sz="0" w:space="0" w:color="auto"/>
        <w:right w:val="none" w:sz="0" w:space="0" w:color="auto"/>
      </w:divBdr>
    </w:div>
    <w:div w:id="1228498466">
      <w:bodyDiv w:val="1"/>
      <w:marLeft w:val="0"/>
      <w:marRight w:val="0"/>
      <w:marTop w:val="0"/>
      <w:marBottom w:val="0"/>
      <w:divBdr>
        <w:top w:val="none" w:sz="0" w:space="0" w:color="auto"/>
        <w:left w:val="none" w:sz="0" w:space="0" w:color="auto"/>
        <w:bottom w:val="none" w:sz="0" w:space="0" w:color="auto"/>
        <w:right w:val="none" w:sz="0" w:space="0" w:color="auto"/>
      </w:divBdr>
    </w:div>
    <w:div w:id="1284459416">
      <w:bodyDiv w:val="1"/>
      <w:marLeft w:val="0"/>
      <w:marRight w:val="0"/>
      <w:marTop w:val="0"/>
      <w:marBottom w:val="0"/>
      <w:divBdr>
        <w:top w:val="none" w:sz="0" w:space="0" w:color="auto"/>
        <w:left w:val="none" w:sz="0" w:space="0" w:color="auto"/>
        <w:bottom w:val="none" w:sz="0" w:space="0" w:color="auto"/>
        <w:right w:val="none" w:sz="0" w:space="0" w:color="auto"/>
      </w:divBdr>
    </w:div>
    <w:div w:id="1341545474">
      <w:bodyDiv w:val="1"/>
      <w:marLeft w:val="0"/>
      <w:marRight w:val="0"/>
      <w:marTop w:val="0"/>
      <w:marBottom w:val="0"/>
      <w:divBdr>
        <w:top w:val="none" w:sz="0" w:space="0" w:color="auto"/>
        <w:left w:val="none" w:sz="0" w:space="0" w:color="auto"/>
        <w:bottom w:val="none" w:sz="0" w:space="0" w:color="auto"/>
        <w:right w:val="none" w:sz="0" w:space="0" w:color="auto"/>
      </w:divBdr>
    </w:div>
    <w:div w:id="1418750773">
      <w:bodyDiv w:val="1"/>
      <w:marLeft w:val="0"/>
      <w:marRight w:val="0"/>
      <w:marTop w:val="0"/>
      <w:marBottom w:val="0"/>
      <w:divBdr>
        <w:top w:val="none" w:sz="0" w:space="0" w:color="auto"/>
        <w:left w:val="none" w:sz="0" w:space="0" w:color="auto"/>
        <w:bottom w:val="none" w:sz="0" w:space="0" w:color="auto"/>
        <w:right w:val="none" w:sz="0" w:space="0" w:color="auto"/>
      </w:divBdr>
    </w:div>
    <w:div w:id="1493256220">
      <w:bodyDiv w:val="1"/>
      <w:marLeft w:val="0"/>
      <w:marRight w:val="0"/>
      <w:marTop w:val="0"/>
      <w:marBottom w:val="0"/>
      <w:divBdr>
        <w:top w:val="none" w:sz="0" w:space="0" w:color="auto"/>
        <w:left w:val="none" w:sz="0" w:space="0" w:color="auto"/>
        <w:bottom w:val="none" w:sz="0" w:space="0" w:color="auto"/>
        <w:right w:val="none" w:sz="0" w:space="0" w:color="auto"/>
      </w:divBdr>
    </w:div>
    <w:div w:id="1548444508">
      <w:bodyDiv w:val="1"/>
      <w:marLeft w:val="0"/>
      <w:marRight w:val="0"/>
      <w:marTop w:val="0"/>
      <w:marBottom w:val="0"/>
      <w:divBdr>
        <w:top w:val="none" w:sz="0" w:space="0" w:color="auto"/>
        <w:left w:val="none" w:sz="0" w:space="0" w:color="auto"/>
        <w:bottom w:val="none" w:sz="0" w:space="0" w:color="auto"/>
        <w:right w:val="none" w:sz="0" w:space="0" w:color="auto"/>
      </w:divBdr>
    </w:div>
    <w:div w:id="1596205678">
      <w:bodyDiv w:val="1"/>
      <w:marLeft w:val="0"/>
      <w:marRight w:val="0"/>
      <w:marTop w:val="0"/>
      <w:marBottom w:val="0"/>
      <w:divBdr>
        <w:top w:val="none" w:sz="0" w:space="0" w:color="auto"/>
        <w:left w:val="none" w:sz="0" w:space="0" w:color="auto"/>
        <w:bottom w:val="none" w:sz="0" w:space="0" w:color="auto"/>
        <w:right w:val="none" w:sz="0" w:space="0" w:color="auto"/>
      </w:divBdr>
    </w:div>
    <w:div w:id="1601595868">
      <w:bodyDiv w:val="1"/>
      <w:marLeft w:val="0"/>
      <w:marRight w:val="0"/>
      <w:marTop w:val="0"/>
      <w:marBottom w:val="0"/>
      <w:divBdr>
        <w:top w:val="none" w:sz="0" w:space="0" w:color="auto"/>
        <w:left w:val="none" w:sz="0" w:space="0" w:color="auto"/>
        <w:bottom w:val="none" w:sz="0" w:space="0" w:color="auto"/>
        <w:right w:val="none" w:sz="0" w:space="0" w:color="auto"/>
      </w:divBdr>
    </w:div>
    <w:div w:id="1650862315">
      <w:bodyDiv w:val="1"/>
      <w:marLeft w:val="0"/>
      <w:marRight w:val="0"/>
      <w:marTop w:val="0"/>
      <w:marBottom w:val="0"/>
      <w:divBdr>
        <w:top w:val="none" w:sz="0" w:space="0" w:color="auto"/>
        <w:left w:val="none" w:sz="0" w:space="0" w:color="auto"/>
        <w:bottom w:val="none" w:sz="0" w:space="0" w:color="auto"/>
        <w:right w:val="none" w:sz="0" w:space="0" w:color="auto"/>
      </w:divBdr>
    </w:div>
    <w:div w:id="1688099738">
      <w:bodyDiv w:val="1"/>
      <w:marLeft w:val="0"/>
      <w:marRight w:val="0"/>
      <w:marTop w:val="0"/>
      <w:marBottom w:val="0"/>
      <w:divBdr>
        <w:top w:val="none" w:sz="0" w:space="0" w:color="auto"/>
        <w:left w:val="none" w:sz="0" w:space="0" w:color="auto"/>
        <w:bottom w:val="none" w:sz="0" w:space="0" w:color="auto"/>
        <w:right w:val="none" w:sz="0" w:space="0" w:color="auto"/>
      </w:divBdr>
    </w:div>
    <w:div w:id="1873415352">
      <w:bodyDiv w:val="1"/>
      <w:marLeft w:val="0"/>
      <w:marRight w:val="0"/>
      <w:marTop w:val="0"/>
      <w:marBottom w:val="0"/>
      <w:divBdr>
        <w:top w:val="none" w:sz="0" w:space="0" w:color="auto"/>
        <w:left w:val="none" w:sz="0" w:space="0" w:color="auto"/>
        <w:bottom w:val="none" w:sz="0" w:space="0" w:color="auto"/>
        <w:right w:val="none" w:sz="0" w:space="0" w:color="auto"/>
      </w:divBdr>
    </w:div>
    <w:div w:id="1888837948">
      <w:bodyDiv w:val="1"/>
      <w:marLeft w:val="0"/>
      <w:marRight w:val="0"/>
      <w:marTop w:val="0"/>
      <w:marBottom w:val="0"/>
      <w:divBdr>
        <w:top w:val="none" w:sz="0" w:space="0" w:color="auto"/>
        <w:left w:val="none" w:sz="0" w:space="0" w:color="auto"/>
        <w:bottom w:val="none" w:sz="0" w:space="0" w:color="auto"/>
        <w:right w:val="none" w:sz="0" w:space="0" w:color="auto"/>
      </w:divBdr>
    </w:div>
    <w:div w:id="1912739742">
      <w:bodyDiv w:val="1"/>
      <w:marLeft w:val="0"/>
      <w:marRight w:val="0"/>
      <w:marTop w:val="0"/>
      <w:marBottom w:val="0"/>
      <w:divBdr>
        <w:top w:val="none" w:sz="0" w:space="0" w:color="auto"/>
        <w:left w:val="none" w:sz="0" w:space="0" w:color="auto"/>
        <w:bottom w:val="none" w:sz="0" w:space="0" w:color="auto"/>
        <w:right w:val="none" w:sz="0" w:space="0" w:color="auto"/>
      </w:divBdr>
    </w:div>
    <w:div w:id="2048873347">
      <w:bodyDiv w:val="1"/>
      <w:marLeft w:val="0"/>
      <w:marRight w:val="0"/>
      <w:marTop w:val="0"/>
      <w:marBottom w:val="0"/>
      <w:divBdr>
        <w:top w:val="none" w:sz="0" w:space="0" w:color="auto"/>
        <w:left w:val="none" w:sz="0" w:space="0" w:color="auto"/>
        <w:bottom w:val="none" w:sz="0" w:space="0" w:color="auto"/>
        <w:right w:val="none" w:sz="0" w:space="0" w:color="auto"/>
      </w:divBdr>
      <w:divsChild>
        <w:div w:id="28729474">
          <w:marLeft w:val="0"/>
          <w:marRight w:val="0"/>
          <w:marTop w:val="0"/>
          <w:marBottom w:val="0"/>
          <w:divBdr>
            <w:top w:val="none" w:sz="0" w:space="0" w:color="auto"/>
            <w:left w:val="none" w:sz="0" w:space="0" w:color="auto"/>
            <w:bottom w:val="none" w:sz="0" w:space="0" w:color="auto"/>
            <w:right w:val="none" w:sz="0" w:space="0" w:color="auto"/>
          </w:divBdr>
          <w:divsChild>
            <w:div w:id="855315024">
              <w:marLeft w:val="0"/>
              <w:marRight w:val="60"/>
              <w:marTop w:val="0"/>
              <w:marBottom w:val="0"/>
              <w:divBdr>
                <w:top w:val="none" w:sz="0" w:space="0" w:color="auto"/>
                <w:left w:val="none" w:sz="0" w:space="0" w:color="auto"/>
                <w:bottom w:val="none" w:sz="0" w:space="0" w:color="auto"/>
                <w:right w:val="none" w:sz="0" w:space="0" w:color="auto"/>
              </w:divBdr>
              <w:divsChild>
                <w:div w:id="2005206785">
                  <w:marLeft w:val="0"/>
                  <w:marRight w:val="0"/>
                  <w:marTop w:val="0"/>
                  <w:marBottom w:val="120"/>
                  <w:divBdr>
                    <w:top w:val="single" w:sz="6" w:space="0" w:color="C0C0C0"/>
                    <w:left w:val="single" w:sz="6" w:space="0" w:color="D9D9D9"/>
                    <w:bottom w:val="single" w:sz="6" w:space="0" w:color="D9D9D9"/>
                    <w:right w:val="single" w:sz="6" w:space="0" w:color="D9D9D9"/>
                  </w:divBdr>
                  <w:divsChild>
                    <w:div w:id="18486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9560">
          <w:marLeft w:val="0"/>
          <w:marRight w:val="0"/>
          <w:marTop w:val="0"/>
          <w:marBottom w:val="0"/>
          <w:divBdr>
            <w:top w:val="none" w:sz="0" w:space="0" w:color="auto"/>
            <w:left w:val="none" w:sz="0" w:space="0" w:color="auto"/>
            <w:bottom w:val="none" w:sz="0" w:space="0" w:color="auto"/>
            <w:right w:val="none" w:sz="0" w:space="0" w:color="auto"/>
          </w:divBdr>
          <w:divsChild>
            <w:div w:id="407574678">
              <w:marLeft w:val="60"/>
              <w:marRight w:val="0"/>
              <w:marTop w:val="0"/>
              <w:marBottom w:val="0"/>
              <w:divBdr>
                <w:top w:val="none" w:sz="0" w:space="0" w:color="auto"/>
                <w:left w:val="none" w:sz="0" w:space="0" w:color="auto"/>
                <w:bottom w:val="none" w:sz="0" w:space="0" w:color="auto"/>
                <w:right w:val="none" w:sz="0" w:space="0" w:color="auto"/>
              </w:divBdr>
              <w:divsChild>
                <w:div w:id="640815576">
                  <w:marLeft w:val="0"/>
                  <w:marRight w:val="0"/>
                  <w:marTop w:val="0"/>
                  <w:marBottom w:val="0"/>
                  <w:divBdr>
                    <w:top w:val="none" w:sz="0" w:space="0" w:color="auto"/>
                    <w:left w:val="none" w:sz="0" w:space="0" w:color="auto"/>
                    <w:bottom w:val="none" w:sz="0" w:space="0" w:color="auto"/>
                    <w:right w:val="none" w:sz="0" w:space="0" w:color="auto"/>
                  </w:divBdr>
                  <w:divsChild>
                    <w:div w:id="649021903">
                      <w:marLeft w:val="0"/>
                      <w:marRight w:val="0"/>
                      <w:marTop w:val="0"/>
                      <w:marBottom w:val="120"/>
                      <w:divBdr>
                        <w:top w:val="single" w:sz="6" w:space="0" w:color="F5F5F5"/>
                        <w:left w:val="single" w:sz="6" w:space="0" w:color="F5F5F5"/>
                        <w:bottom w:val="single" w:sz="6" w:space="0" w:color="F5F5F5"/>
                        <w:right w:val="single" w:sz="6" w:space="0" w:color="F5F5F5"/>
                      </w:divBdr>
                      <w:divsChild>
                        <w:div w:id="677467620">
                          <w:marLeft w:val="0"/>
                          <w:marRight w:val="0"/>
                          <w:marTop w:val="0"/>
                          <w:marBottom w:val="0"/>
                          <w:divBdr>
                            <w:top w:val="none" w:sz="0" w:space="0" w:color="auto"/>
                            <w:left w:val="none" w:sz="0" w:space="0" w:color="auto"/>
                            <w:bottom w:val="none" w:sz="0" w:space="0" w:color="auto"/>
                            <w:right w:val="none" w:sz="0" w:space="0" w:color="auto"/>
                          </w:divBdr>
                          <w:divsChild>
                            <w:div w:id="2867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reaties.un.org/Pages/showDetails.aspx?objid=080000028003103d" TargetMode="External"/><Relationship Id="rId3" Type="http://schemas.openxmlformats.org/officeDocument/2006/relationships/hyperlink" Target="http://www.corteidh.or.cr/docs/asuntos/trabajadores_23_02_16.pdf" TargetMode="External"/><Relationship Id="rId7" Type="http://schemas.openxmlformats.org/officeDocument/2006/relationships/hyperlink" Target="https://treaties.un.org/Pages/showDetails.aspx?objid=080000028002fe57" TargetMode="External"/><Relationship Id="rId2" Type="http://schemas.openxmlformats.org/officeDocument/2006/relationships/hyperlink" Target="http://www.corteidh.or.cr/docs/asuntos/trabajadores_15_02_16_por.pdf" TargetMode="External"/><Relationship Id="rId1" Type="http://schemas.openxmlformats.org/officeDocument/2006/relationships/hyperlink" Target="http://www.corteidh.or.cr/docs/asuntos/trabajadores_11_12_15.pdf" TargetMode="External"/><Relationship Id="rId6" Type="http://schemas.openxmlformats.org/officeDocument/2006/relationships/hyperlink" Target="https://treaties.un.org/Pages/showDetails.aspx?objid=08000002800006f9" TargetMode="External"/><Relationship Id="rId5" Type="http://schemas.openxmlformats.org/officeDocument/2006/relationships/hyperlink" Target="https://treaties.un.org/Pages/showDetails.aspx?objid=0800000280030bab" TargetMode="External"/><Relationship Id="rId10" Type="http://schemas.openxmlformats.org/officeDocument/2006/relationships/hyperlink" Target="https://processual.trf1.jus.br/consultaProcessual/processo.php?proc=200139010002700&amp;secao=MBA&amp;pg=1&amp;trf1_captcha_id=2dc48777b78e795a538b3aa440996f7b&amp;trf1_captcha=f4gj&amp;enviar=Pesquisar" TargetMode="External"/><Relationship Id="rId4" Type="http://schemas.openxmlformats.org/officeDocument/2006/relationships/hyperlink" Target="http://www.oas.org/juridico/spanish/firmas/b-32.html" TargetMode="External"/><Relationship Id="rId9" Type="http://schemas.openxmlformats.org/officeDocument/2006/relationships/hyperlink" Target="http://www.ohchr.org/SP/ProfessionalInterest/Pages/TrafficInPerson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D08E-6BCB-4510-9486-683A8C34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71913</Words>
  <Characters>395522</Characters>
  <Application>Microsoft Office Word</Application>
  <DocSecurity>0</DocSecurity>
  <Lines>3296</Lines>
  <Paragraphs>933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4</cp:revision>
  <cp:lastPrinted>2020-05-27T18:36:00Z</cp:lastPrinted>
  <dcterms:created xsi:type="dcterms:W3CDTF">2020-05-27T18:36:00Z</dcterms:created>
  <dcterms:modified xsi:type="dcterms:W3CDTF">2020-05-27T18:37:00Z</dcterms:modified>
</cp:coreProperties>
</file>